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ody>
    <w:bookmarkStart w:id="0" w:name="page1"/>
    <w:bookmarkEnd w:id="0"/>
    <w:tbl>
      <w:tblPr>
        <w:tblInd w:w="0" w:type="dxa"/>
        <w:tblLayout w:type="fixed"/>
        <w:tblCellMar>
          <w:top w:w="0" w:type="dxa"/>
          <w:left w:w="0" w:type="dxa"/>
          <w:bottom w:w="0" w:type="dxa"/>
          <w:right w:w="0" w:type="dxa"/>
        </w:tblCellMar>
      </w:tblPr>
      <w:tblGrid>
        <w:gridCol w:w="1660"/>
        <w:gridCol w:w="1040"/>
        <w:gridCol w:w="160"/>
        <w:gridCol w:w="700"/>
        <w:gridCol w:w="340"/>
        <w:gridCol w:w="100"/>
        <w:gridCol w:w="440"/>
        <w:gridCol w:w="2040"/>
        <w:gridCol w:w="440"/>
        <w:gridCol w:w="1080"/>
        <w:gridCol w:w="3300"/>
        <w:gridCol w:w="20"/>
      </w:tblGrid>
      <w:tr>
        <w:tblPrEx>
          <w:tblInd w:w="0" w:type="dxa"/>
          <w:tblLayout w:type="fixed"/>
        </w:tblPrEx>
        <w:trPr>
          <w:trHeight w:val="269"/>
        </w:trPr>
        <w:tc>
          <w:tcPr>
            <w:tcW w:w="1660" w:type="dxa"/>
            <w:vAlign w:val="bottom"/>
          </w:tcPr>
          <w:p>
            <w:pPr>
              <w:spacing w:after="0"/>
              <w:rPr>
                <w:color w:val="auto"/>
                <w:sz w:val="23"/>
                <w:szCs w:val="23"/>
              </w:rPr>
            </w:pPr>
          </w:p>
        </w:tc>
        <w:tc>
          <w:tcPr>
            <w:tcW w:w="1040" w:type="dxa"/>
            <w:vAlign w:val="bottom"/>
          </w:tcPr>
          <w:p>
            <w:pPr>
              <w:spacing w:after="0"/>
              <w:rPr>
                <w:color w:val="auto"/>
                <w:sz w:val="23"/>
                <w:szCs w:val="23"/>
              </w:rPr>
            </w:pPr>
          </w:p>
        </w:tc>
        <w:tc>
          <w:tcPr>
            <w:tcW w:w="160" w:type="dxa"/>
            <w:vAlign w:val="bottom"/>
          </w:tcPr>
          <w:p>
            <w:pPr>
              <w:spacing w:after="0"/>
              <w:rPr>
                <w:color w:val="auto"/>
                <w:sz w:val="23"/>
                <w:szCs w:val="23"/>
              </w:rPr>
            </w:pPr>
          </w:p>
        </w:tc>
        <w:tc>
          <w:tcPr>
            <w:tcW w:w="700" w:type="dxa"/>
            <w:vAlign w:val="bottom"/>
          </w:tcPr>
          <w:p>
            <w:pPr>
              <w:spacing w:after="0"/>
              <w:rPr>
                <w:color w:val="auto"/>
                <w:sz w:val="23"/>
                <w:szCs w:val="23"/>
              </w:rPr>
            </w:pPr>
          </w:p>
        </w:tc>
        <w:tc>
          <w:tcPr>
            <w:tcW w:w="340" w:type="dxa"/>
            <w:vAlign w:val="bottom"/>
          </w:tcPr>
          <w:p>
            <w:pPr>
              <w:spacing w:after="0"/>
              <w:rPr>
                <w:color w:val="auto"/>
                <w:sz w:val="23"/>
                <w:szCs w:val="23"/>
              </w:rPr>
            </w:pPr>
          </w:p>
        </w:tc>
        <w:tc>
          <w:tcPr>
            <w:tcW w:w="100" w:type="dxa"/>
            <w:vAlign w:val="bottom"/>
          </w:tcPr>
          <w:p>
            <w:pPr>
              <w:spacing w:after="0"/>
              <w:rPr>
                <w:color w:val="auto"/>
                <w:sz w:val="23"/>
                <w:szCs w:val="23"/>
              </w:rPr>
            </w:pPr>
          </w:p>
        </w:tc>
        <w:tc>
          <w:tcPr>
            <w:tcW w:w="440" w:type="dxa"/>
            <w:vAlign w:val="bottom"/>
          </w:tcPr>
          <w:p>
            <w:pPr>
              <w:spacing w:after="0"/>
              <w:rPr>
                <w:color w:val="auto"/>
                <w:sz w:val="23"/>
                <w:szCs w:val="23"/>
              </w:rPr>
            </w:pPr>
          </w:p>
        </w:tc>
        <w:tc>
          <w:tcPr>
            <w:tcW w:w="3560" w:type="dxa"/>
            <w:gridSpan w:val="3"/>
            <w:vAlign w:val="bottom"/>
          </w:tcPr>
          <w:p>
            <w:pPr>
              <w:spacing w:after="0"/>
              <w:ind w:right="1160"/>
              <w:jc w:val="center"/>
              <w:rPr>
                <w:color w:val="auto"/>
                <w:sz w:val="20"/>
                <w:szCs w:val="20"/>
              </w:rPr>
            </w:pPr>
            <w:r>
              <w:rPr>
                <w:rFonts w:ascii="Calibri" w:eastAsia="Calibri" w:hAnsi="Calibri" w:cs="Calibri"/>
                <w:b/>
                <w:bCs/>
                <w:color w:val="auto"/>
                <w:w w:val="95"/>
                <w:sz w:val="22"/>
                <w:szCs w:val="22"/>
              </w:rPr>
              <w:t>UNITED STATES</w:t>
            </w:r>
          </w:p>
        </w:tc>
        <w:tc>
          <w:tcPr>
            <w:tcW w:w="3300" w:type="dxa"/>
            <w:vAlign w:val="bottom"/>
          </w:tcPr>
          <w:p>
            <w:pPr>
              <w:spacing w:after="0"/>
              <w:rPr>
                <w:color w:val="auto"/>
                <w:sz w:val="23"/>
                <w:szCs w:val="23"/>
              </w:rPr>
            </w:pPr>
          </w:p>
        </w:tc>
        <w:tc>
          <w:tcPr>
            <w:tcW w:w="1" w:type="dxa"/>
            <w:vAlign w:val="bottom"/>
          </w:tcPr>
          <w:p>
            <w:pPr>
              <w:spacing w:after="0"/>
              <w:rPr>
                <w:color w:val="auto"/>
                <w:sz w:val="1"/>
                <w:szCs w:val="1"/>
              </w:rPr>
            </w:pPr>
          </w:p>
        </w:tc>
      </w:tr>
      <w:tr>
        <w:tblPrEx>
          <w:tblInd w:w="0" w:type="dxa"/>
          <w:tblLayout w:type="fixed"/>
        </w:tblPrEx>
        <w:trPr>
          <w:trHeight w:val="258"/>
        </w:trPr>
        <w:tc>
          <w:tcPr>
            <w:tcW w:w="1660" w:type="dxa"/>
            <w:vAlign w:val="bottom"/>
          </w:tcPr>
          <w:p>
            <w:pPr>
              <w:spacing w:after="0"/>
              <w:rPr>
                <w:color w:val="auto"/>
                <w:sz w:val="22"/>
                <w:szCs w:val="22"/>
              </w:rPr>
            </w:pPr>
          </w:p>
        </w:tc>
        <w:tc>
          <w:tcPr>
            <w:tcW w:w="1040" w:type="dxa"/>
            <w:vAlign w:val="bottom"/>
          </w:tcPr>
          <w:p>
            <w:pPr>
              <w:spacing w:after="0"/>
              <w:rPr>
                <w:color w:val="auto"/>
                <w:sz w:val="22"/>
                <w:szCs w:val="22"/>
              </w:rPr>
            </w:pPr>
          </w:p>
        </w:tc>
        <w:tc>
          <w:tcPr>
            <w:tcW w:w="160" w:type="dxa"/>
            <w:vAlign w:val="bottom"/>
          </w:tcPr>
          <w:p>
            <w:pPr>
              <w:spacing w:after="0"/>
              <w:rPr>
                <w:color w:val="auto"/>
                <w:sz w:val="22"/>
                <w:szCs w:val="22"/>
              </w:rPr>
            </w:pPr>
          </w:p>
        </w:tc>
        <w:tc>
          <w:tcPr>
            <w:tcW w:w="700" w:type="dxa"/>
            <w:vAlign w:val="bottom"/>
          </w:tcPr>
          <w:p>
            <w:pPr>
              <w:spacing w:after="0"/>
              <w:rPr>
                <w:color w:val="auto"/>
                <w:sz w:val="22"/>
                <w:szCs w:val="22"/>
              </w:rPr>
            </w:pPr>
          </w:p>
        </w:tc>
        <w:tc>
          <w:tcPr>
            <w:tcW w:w="4440" w:type="dxa"/>
            <w:gridSpan w:val="6"/>
            <w:vAlign w:val="bottom"/>
          </w:tcPr>
          <w:p>
            <w:pPr>
              <w:spacing w:after="0" w:line="258" w:lineRule="exact"/>
              <w:ind w:right="280"/>
              <w:jc w:val="center"/>
              <w:rPr>
                <w:color w:val="auto"/>
                <w:sz w:val="20"/>
                <w:szCs w:val="20"/>
              </w:rPr>
            </w:pPr>
            <w:r>
              <w:rPr>
                <w:rFonts w:ascii="Calibri" w:eastAsia="Calibri" w:hAnsi="Calibri" w:cs="Calibri"/>
                <w:b/>
                <w:bCs/>
                <w:color w:val="auto"/>
                <w:w w:val="97"/>
                <w:sz w:val="22"/>
                <w:szCs w:val="22"/>
              </w:rPr>
              <w:t>SECURITIES AND EXCHANGE COMMISSION</w:t>
            </w:r>
          </w:p>
        </w:tc>
        <w:tc>
          <w:tcPr>
            <w:tcW w:w="3300" w:type="dxa"/>
            <w:vAlign w:val="bottom"/>
          </w:tcPr>
          <w:p>
            <w:pPr>
              <w:spacing w:after="0"/>
              <w:rPr>
                <w:color w:val="auto"/>
                <w:sz w:val="22"/>
                <w:szCs w:val="22"/>
              </w:rPr>
            </w:pPr>
          </w:p>
        </w:tc>
        <w:tc>
          <w:tcPr>
            <w:tcW w:w="1" w:type="dxa"/>
            <w:vAlign w:val="bottom"/>
          </w:tcPr>
          <w:p>
            <w:pPr>
              <w:spacing w:after="0"/>
              <w:rPr>
                <w:color w:val="auto"/>
                <w:sz w:val="1"/>
                <w:szCs w:val="1"/>
              </w:rPr>
            </w:pPr>
          </w:p>
        </w:tc>
      </w:tr>
      <w:tr>
        <w:tblPrEx>
          <w:tblInd w:w="0" w:type="dxa"/>
          <w:tblLayout w:type="fixed"/>
        </w:tblPrEx>
        <w:trPr>
          <w:trHeight w:val="154"/>
        </w:trPr>
        <w:tc>
          <w:tcPr>
            <w:tcW w:w="1660" w:type="dxa"/>
            <w:vAlign w:val="bottom"/>
          </w:tcPr>
          <w:p>
            <w:pPr>
              <w:spacing w:after="0"/>
              <w:rPr>
                <w:color w:val="auto"/>
                <w:sz w:val="13"/>
                <w:szCs w:val="13"/>
              </w:rPr>
            </w:pPr>
          </w:p>
        </w:tc>
        <w:tc>
          <w:tcPr>
            <w:tcW w:w="1040" w:type="dxa"/>
            <w:vAlign w:val="bottom"/>
          </w:tcPr>
          <w:p>
            <w:pPr>
              <w:spacing w:after="0"/>
              <w:rPr>
                <w:color w:val="auto"/>
                <w:sz w:val="13"/>
                <w:szCs w:val="13"/>
              </w:rPr>
            </w:pPr>
          </w:p>
        </w:tc>
        <w:tc>
          <w:tcPr>
            <w:tcW w:w="160" w:type="dxa"/>
            <w:vAlign w:val="bottom"/>
          </w:tcPr>
          <w:p>
            <w:pPr>
              <w:spacing w:after="0"/>
              <w:rPr>
                <w:color w:val="auto"/>
                <w:sz w:val="13"/>
                <w:szCs w:val="13"/>
              </w:rPr>
            </w:pPr>
          </w:p>
        </w:tc>
        <w:tc>
          <w:tcPr>
            <w:tcW w:w="700" w:type="dxa"/>
            <w:vAlign w:val="bottom"/>
          </w:tcPr>
          <w:p>
            <w:pPr>
              <w:spacing w:after="0"/>
              <w:rPr>
                <w:color w:val="auto"/>
                <w:sz w:val="13"/>
                <w:szCs w:val="13"/>
              </w:rPr>
            </w:pP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3560" w:type="dxa"/>
            <w:gridSpan w:val="3"/>
            <w:vAlign w:val="bottom"/>
          </w:tcPr>
          <w:p>
            <w:pPr>
              <w:spacing w:after="0"/>
              <w:ind w:right="1140"/>
              <w:jc w:val="center"/>
              <w:rPr>
                <w:color w:val="auto"/>
                <w:sz w:val="20"/>
                <w:szCs w:val="20"/>
              </w:rPr>
            </w:pPr>
            <w:r>
              <w:rPr>
                <w:rFonts w:ascii="Calibri" w:eastAsia="Calibri" w:hAnsi="Calibri" w:cs="Calibri"/>
                <w:b/>
                <w:bCs/>
                <w:color w:val="auto"/>
                <w:w w:val="96"/>
                <w:sz w:val="12"/>
                <w:szCs w:val="12"/>
              </w:rPr>
              <w:t>WASHINGTON, D. C. 20549</w:t>
            </w:r>
          </w:p>
        </w:tc>
        <w:tc>
          <w:tcPr>
            <w:tcW w:w="3300" w:type="dxa"/>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276"/>
        </w:trPr>
        <w:tc>
          <w:tcPr>
            <w:tcW w:w="1660" w:type="dxa"/>
            <w:vAlign w:val="bottom"/>
          </w:tcPr>
          <w:p>
            <w:pPr>
              <w:spacing w:after="0"/>
              <w:rPr>
                <w:color w:val="auto"/>
                <w:sz w:val="24"/>
                <w:szCs w:val="24"/>
              </w:rPr>
            </w:pPr>
          </w:p>
        </w:tc>
        <w:tc>
          <w:tcPr>
            <w:tcW w:w="1040" w:type="dxa"/>
            <w:vAlign w:val="bottom"/>
          </w:tcPr>
          <w:p>
            <w:pPr>
              <w:spacing w:after="0"/>
              <w:rPr>
                <w:color w:val="auto"/>
                <w:sz w:val="24"/>
                <w:szCs w:val="24"/>
              </w:rPr>
            </w:pPr>
          </w:p>
        </w:tc>
        <w:tc>
          <w:tcPr>
            <w:tcW w:w="160" w:type="dxa"/>
            <w:vAlign w:val="bottom"/>
          </w:tcPr>
          <w:p>
            <w:pPr>
              <w:spacing w:after="0"/>
              <w:rPr>
                <w:color w:val="auto"/>
                <w:sz w:val="24"/>
                <w:szCs w:val="24"/>
              </w:rPr>
            </w:pPr>
          </w:p>
        </w:tc>
        <w:tc>
          <w:tcPr>
            <w:tcW w:w="700" w:type="dxa"/>
            <w:vAlign w:val="bottom"/>
          </w:tcPr>
          <w:p>
            <w:pPr>
              <w:spacing w:after="0"/>
              <w:rPr>
                <w:color w:val="auto"/>
                <w:sz w:val="24"/>
                <w:szCs w:val="24"/>
              </w:rPr>
            </w:pPr>
          </w:p>
        </w:tc>
        <w:tc>
          <w:tcPr>
            <w:tcW w:w="340" w:type="dxa"/>
            <w:vAlign w:val="bottom"/>
          </w:tcPr>
          <w:p>
            <w:pPr>
              <w:spacing w:after="0"/>
              <w:rPr>
                <w:color w:val="auto"/>
                <w:sz w:val="24"/>
                <w:szCs w:val="24"/>
              </w:rPr>
            </w:pPr>
          </w:p>
        </w:tc>
        <w:tc>
          <w:tcPr>
            <w:tcW w:w="100" w:type="dxa"/>
            <w:vAlign w:val="bottom"/>
          </w:tcPr>
          <w:p>
            <w:pPr>
              <w:spacing w:after="0"/>
              <w:rPr>
                <w:color w:val="auto"/>
                <w:sz w:val="24"/>
                <w:szCs w:val="24"/>
              </w:rPr>
            </w:pPr>
          </w:p>
        </w:tc>
        <w:tc>
          <w:tcPr>
            <w:tcW w:w="440" w:type="dxa"/>
            <w:vAlign w:val="bottom"/>
          </w:tcPr>
          <w:p>
            <w:pPr>
              <w:spacing w:after="0"/>
              <w:rPr>
                <w:color w:val="auto"/>
                <w:sz w:val="24"/>
                <w:szCs w:val="24"/>
              </w:rPr>
            </w:pPr>
          </w:p>
        </w:tc>
        <w:tc>
          <w:tcPr>
            <w:tcW w:w="3560" w:type="dxa"/>
            <w:gridSpan w:val="3"/>
            <w:vAlign w:val="bottom"/>
          </w:tcPr>
          <w:p>
            <w:pPr>
              <w:spacing w:after="0"/>
              <w:ind w:right="1160"/>
              <w:jc w:val="center"/>
              <w:rPr>
                <w:color w:val="auto"/>
                <w:sz w:val="20"/>
                <w:szCs w:val="20"/>
              </w:rPr>
            </w:pPr>
            <w:r>
              <w:rPr>
                <w:rFonts w:ascii="Calibri" w:eastAsia="Calibri" w:hAnsi="Calibri" w:cs="Calibri"/>
                <w:b/>
                <w:bCs/>
                <w:color w:val="auto"/>
                <w:w w:val="97"/>
                <w:sz w:val="22"/>
                <w:szCs w:val="22"/>
              </w:rPr>
              <w:t>FORM 10-K</w:t>
            </w:r>
          </w:p>
        </w:tc>
        <w:tc>
          <w:tcPr>
            <w:tcW w:w="3300" w:type="dxa"/>
            <w:vAlign w:val="bottom"/>
          </w:tcPr>
          <w:p>
            <w:pPr>
              <w:spacing w:after="0"/>
              <w:rPr>
                <w:color w:val="auto"/>
                <w:sz w:val="24"/>
                <w:szCs w:val="24"/>
              </w:rPr>
            </w:pPr>
          </w:p>
        </w:tc>
        <w:tc>
          <w:tcPr>
            <w:tcW w:w="1" w:type="dxa"/>
            <w:vAlign w:val="bottom"/>
          </w:tcPr>
          <w:p>
            <w:pPr>
              <w:spacing w:after="0"/>
              <w:rPr>
                <w:color w:val="auto"/>
                <w:sz w:val="1"/>
                <w:szCs w:val="1"/>
              </w:rPr>
            </w:pPr>
          </w:p>
        </w:tc>
      </w:tr>
      <w:tr>
        <w:tblPrEx>
          <w:tblInd w:w="0" w:type="dxa"/>
          <w:tblLayout w:type="fixed"/>
        </w:tblPrEx>
        <w:trPr>
          <w:trHeight w:val="155"/>
        </w:trPr>
        <w:tc>
          <w:tcPr>
            <w:tcW w:w="1660" w:type="dxa"/>
            <w:vAlign w:val="bottom"/>
          </w:tcPr>
          <w:p>
            <w:pPr>
              <w:spacing w:after="0"/>
              <w:ind w:left="540"/>
              <w:rPr>
                <w:color w:val="auto"/>
                <w:sz w:val="20"/>
                <w:szCs w:val="20"/>
              </w:rPr>
            </w:pPr>
            <w:r>
              <w:rPr>
                <w:rFonts w:ascii="Calibri" w:eastAsia="Calibri" w:hAnsi="Calibri" w:cs="Calibri"/>
                <w:b/>
                <w:bCs/>
                <w:color w:val="auto"/>
                <w:sz w:val="12"/>
                <w:szCs w:val="12"/>
              </w:rPr>
              <w:t>(MARK ONE)</w:t>
            </w:r>
          </w:p>
        </w:tc>
        <w:tc>
          <w:tcPr>
            <w:tcW w:w="1040" w:type="dxa"/>
            <w:vAlign w:val="bottom"/>
          </w:tcPr>
          <w:p>
            <w:pPr>
              <w:spacing w:after="0"/>
              <w:rPr>
                <w:color w:val="auto"/>
                <w:sz w:val="13"/>
                <w:szCs w:val="13"/>
              </w:rPr>
            </w:pPr>
          </w:p>
        </w:tc>
        <w:tc>
          <w:tcPr>
            <w:tcW w:w="160" w:type="dxa"/>
            <w:vAlign w:val="bottom"/>
          </w:tcPr>
          <w:p>
            <w:pPr>
              <w:spacing w:after="0"/>
              <w:rPr>
                <w:color w:val="auto"/>
                <w:sz w:val="13"/>
                <w:szCs w:val="13"/>
              </w:rPr>
            </w:pPr>
          </w:p>
        </w:tc>
        <w:tc>
          <w:tcPr>
            <w:tcW w:w="700" w:type="dxa"/>
            <w:vAlign w:val="bottom"/>
          </w:tcPr>
          <w:p>
            <w:pPr>
              <w:spacing w:after="0"/>
              <w:rPr>
                <w:color w:val="auto"/>
                <w:sz w:val="13"/>
                <w:szCs w:val="13"/>
              </w:rPr>
            </w:pP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204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1080" w:type="dxa"/>
            <w:vAlign w:val="bottom"/>
          </w:tcPr>
          <w:p>
            <w:pPr>
              <w:spacing w:after="0"/>
              <w:rPr>
                <w:color w:val="auto"/>
                <w:sz w:val="13"/>
                <w:szCs w:val="13"/>
              </w:rPr>
            </w:pPr>
          </w:p>
        </w:tc>
        <w:tc>
          <w:tcPr>
            <w:tcW w:w="3300" w:type="dxa"/>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282"/>
        </w:trPr>
        <w:tc>
          <w:tcPr>
            <w:tcW w:w="1660" w:type="dxa"/>
            <w:vAlign w:val="bottom"/>
          </w:tcPr>
          <w:p>
            <w:pPr>
              <w:spacing w:after="0" w:line="171" w:lineRule="exact"/>
              <w:ind w:left="540"/>
              <w:rPr>
                <w:color w:val="auto"/>
                <w:sz w:val="20"/>
                <w:szCs w:val="20"/>
              </w:rPr>
            </w:pPr>
            <w:r>
              <w:rPr>
                <w:rFonts w:ascii="MS PGothic" w:eastAsia="MS PGothic" w:hAnsi="MS PGothic" w:cs="MS PGothic"/>
                <w:color w:val="auto"/>
                <w:sz w:val="17"/>
                <w:szCs w:val="17"/>
              </w:rPr>
              <w:t>☒</w:t>
            </w:r>
          </w:p>
        </w:tc>
        <w:tc>
          <w:tcPr>
            <w:tcW w:w="6340" w:type="dxa"/>
            <w:gridSpan w:val="9"/>
            <w:vAlign w:val="bottom"/>
          </w:tcPr>
          <w:p>
            <w:pPr>
              <w:spacing w:after="0"/>
              <w:ind w:left="500"/>
              <w:rPr>
                <w:color w:val="auto"/>
                <w:sz w:val="20"/>
                <w:szCs w:val="20"/>
              </w:rPr>
            </w:pPr>
            <w:r>
              <w:rPr>
                <w:rFonts w:ascii="Calibri" w:eastAsia="Calibri" w:hAnsi="Calibri" w:cs="Calibri"/>
                <w:b/>
                <w:bCs/>
                <w:color w:val="auto"/>
                <w:sz w:val="14"/>
                <w:szCs w:val="14"/>
              </w:rPr>
              <w:t>ANNUAL REPORT PURSUANT TO SECTION 13 OR 15(d) OF THE SECURITIES EXCHANGE ACT OF 1934</w:t>
            </w:r>
          </w:p>
        </w:tc>
        <w:tc>
          <w:tcPr>
            <w:tcW w:w="3300" w:type="dxa"/>
            <w:vAlign w:val="bottom"/>
          </w:tcPr>
          <w:p>
            <w:pPr>
              <w:spacing w:after="0"/>
              <w:rPr>
                <w:color w:val="auto"/>
                <w:sz w:val="24"/>
                <w:szCs w:val="24"/>
              </w:rPr>
            </w:pPr>
          </w:p>
        </w:tc>
        <w:tc>
          <w:tcPr>
            <w:tcW w:w="1" w:type="dxa"/>
            <w:vAlign w:val="bottom"/>
          </w:tcPr>
          <w:p>
            <w:pPr>
              <w:spacing w:after="0"/>
              <w:rPr>
                <w:color w:val="auto"/>
                <w:sz w:val="1"/>
                <w:szCs w:val="1"/>
              </w:rPr>
            </w:pPr>
          </w:p>
        </w:tc>
      </w:tr>
      <w:tr>
        <w:tblPrEx>
          <w:tblInd w:w="0" w:type="dxa"/>
          <w:tblLayout w:type="fixed"/>
        </w:tblPrEx>
        <w:trPr>
          <w:trHeight w:val="151"/>
        </w:trPr>
        <w:tc>
          <w:tcPr>
            <w:tcW w:w="3560" w:type="dxa"/>
            <w:gridSpan w:val="4"/>
            <w:vAlign w:val="bottom"/>
          </w:tcPr>
          <w:p>
            <w:pPr>
              <w:spacing w:after="0"/>
              <w:rPr>
                <w:color w:val="auto"/>
                <w:sz w:val="20"/>
                <w:szCs w:val="20"/>
              </w:rPr>
            </w:pPr>
            <w:r>
              <w:rPr>
                <w:rFonts w:ascii="Calibri" w:eastAsia="Calibri" w:hAnsi="Calibri" w:cs="Calibri"/>
                <w:color w:val="auto"/>
                <w:sz w:val="12"/>
                <w:szCs w:val="12"/>
              </w:rPr>
              <w:t>For the fscal year ended December 31, 2024</w:t>
            </w: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204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1080" w:type="dxa"/>
            <w:vAlign w:val="bottom"/>
          </w:tcPr>
          <w:p>
            <w:pPr>
              <w:spacing w:after="0"/>
              <w:rPr>
                <w:color w:val="auto"/>
                <w:sz w:val="13"/>
                <w:szCs w:val="13"/>
              </w:rPr>
            </w:pPr>
          </w:p>
        </w:tc>
        <w:tc>
          <w:tcPr>
            <w:tcW w:w="3300" w:type="dxa"/>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4"/>
        </w:trPr>
        <w:tc>
          <w:tcPr>
            <w:tcW w:w="1660" w:type="dxa"/>
            <w:vMerge w:val="restart"/>
            <w:vAlign w:val="bottom"/>
          </w:tcPr>
          <w:p>
            <w:pPr>
              <w:spacing w:after="0" w:line="171" w:lineRule="exact"/>
              <w:ind w:left="560"/>
              <w:rPr>
                <w:color w:val="auto"/>
                <w:sz w:val="20"/>
                <w:szCs w:val="20"/>
              </w:rPr>
            </w:pPr>
            <w:r>
              <w:rPr>
                <w:rFonts w:ascii="MS PGothic" w:eastAsia="MS PGothic" w:hAnsi="MS PGothic" w:cs="MS PGothic"/>
                <w:color w:val="auto"/>
                <w:sz w:val="17"/>
                <w:szCs w:val="17"/>
              </w:rPr>
              <w:t>☐</w:t>
            </w:r>
          </w:p>
        </w:tc>
        <w:tc>
          <w:tcPr>
            <w:tcW w:w="10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70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00" w:type="dxa"/>
            <w:vAlign w:val="bottom"/>
          </w:tcPr>
          <w:p>
            <w:pPr>
              <w:spacing w:after="0"/>
              <w:rPr>
                <w:color w:val="auto"/>
                <w:sz w:val="12"/>
                <w:szCs w:val="12"/>
              </w:rPr>
            </w:pPr>
          </w:p>
        </w:tc>
        <w:tc>
          <w:tcPr>
            <w:tcW w:w="440" w:type="dxa"/>
            <w:vAlign w:val="bottom"/>
          </w:tcPr>
          <w:p>
            <w:pPr>
              <w:spacing w:after="0"/>
              <w:rPr>
                <w:color w:val="auto"/>
                <w:sz w:val="12"/>
                <w:szCs w:val="12"/>
              </w:rPr>
            </w:pPr>
          </w:p>
        </w:tc>
        <w:tc>
          <w:tcPr>
            <w:tcW w:w="3560" w:type="dxa"/>
            <w:gridSpan w:val="3"/>
            <w:vAlign w:val="bottom"/>
          </w:tcPr>
          <w:p>
            <w:pPr>
              <w:spacing w:after="0" w:line="144" w:lineRule="exact"/>
              <w:ind w:right="1140"/>
              <w:jc w:val="center"/>
              <w:rPr>
                <w:color w:val="auto"/>
                <w:sz w:val="20"/>
                <w:szCs w:val="20"/>
              </w:rPr>
            </w:pPr>
            <w:r>
              <w:rPr>
                <w:rFonts w:ascii="Calibri" w:eastAsia="Calibri" w:hAnsi="Calibri" w:cs="Calibri"/>
                <w:b/>
                <w:bCs/>
                <w:color w:val="auto"/>
                <w:w w:val="93"/>
                <w:sz w:val="12"/>
                <w:szCs w:val="12"/>
              </w:rPr>
              <w:t>OR</w:t>
            </w:r>
          </w:p>
        </w:tc>
        <w:tc>
          <w:tcPr>
            <w:tcW w:w="330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264"/>
        </w:trPr>
        <w:tc>
          <w:tcPr>
            <w:tcW w:w="1660" w:type="dxa"/>
            <w:vMerge/>
            <w:vAlign w:val="bottom"/>
          </w:tcPr>
          <w:p>
            <w:pPr>
              <w:spacing w:after="0"/>
              <w:rPr>
                <w:color w:val="auto"/>
                <w:sz w:val="22"/>
                <w:szCs w:val="22"/>
              </w:rPr>
            </w:pPr>
          </w:p>
        </w:tc>
        <w:tc>
          <w:tcPr>
            <w:tcW w:w="9640" w:type="dxa"/>
            <w:gridSpan w:val="10"/>
            <w:vAlign w:val="bottom"/>
          </w:tcPr>
          <w:p>
            <w:pPr>
              <w:spacing w:after="0"/>
              <w:ind w:left="500"/>
              <w:rPr>
                <w:color w:val="auto"/>
                <w:sz w:val="20"/>
                <w:szCs w:val="20"/>
              </w:rPr>
            </w:pPr>
            <w:r>
              <w:rPr>
                <w:rFonts w:ascii="Calibri" w:eastAsia="Calibri" w:hAnsi="Calibri" w:cs="Calibri"/>
                <w:b/>
                <w:bCs/>
                <w:color w:val="auto"/>
                <w:sz w:val="14"/>
                <w:szCs w:val="14"/>
              </w:rPr>
              <w:t>TRANSITION REPORT PURSUANT TO SECTION 13 OR 15(d) OF THE SECURITIES EXCHANGE ACT OF 1934</w:t>
            </w:r>
          </w:p>
        </w:tc>
        <w:tc>
          <w:tcPr>
            <w:tcW w:w="1" w:type="dxa"/>
            <w:vAlign w:val="bottom"/>
          </w:tcPr>
          <w:p>
            <w:pPr>
              <w:spacing w:after="0"/>
              <w:rPr>
                <w:color w:val="auto"/>
                <w:sz w:val="1"/>
                <w:szCs w:val="1"/>
              </w:rPr>
            </w:pPr>
          </w:p>
        </w:tc>
      </w:tr>
      <w:tr>
        <w:tblPrEx>
          <w:tblInd w:w="0" w:type="dxa"/>
          <w:tblLayout w:type="fixed"/>
        </w:tblPrEx>
        <w:trPr>
          <w:trHeight w:val="158"/>
        </w:trPr>
        <w:tc>
          <w:tcPr>
            <w:tcW w:w="1660" w:type="dxa"/>
            <w:vAlign w:val="bottom"/>
          </w:tcPr>
          <w:p>
            <w:pPr>
              <w:spacing w:after="0"/>
              <w:rPr>
                <w:color w:val="auto"/>
                <w:sz w:val="20"/>
                <w:szCs w:val="20"/>
              </w:rPr>
            </w:pPr>
            <w:r>
              <w:rPr>
                <w:rFonts w:ascii="Calibri" w:eastAsia="Calibri" w:hAnsi="Calibri" w:cs="Calibri"/>
                <w:color w:val="auto"/>
                <w:sz w:val="13"/>
                <w:szCs w:val="13"/>
              </w:rPr>
              <w:t>For the transiton period from</w:t>
            </w:r>
          </w:p>
        </w:tc>
        <w:tc>
          <w:tcPr>
            <w:tcW w:w="1040" w:type="dxa"/>
            <w:vAlign w:val="bottom"/>
          </w:tcPr>
          <w:p>
            <w:pPr>
              <w:spacing w:after="0"/>
              <w:rPr>
                <w:color w:val="auto"/>
                <w:sz w:val="13"/>
                <w:szCs w:val="13"/>
              </w:rPr>
            </w:pPr>
          </w:p>
        </w:tc>
        <w:tc>
          <w:tcPr>
            <w:tcW w:w="860" w:type="dxa"/>
            <w:gridSpan w:val="2"/>
            <w:vAlign w:val="bottom"/>
          </w:tcPr>
          <w:p>
            <w:pPr>
              <w:spacing w:after="0"/>
              <w:ind w:left="20"/>
              <w:rPr>
                <w:color w:val="auto"/>
                <w:sz w:val="20"/>
                <w:szCs w:val="20"/>
              </w:rPr>
            </w:pPr>
            <w:r>
              <w:rPr>
                <w:rFonts w:ascii="Calibri" w:eastAsia="Calibri" w:hAnsi="Calibri" w:cs="Calibri"/>
                <w:color w:val="auto"/>
                <w:sz w:val="13"/>
                <w:szCs w:val="13"/>
              </w:rPr>
              <w:t>to</w:t>
            </w: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204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1080" w:type="dxa"/>
            <w:vAlign w:val="bottom"/>
          </w:tcPr>
          <w:p>
            <w:pPr>
              <w:spacing w:after="0"/>
              <w:rPr>
                <w:color w:val="auto"/>
                <w:sz w:val="13"/>
                <w:szCs w:val="13"/>
              </w:rPr>
            </w:pPr>
          </w:p>
        </w:tc>
        <w:tc>
          <w:tcPr>
            <w:tcW w:w="3300" w:type="dxa"/>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404"/>
        </w:trPr>
        <w:tc>
          <w:tcPr>
            <w:tcW w:w="1660" w:type="dxa"/>
            <w:vAlign w:val="bottom"/>
          </w:tcPr>
          <w:p>
            <w:pPr>
              <w:spacing w:after="0"/>
              <w:rPr>
                <w:color w:val="auto"/>
                <w:sz w:val="24"/>
                <w:szCs w:val="24"/>
              </w:rPr>
            </w:pPr>
          </w:p>
        </w:tc>
        <w:tc>
          <w:tcPr>
            <w:tcW w:w="1040" w:type="dxa"/>
            <w:tcBorders>
              <w:top w:val="single" w:sz="8" w:space="0" w:color="auto"/>
            </w:tcBorders>
            <w:vAlign w:val="bottom"/>
          </w:tcPr>
          <w:p>
            <w:pPr>
              <w:spacing w:after="0"/>
              <w:rPr>
                <w:color w:val="auto"/>
                <w:sz w:val="24"/>
                <w:szCs w:val="24"/>
              </w:rPr>
            </w:pPr>
          </w:p>
        </w:tc>
        <w:tc>
          <w:tcPr>
            <w:tcW w:w="160" w:type="dxa"/>
            <w:vAlign w:val="bottom"/>
          </w:tcPr>
          <w:p>
            <w:pPr>
              <w:spacing w:after="0"/>
              <w:rPr>
                <w:color w:val="auto"/>
                <w:sz w:val="24"/>
                <w:szCs w:val="24"/>
              </w:rPr>
            </w:pPr>
          </w:p>
        </w:tc>
        <w:tc>
          <w:tcPr>
            <w:tcW w:w="700" w:type="dxa"/>
            <w:tcBorders>
              <w:top w:val="single" w:sz="8" w:space="0" w:color="auto"/>
            </w:tcBorders>
            <w:vAlign w:val="bottom"/>
          </w:tcPr>
          <w:p>
            <w:pPr>
              <w:spacing w:after="0"/>
              <w:rPr>
                <w:color w:val="auto"/>
                <w:sz w:val="24"/>
                <w:szCs w:val="24"/>
              </w:rPr>
            </w:pPr>
          </w:p>
        </w:tc>
        <w:tc>
          <w:tcPr>
            <w:tcW w:w="340" w:type="dxa"/>
            <w:tcBorders>
              <w:top w:val="single" w:sz="8" w:space="0" w:color="auto"/>
            </w:tcBorders>
            <w:vAlign w:val="bottom"/>
          </w:tcPr>
          <w:p>
            <w:pPr>
              <w:spacing w:after="0"/>
              <w:rPr>
                <w:color w:val="auto"/>
                <w:sz w:val="24"/>
                <w:szCs w:val="24"/>
              </w:rPr>
            </w:pPr>
          </w:p>
        </w:tc>
        <w:tc>
          <w:tcPr>
            <w:tcW w:w="100" w:type="dxa"/>
            <w:vAlign w:val="bottom"/>
          </w:tcPr>
          <w:p>
            <w:pPr>
              <w:spacing w:after="0"/>
              <w:rPr>
                <w:color w:val="auto"/>
                <w:sz w:val="24"/>
                <w:szCs w:val="24"/>
              </w:rPr>
            </w:pPr>
          </w:p>
        </w:tc>
        <w:tc>
          <w:tcPr>
            <w:tcW w:w="440" w:type="dxa"/>
            <w:vAlign w:val="bottom"/>
          </w:tcPr>
          <w:p>
            <w:pPr>
              <w:spacing w:after="0"/>
              <w:rPr>
                <w:color w:val="auto"/>
                <w:sz w:val="24"/>
                <w:szCs w:val="24"/>
              </w:rPr>
            </w:pPr>
          </w:p>
        </w:tc>
        <w:tc>
          <w:tcPr>
            <w:tcW w:w="3560" w:type="dxa"/>
            <w:gridSpan w:val="3"/>
            <w:vAlign w:val="bottom"/>
          </w:tcPr>
          <w:p>
            <w:pPr>
              <w:spacing w:after="0"/>
              <w:ind w:right="1160"/>
              <w:jc w:val="center"/>
              <w:rPr>
                <w:color w:val="auto"/>
                <w:sz w:val="20"/>
                <w:szCs w:val="20"/>
              </w:rPr>
            </w:pPr>
            <w:r>
              <w:rPr>
                <w:rFonts w:ascii="Calibri" w:eastAsia="Calibri" w:hAnsi="Calibri" w:cs="Calibri"/>
                <w:b/>
                <w:bCs/>
                <w:color w:val="auto"/>
                <w:w w:val="99"/>
                <w:sz w:val="12"/>
                <w:szCs w:val="12"/>
              </w:rPr>
              <w:t>Commission fle number 001-35565</w:t>
            </w:r>
          </w:p>
        </w:tc>
        <w:tc>
          <w:tcPr>
            <w:tcW w:w="3300" w:type="dxa"/>
            <w:vAlign w:val="bottom"/>
          </w:tcPr>
          <w:p>
            <w:pPr>
              <w:spacing w:after="0"/>
              <w:rPr>
                <w:color w:val="auto"/>
                <w:sz w:val="24"/>
                <w:szCs w:val="24"/>
              </w:rPr>
            </w:pPr>
          </w:p>
        </w:tc>
        <w:tc>
          <w:tcPr>
            <w:tcW w:w="1" w:type="dxa"/>
            <w:vAlign w:val="bottom"/>
          </w:tcPr>
          <w:p>
            <w:pPr>
              <w:spacing w:after="0"/>
              <w:rPr>
                <w:color w:val="auto"/>
                <w:sz w:val="1"/>
                <w:szCs w:val="1"/>
              </w:rPr>
            </w:pPr>
          </w:p>
        </w:tc>
      </w:tr>
      <w:tr>
        <w:tblPrEx>
          <w:tblInd w:w="0" w:type="dxa"/>
          <w:tblLayout w:type="fixed"/>
        </w:tblPrEx>
        <w:trPr>
          <w:trHeight w:val="728"/>
        </w:trPr>
        <w:tc>
          <w:tcPr>
            <w:tcW w:w="1660" w:type="dxa"/>
            <w:vAlign w:val="bottom"/>
          </w:tcPr>
          <w:p>
            <w:pPr>
              <w:spacing w:after="0"/>
              <w:rPr>
                <w:color w:val="auto"/>
                <w:sz w:val="24"/>
                <w:szCs w:val="24"/>
              </w:rPr>
            </w:pPr>
          </w:p>
        </w:tc>
        <w:tc>
          <w:tcPr>
            <w:tcW w:w="1040" w:type="dxa"/>
            <w:vAlign w:val="bottom"/>
          </w:tcPr>
          <w:p>
            <w:pPr>
              <w:spacing w:after="0"/>
              <w:rPr>
                <w:color w:val="auto"/>
                <w:sz w:val="24"/>
                <w:szCs w:val="24"/>
              </w:rPr>
            </w:pPr>
          </w:p>
        </w:tc>
        <w:tc>
          <w:tcPr>
            <w:tcW w:w="160" w:type="dxa"/>
            <w:vAlign w:val="bottom"/>
          </w:tcPr>
          <w:p>
            <w:pPr>
              <w:spacing w:after="0"/>
              <w:rPr>
                <w:color w:val="auto"/>
                <w:sz w:val="24"/>
                <w:szCs w:val="24"/>
              </w:rPr>
            </w:pPr>
          </w:p>
        </w:tc>
        <w:tc>
          <w:tcPr>
            <w:tcW w:w="700" w:type="dxa"/>
            <w:vAlign w:val="bottom"/>
          </w:tcPr>
          <w:p>
            <w:pPr>
              <w:spacing w:after="0"/>
              <w:rPr>
                <w:color w:val="auto"/>
                <w:sz w:val="24"/>
                <w:szCs w:val="24"/>
              </w:rPr>
            </w:pPr>
          </w:p>
        </w:tc>
        <w:tc>
          <w:tcPr>
            <w:tcW w:w="340" w:type="dxa"/>
            <w:vAlign w:val="bottom"/>
          </w:tcPr>
          <w:p>
            <w:pPr>
              <w:spacing w:after="0"/>
              <w:rPr>
                <w:color w:val="auto"/>
                <w:sz w:val="24"/>
                <w:szCs w:val="24"/>
              </w:rPr>
            </w:pPr>
          </w:p>
        </w:tc>
        <w:tc>
          <w:tcPr>
            <w:tcW w:w="100" w:type="dxa"/>
            <w:vAlign w:val="bottom"/>
          </w:tcPr>
          <w:p>
            <w:pPr>
              <w:spacing w:after="0"/>
              <w:rPr>
                <w:color w:val="auto"/>
                <w:sz w:val="24"/>
                <w:szCs w:val="24"/>
              </w:rPr>
            </w:pPr>
          </w:p>
        </w:tc>
        <w:tc>
          <w:tcPr>
            <w:tcW w:w="440" w:type="dxa"/>
            <w:vAlign w:val="bottom"/>
          </w:tcPr>
          <w:p>
            <w:pPr>
              <w:spacing w:after="0"/>
              <w:rPr>
                <w:color w:val="auto"/>
                <w:sz w:val="24"/>
                <w:szCs w:val="24"/>
              </w:rPr>
            </w:pPr>
          </w:p>
        </w:tc>
        <w:tc>
          <w:tcPr>
            <w:tcW w:w="3560" w:type="dxa"/>
            <w:gridSpan w:val="3"/>
            <w:vAlign w:val="bottom"/>
          </w:tcPr>
          <w:p>
            <w:pPr>
              <w:spacing w:after="0"/>
              <w:ind w:right="1140"/>
              <w:jc w:val="center"/>
              <w:rPr>
                <w:color w:val="auto"/>
                <w:sz w:val="20"/>
                <w:szCs w:val="20"/>
              </w:rPr>
            </w:pPr>
            <w:r>
              <w:rPr>
                <w:rFonts w:ascii="Calibri" w:eastAsia="Calibri" w:hAnsi="Calibri" w:cs="Calibri"/>
                <w:b/>
                <w:bCs/>
                <w:color w:val="auto"/>
                <w:w w:val="97"/>
                <w:sz w:val="22"/>
                <w:szCs w:val="22"/>
              </w:rPr>
              <w:t>AbbVie Inc.</w:t>
            </w:r>
          </w:p>
        </w:tc>
        <w:tc>
          <w:tcPr>
            <w:tcW w:w="3300" w:type="dxa"/>
            <w:vAlign w:val="bottom"/>
          </w:tcPr>
          <w:p>
            <w:pPr>
              <w:spacing w:after="0"/>
              <w:rPr>
                <w:color w:val="auto"/>
                <w:sz w:val="24"/>
                <w:szCs w:val="24"/>
              </w:rPr>
            </w:pPr>
          </w:p>
        </w:tc>
        <w:tc>
          <w:tcPr>
            <w:tcW w:w="1" w:type="dxa"/>
            <w:vAlign w:val="bottom"/>
          </w:tcPr>
          <w:p>
            <w:pPr>
              <w:spacing w:after="0"/>
              <w:rPr>
                <w:color w:val="auto"/>
                <w:sz w:val="1"/>
                <w:szCs w:val="1"/>
              </w:rPr>
            </w:pPr>
          </w:p>
        </w:tc>
      </w:tr>
      <w:tr>
        <w:tblPrEx>
          <w:tblInd w:w="0" w:type="dxa"/>
          <w:tblLayout w:type="fixed"/>
        </w:tblPrEx>
        <w:trPr>
          <w:trHeight w:val="253"/>
        </w:trPr>
        <w:tc>
          <w:tcPr>
            <w:tcW w:w="1660" w:type="dxa"/>
            <w:vAlign w:val="bottom"/>
          </w:tcPr>
          <w:p>
            <w:pPr>
              <w:spacing w:after="0"/>
              <w:rPr>
                <w:color w:val="auto"/>
                <w:sz w:val="22"/>
                <w:szCs w:val="22"/>
              </w:rPr>
            </w:pPr>
          </w:p>
        </w:tc>
        <w:tc>
          <w:tcPr>
            <w:tcW w:w="1040" w:type="dxa"/>
            <w:vAlign w:val="bottom"/>
          </w:tcPr>
          <w:p>
            <w:pPr>
              <w:spacing w:after="0"/>
              <w:rPr>
                <w:color w:val="auto"/>
                <w:sz w:val="22"/>
                <w:szCs w:val="22"/>
              </w:rPr>
            </w:pPr>
          </w:p>
        </w:tc>
        <w:tc>
          <w:tcPr>
            <w:tcW w:w="160" w:type="dxa"/>
            <w:vAlign w:val="bottom"/>
          </w:tcPr>
          <w:p>
            <w:pPr>
              <w:spacing w:after="0"/>
              <w:rPr>
                <w:color w:val="auto"/>
                <w:sz w:val="22"/>
                <w:szCs w:val="22"/>
              </w:rPr>
            </w:pPr>
          </w:p>
        </w:tc>
        <w:tc>
          <w:tcPr>
            <w:tcW w:w="700" w:type="dxa"/>
            <w:vAlign w:val="bottom"/>
          </w:tcPr>
          <w:p>
            <w:pPr>
              <w:spacing w:after="0"/>
              <w:rPr>
                <w:color w:val="auto"/>
                <w:sz w:val="22"/>
                <w:szCs w:val="22"/>
              </w:rPr>
            </w:pPr>
          </w:p>
        </w:tc>
        <w:tc>
          <w:tcPr>
            <w:tcW w:w="340" w:type="dxa"/>
            <w:vAlign w:val="bottom"/>
          </w:tcPr>
          <w:p>
            <w:pPr>
              <w:spacing w:after="0"/>
              <w:rPr>
                <w:color w:val="auto"/>
                <w:sz w:val="22"/>
                <w:szCs w:val="22"/>
              </w:rPr>
            </w:pPr>
          </w:p>
        </w:tc>
        <w:tc>
          <w:tcPr>
            <w:tcW w:w="100" w:type="dxa"/>
            <w:vAlign w:val="bottom"/>
          </w:tcPr>
          <w:p>
            <w:pPr>
              <w:spacing w:after="0"/>
              <w:rPr>
                <w:color w:val="auto"/>
                <w:sz w:val="22"/>
                <w:szCs w:val="22"/>
              </w:rPr>
            </w:pPr>
          </w:p>
        </w:tc>
        <w:tc>
          <w:tcPr>
            <w:tcW w:w="4000" w:type="dxa"/>
            <w:gridSpan w:val="4"/>
            <w:vAlign w:val="bottom"/>
          </w:tcPr>
          <w:p>
            <w:pPr>
              <w:spacing w:after="0"/>
              <w:ind w:right="700"/>
              <w:jc w:val="center"/>
              <w:rPr>
                <w:color w:val="auto"/>
                <w:sz w:val="20"/>
                <w:szCs w:val="20"/>
              </w:rPr>
            </w:pPr>
            <w:r>
              <w:rPr>
                <w:rFonts w:ascii="Calibri" w:eastAsia="Calibri" w:hAnsi="Calibri" w:cs="Calibri"/>
                <w:color w:val="auto"/>
                <w:w w:val="97"/>
                <w:sz w:val="12"/>
                <w:szCs w:val="12"/>
              </w:rPr>
              <w:t>(Exact name of registrant as specifed in its charter)</w:t>
            </w:r>
          </w:p>
        </w:tc>
        <w:tc>
          <w:tcPr>
            <w:tcW w:w="3300" w:type="dxa"/>
            <w:vAlign w:val="bottom"/>
          </w:tcPr>
          <w:p>
            <w:pPr>
              <w:spacing w:after="0"/>
              <w:rPr>
                <w:color w:val="auto"/>
                <w:sz w:val="22"/>
                <w:szCs w:val="22"/>
              </w:rPr>
            </w:pPr>
          </w:p>
        </w:tc>
        <w:tc>
          <w:tcPr>
            <w:tcW w:w="1" w:type="dxa"/>
            <w:vAlign w:val="bottom"/>
          </w:tcPr>
          <w:p>
            <w:pPr>
              <w:spacing w:after="0"/>
              <w:rPr>
                <w:color w:val="auto"/>
                <w:sz w:val="1"/>
                <w:szCs w:val="1"/>
              </w:rPr>
            </w:pPr>
          </w:p>
        </w:tc>
      </w:tr>
      <w:tr>
        <w:tblPrEx>
          <w:tblInd w:w="0" w:type="dxa"/>
          <w:tblLayout w:type="fixed"/>
        </w:tblPrEx>
        <w:trPr>
          <w:trHeight w:val="171"/>
        </w:trPr>
        <w:tc>
          <w:tcPr>
            <w:tcW w:w="1660" w:type="dxa"/>
            <w:vAlign w:val="bottom"/>
          </w:tcPr>
          <w:p>
            <w:pPr>
              <w:spacing w:after="0"/>
              <w:rPr>
                <w:color w:val="auto"/>
                <w:sz w:val="14"/>
                <w:szCs w:val="14"/>
              </w:rPr>
            </w:pPr>
          </w:p>
        </w:tc>
        <w:tc>
          <w:tcPr>
            <w:tcW w:w="1900" w:type="dxa"/>
            <w:gridSpan w:val="3"/>
            <w:vAlign w:val="bottom"/>
          </w:tcPr>
          <w:p>
            <w:pPr>
              <w:spacing w:after="0"/>
              <w:ind w:left="135"/>
              <w:jc w:val="center"/>
              <w:rPr>
                <w:color w:val="auto"/>
                <w:sz w:val="20"/>
                <w:szCs w:val="20"/>
              </w:rPr>
            </w:pPr>
            <w:r>
              <w:rPr>
                <w:rFonts w:ascii="Calibri" w:eastAsia="Calibri" w:hAnsi="Calibri" w:cs="Calibri"/>
                <w:b/>
                <w:bCs/>
                <w:color w:val="auto"/>
                <w:w w:val="96"/>
                <w:sz w:val="12"/>
                <w:szCs w:val="12"/>
              </w:rPr>
              <w:t>Delaware</w:t>
            </w:r>
          </w:p>
        </w:tc>
        <w:tc>
          <w:tcPr>
            <w:tcW w:w="34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440" w:type="dxa"/>
            <w:vAlign w:val="bottom"/>
          </w:tcPr>
          <w:p>
            <w:pPr>
              <w:spacing w:after="0"/>
              <w:rPr>
                <w:color w:val="auto"/>
                <w:sz w:val="14"/>
                <w:szCs w:val="14"/>
              </w:rPr>
            </w:pPr>
          </w:p>
        </w:tc>
        <w:tc>
          <w:tcPr>
            <w:tcW w:w="2040" w:type="dxa"/>
            <w:vAlign w:val="bottom"/>
          </w:tcPr>
          <w:p>
            <w:pPr>
              <w:spacing w:after="0"/>
              <w:rPr>
                <w:color w:val="auto"/>
                <w:sz w:val="14"/>
                <w:szCs w:val="14"/>
              </w:rPr>
            </w:pPr>
          </w:p>
        </w:tc>
        <w:tc>
          <w:tcPr>
            <w:tcW w:w="440" w:type="dxa"/>
            <w:vAlign w:val="bottom"/>
          </w:tcPr>
          <w:p>
            <w:pPr>
              <w:spacing w:after="0"/>
              <w:rPr>
                <w:color w:val="auto"/>
                <w:sz w:val="14"/>
                <w:szCs w:val="14"/>
              </w:rPr>
            </w:pPr>
          </w:p>
        </w:tc>
        <w:tc>
          <w:tcPr>
            <w:tcW w:w="1080" w:type="dxa"/>
            <w:vAlign w:val="bottom"/>
          </w:tcPr>
          <w:p>
            <w:pPr>
              <w:spacing w:after="0"/>
              <w:rPr>
                <w:color w:val="auto"/>
                <w:sz w:val="14"/>
                <w:szCs w:val="14"/>
              </w:rPr>
            </w:pPr>
          </w:p>
        </w:tc>
        <w:tc>
          <w:tcPr>
            <w:tcW w:w="3300" w:type="dxa"/>
            <w:vAlign w:val="bottom"/>
          </w:tcPr>
          <w:p>
            <w:pPr>
              <w:spacing w:after="0"/>
              <w:ind w:right="2100"/>
              <w:jc w:val="center"/>
              <w:rPr>
                <w:color w:val="auto"/>
                <w:sz w:val="20"/>
                <w:szCs w:val="20"/>
              </w:rPr>
            </w:pPr>
            <w:r>
              <w:rPr>
                <w:rFonts w:ascii="Calibri" w:eastAsia="Calibri" w:hAnsi="Calibri" w:cs="Calibri"/>
                <w:b/>
                <w:bCs/>
                <w:color w:val="auto"/>
                <w:w w:val="99"/>
                <w:sz w:val="12"/>
                <w:szCs w:val="12"/>
              </w:rPr>
              <w:t>32-0375147</w:t>
            </w:r>
          </w:p>
        </w:tc>
        <w:tc>
          <w:tcPr>
            <w:tcW w:w="1" w:type="dxa"/>
            <w:vAlign w:val="bottom"/>
          </w:tcPr>
          <w:p>
            <w:pPr>
              <w:spacing w:after="0"/>
              <w:rPr>
                <w:color w:val="auto"/>
                <w:sz w:val="1"/>
                <w:szCs w:val="1"/>
              </w:rPr>
            </w:pPr>
          </w:p>
        </w:tc>
      </w:tr>
      <w:tr>
        <w:tblPrEx>
          <w:tblInd w:w="0" w:type="dxa"/>
          <w:tblLayout w:type="fixed"/>
        </w:tblPrEx>
        <w:trPr>
          <w:trHeight w:val="128"/>
        </w:trPr>
        <w:tc>
          <w:tcPr>
            <w:tcW w:w="1660" w:type="dxa"/>
            <w:vAlign w:val="bottom"/>
          </w:tcPr>
          <w:p>
            <w:pPr>
              <w:spacing w:after="0"/>
              <w:rPr>
                <w:color w:val="auto"/>
                <w:sz w:val="11"/>
                <w:szCs w:val="11"/>
              </w:rPr>
            </w:pPr>
          </w:p>
        </w:tc>
        <w:tc>
          <w:tcPr>
            <w:tcW w:w="1900" w:type="dxa"/>
            <w:gridSpan w:val="3"/>
            <w:vAlign w:val="bottom"/>
          </w:tcPr>
          <w:p>
            <w:pPr>
              <w:spacing w:after="0" w:line="128" w:lineRule="exact"/>
              <w:ind w:left="115"/>
              <w:jc w:val="center"/>
              <w:rPr>
                <w:color w:val="auto"/>
                <w:sz w:val="20"/>
                <w:szCs w:val="20"/>
              </w:rPr>
            </w:pPr>
            <w:r>
              <w:rPr>
                <w:rFonts w:ascii="Calibri" w:eastAsia="Calibri" w:hAnsi="Calibri" w:cs="Calibri"/>
                <w:color w:val="auto"/>
                <w:w w:val="98"/>
                <w:sz w:val="12"/>
                <w:szCs w:val="12"/>
              </w:rPr>
              <w:t>(State or other jurisdicton of</w:t>
            </w:r>
          </w:p>
        </w:tc>
        <w:tc>
          <w:tcPr>
            <w:tcW w:w="34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440" w:type="dxa"/>
            <w:vAlign w:val="bottom"/>
          </w:tcPr>
          <w:p>
            <w:pPr>
              <w:spacing w:after="0"/>
              <w:rPr>
                <w:color w:val="auto"/>
                <w:sz w:val="11"/>
                <w:szCs w:val="11"/>
              </w:rPr>
            </w:pPr>
          </w:p>
        </w:tc>
        <w:tc>
          <w:tcPr>
            <w:tcW w:w="2040" w:type="dxa"/>
            <w:vAlign w:val="bottom"/>
          </w:tcPr>
          <w:p>
            <w:pPr>
              <w:spacing w:after="0"/>
              <w:rPr>
                <w:color w:val="auto"/>
                <w:sz w:val="11"/>
                <w:szCs w:val="11"/>
              </w:rPr>
            </w:pPr>
          </w:p>
        </w:tc>
        <w:tc>
          <w:tcPr>
            <w:tcW w:w="440" w:type="dxa"/>
            <w:vAlign w:val="bottom"/>
          </w:tcPr>
          <w:p>
            <w:pPr>
              <w:spacing w:after="0"/>
              <w:rPr>
                <w:color w:val="auto"/>
                <w:sz w:val="11"/>
                <w:szCs w:val="11"/>
              </w:rPr>
            </w:pPr>
          </w:p>
        </w:tc>
        <w:tc>
          <w:tcPr>
            <w:tcW w:w="1080" w:type="dxa"/>
            <w:vAlign w:val="bottom"/>
          </w:tcPr>
          <w:p>
            <w:pPr>
              <w:spacing w:after="0"/>
              <w:rPr>
                <w:color w:val="auto"/>
                <w:sz w:val="11"/>
                <w:szCs w:val="11"/>
              </w:rPr>
            </w:pPr>
          </w:p>
        </w:tc>
        <w:tc>
          <w:tcPr>
            <w:tcW w:w="3300" w:type="dxa"/>
            <w:vAlign w:val="bottom"/>
          </w:tcPr>
          <w:p>
            <w:pPr>
              <w:spacing w:after="0" w:line="128" w:lineRule="exact"/>
              <w:ind w:right="2100"/>
              <w:jc w:val="center"/>
              <w:rPr>
                <w:color w:val="auto"/>
                <w:sz w:val="20"/>
                <w:szCs w:val="20"/>
              </w:rPr>
            </w:pPr>
            <w:r>
              <w:rPr>
                <w:rFonts w:ascii="Calibri" w:eastAsia="Calibri" w:hAnsi="Calibri" w:cs="Calibri"/>
                <w:color w:val="auto"/>
                <w:w w:val="96"/>
                <w:sz w:val="12"/>
                <w:szCs w:val="12"/>
              </w:rPr>
              <w:t>(I.R.S. employer</w:t>
            </w:r>
          </w:p>
        </w:tc>
        <w:tc>
          <w:tcPr>
            <w:tcW w:w="1" w:type="dxa"/>
            <w:vAlign w:val="bottom"/>
          </w:tcPr>
          <w:p>
            <w:pPr>
              <w:spacing w:after="0"/>
              <w:rPr>
                <w:color w:val="auto"/>
                <w:sz w:val="1"/>
                <w:szCs w:val="1"/>
              </w:rPr>
            </w:pPr>
          </w:p>
        </w:tc>
      </w:tr>
      <w:tr>
        <w:tblPrEx>
          <w:tblInd w:w="0" w:type="dxa"/>
          <w:tblLayout w:type="fixed"/>
        </w:tblPrEx>
        <w:trPr>
          <w:trHeight w:val="142"/>
        </w:trPr>
        <w:tc>
          <w:tcPr>
            <w:tcW w:w="1660" w:type="dxa"/>
            <w:vAlign w:val="bottom"/>
          </w:tcPr>
          <w:p>
            <w:pPr>
              <w:spacing w:after="0"/>
              <w:rPr>
                <w:color w:val="auto"/>
                <w:sz w:val="12"/>
                <w:szCs w:val="12"/>
              </w:rPr>
            </w:pPr>
          </w:p>
        </w:tc>
        <w:tc>
          <w:tcPr>
            <w:tcW w:w="1900" w:type="dxa"/>
            <w:gridSpan w:val="3"/>
            <w:vAlign w:val="bottom"/>
          </w:tcPr>
          <w:p>
            <w:pPr>
              <w:spacing w:after="0" w:line="142" w:lineRule="exact"/>
              <w:ind w:left="135"/>
              <w:jc w:val="center"/>
              <w:rPr>
                <w:color w:val="auto"/>
                <w:sz w:val="20"/>
                <w:szCs w:val="20"/>
              </w:rPr>
            </w:pPr>
            <w:r>
              <w:rPr>
                <w:rFonts w:ascii="Calibri" w:eastAsia="Calibri" w:hAnsi="Calibri" w:cs="Calibri"/>
                <w:color w:val="auto"/>
                <w:sz w:val="12"/>
                <w:szCs w:val="12"/>
              </w:rPr>
              <w:t>incorporaton or organizaton)</w:t>
            </w:r>
          </w:p>
        </w:tc>
        <w:tc>
          <w:tcPr>
            <w:tcW w:w="340" w:type="dxa"/>
            <w:vAlign w:val="bottom"/>
          </w:tcPr>
          <w:p>
            <w:pPr>
              <w:spacing w:after="0"/>
              <w:rPr>
                <w:color w:val="auto"/>
                <w:sz w:val="12"/>
                <w:szCs w:val="12"/>
              </w:rPr>
            </w:pPr>
          </w:p>
        </w:tc>
        <w:tc>
          <w:tcPr>
            <w:tcW w:w="100" w:type="dxa"/>
            <w:vAlign w:val="bottom"/>
          </w:tcPr>
          <w:p>
            <w:pPr>
              <w:spacing w:after="0"/>
              <w:rPr>
                <w:color w:val="auto"/>
                <w:sz w:val="12"/>
                <w:szCs w:val="12"/>
              </w:rPr>
            </w:pPr>
          </w:p>
        </w:tc>
        <w:tc>
          <w:tcPr>
            <w:tcW w:w="440" w:type="dxa"/>
            <w:vAlign w:val="bottom"/>
          </w:tcPr>
          <w:p>
            <w:pPr>
              <w:spacing w:after="0"/>
              <w:rPr>
                <w:color w:val="auto"/>
                <w:sz w:val="12"/>
                <w:szCs w:val="12"/>
              </w:rPr>
            </w:pPr>
          </w:p>
        </w:tc>
        <w:tc>
          <w:tcPr>
            <w:tcW w:w="2040" w:type="dxa"/>
            <w:vAlign w:val="bottom"/>
          </w:tcPr>
          <w:p>
            <w:pPr>
              <w:spacing w:after="0"/>
              <w:rPr>
                <w:color w:val="auto"/>
                <w:sz w:val="12"/>
                <w:szCs w:val="12"/>
              </w:rPr>
            </w:pPr>
          </w:p>
        </w:tc>
        <w:tc>
          <w:tcPr>
            <w:tcW w:w="440" w:type="dxa"/>
            <w:vAlign w:val="bottom"/>
          </w:tcPr>
          <w:p>
            <w:pPr>
              <w:spacing w:after="0"/>
              <w:rPr>
                <w:color w:val="auto"/>
                <w:sz w:val="12"/>
                <w:szCs w:val="12"/>
              </w:rPr>
            </w:pPr>
          </w:p>
        </w:tc>
        <w:tc>
          <w:tcPr>
            <w:tcW w:w="1080" w:type="dxa"/>
            <w:vAlign w:val="bottom"/>
          </w:tcPr>
          <w:p>
            <w:pPr>
              <w:spacing w:after="0"/>
              <w:rPr>
                <w:color w:val="auto"/>
                <w:sz w:val="12"/>
                <w:szCs w:val="12"/>
              </w:rPr>
            </w:pPr>
          </w:p>
        </w:tc>
        <w:tc>
          <w:tcPr>
            <w:tcW w:w="3300" w:type="dxa"/>
            <w:vAlign w:val="bottom"/>
          </w:tcPr>
          <w:p>
            <w:pPr>
              <w:spacing w:after="0" w:line="142" w:lineRule="exact"/>
              <w:ind w:right="2100"/>
              <w:jc w:val="center"/>
              <w:rPr>
                <w:color w:val="auto"/>
                <w:sz w:val="20"/>
                <w:szCs w:val="20"/>
              </w:rPr>
            </w:pPr>
            <w:r>
              <w:rPr>
                <w:rFonts w:ascii="Calibri" w:eastAsia="Calibri" w:hAnsi="Calibri" w:cs="Calibri"/>
                <w:color w:val="auto"/>
                <w:sz w:val="12"/>
                <w:szCs w:val="12"/>
              </w:rPr>
              <w:t>identfcaton number)</w:t>
            </w:r>
          </w:p>
        </w:tc>
        <w:tc>
          <w:tcPr>
            <w:tcW w:w="1" w:type="dxa"/>
            <w:vAlign w:val="bottom"/>
          </w:tcPr>
          <w:p>
            <w:pPr>
              <w:spacing w:after="0"/>
              <w:rPr>
                <w:color w:val="auto"/>
                <w:sz w:val="1"/>
                <w:szCs w:val="1"/>
              </w:rPr>
            </w:pPr>
          </w:p>
        </w:tc>
      </w:tr>
      <w:tr>
        <w:tblPrEx>
          <w:tblInd w:w="0" w:type="dxa"/>
          <w:tblLayout w:type="fixed"/>
        </w:tblPrEx>
        <w:trPr>
          <w:trHeight w:val="279"/>
        </w:trPr>
        <w:tc>
          <w:tcPr>
            <w:tcW w:w="1660" w:type="dxa"/>
            <w:vAlign w:val="bottom"/>
          </w:tcPr>
          <w:p>
            <w:pPr>
              <w:spacing w:after="0"/>
              <w:rPr>
                <w:color w:val="auto"/>
                <w:sz w:val="24"/>
                <w:szCs w:val="24"/>
              </w:rPr>
            </w:pPr>
          </w:p>
        </w:tc>
        <w:tc>
          <w:tcPr>
            <w:tcW w:w="1040" w:type="dxa"/>
            <w:vAlign w:val="bottom"/>
          </w:tcPr>
          <w:p>
            <w:pPr>
              <w:spacing w:after="0"/>
              <w:rPr>
                <w:color w:val="auto"/>
                <w:sz w:val="24"/>
                <w:szCs w:val="24"/>
              </w:rPr>
            </w:pPr>
          </w:p>
        </w:tc>
        <w:tc>
          <w:tcPr>
            <w:tcW w:w="160" w:type="dxa"/>
            <w:vAlign w:val="bottom"/>
          </w:tcPr>
          <w:p>
            <w:pPr>
              <w:spacing w:after="0"/>
              <w:rPr>
                <w:color w:val="auto"/>
                <w:sz w:val="24"/>
                <w:szCs w:val="24"/>
              </w:rPr>
            </w:pPr>
          </w:p>
        </w:tc>
        <w:tc>
          <w:tcPr>
            <w:tcW w:w="700" w:type="dxa"/>
            <w:vAlign w:val="bottom"/>
          </w:tcPr>
          <w:p>
            <w:pPr>
              <w:spacing w:after="0"/>
              <w:rPr>
                <w:color w:val="auto"/>
                <w:sz w:val="24"/>
                <w:szCs w:val="24"/>
              </w:rPr>
            </w:pPr>
          </w:p>
        </w:tc>
        <w:tc>
          <w:tcPr>
            <w:tcW w:w="340" w:type="dxa"/>
            <w:vAlign w:val="bottom"/>
          </w:tcPr>
          <w:p>
            <w:pPr>
              <w:spacing w:after="0"/>
              <w:rPr>
                <w:color w:val="auto"/>
                <w:sz w:val="24"/>
                <w:szCs w:val="24"/>
              </w:rPr>
            </w:pPr>
          </w:p>
        </w:tc>
        <w:tc>
          <w:tcPr>
            <w:tcW w:w="100" w:type="dxa"/>
            <w:vAlign w:val="bottom"/>
          </w:tcPr>
          <w:p>
            <w:pPr>
              <w:spacing w:after="0"/>
              <w:rPr>
                <w:color w:val="auto"/>
                <w:sz w:val="24"/>
                <w:szCs w:val="24"/>
              </w:rPr>
            </w:pPr>
          </w:p>
        </w:tc>
        <w:tc>
          <w:tcPr>
            <w:tcW w:w="440" w:type="dxa"/>
            <w:vAlign w:val="bottom"/>
          </w:tcPr>
          <w:p>
            <w:pPr>
              <w:spacing w:after="0"/>
              <w:rPr>
                <w:color w:val="auto"/>
                <w:sz w:val="24"/>
                <w:szCs w:val="24"/>
              </w:rPr>
            </w:pPr>
          </w:p>
        </w:tc>
        <w:tc>
          <w:tcPr>
            <w:tcW w:w="3560" w:type="dxa"/>
            <w:gridSpan w:val="3"/>
            <w:vAlign w:val="bottom"/>
          </w:tcPr>
          <w:p>
            <w:pPr>
              <w:spacing w:after="0"/>
              <w:ind w:right="1140"/>
              <w:jc w:val="center"/>
              <w:rPr>
                <w:color w:val="auto"/>
                <w:sz w:val="20"/>
                <w:szCs w:val="20"/>
              </w:rPr>
            </w:pPr>
            <w:r>
              <w:rPr>
                <w:rFonts w:ascii="Calibri" w:eastAsia="Calibri" w:hAnsi="Calibri" w:cs="Calibri"/>
                <w:b/>
                <w:bCs/>
                <w:color w:val="auto"/>
                <w:w w:val="96"/>
                <w:sz w:val="12"/>
                <w:szCs w:val="12"/>
              </w:rPr>
              <w:t>1 North Waukegan Road</w:t>
            </w:r>
          </w:p>
        </w:tc>
        <w:tc>
          <w:tcPr>
            <w:tcW w:w="3300" w:type="dxa"/>
            <w:vAlign w:val="bottom"/>
          </w:tcPr>
          <w:p>
            <w:pPr>
              <w:spacing w:after="0"/>
              <w:rPr>
                <w:color w:val="auto"/>
                <w:sz w:val="24"/>
                <w:szCs w:val="24"/>
              </w:rPr>
            </w:pPr>
          </w:p>
        </w:tc>
        <w:tc>
          <w:tcPr>
            <w:tcW w:w="1" w:type="dxa"/>
            <w:vAlign w:val="bottom"/>
          </w:tcPr>
          <w:p>
            <w:pPr>
              <w:spacing w:after="0"/>
              <w:rPr>
                <w:color w:val="auto"/>
                <w:sz w:val="1"/>
                <w:szCs w:val="1"/>
              </w:rPr>
            </w:pPr>
          </w:p>
        </w:tc>
      </w:tr>
      <w:tr>
        <w:tblPrEx>
          <w:tblInd w:w="0" w:type="dxa"/>
          <w:tblLayout w:type="fixed"/>
        </w:tblPrEx>
        <w:trPr>
          <w:trHeight w:val="144"/>
        </w:trPr>
        <w:tc>
          <w:tcPr>
            <w:tcW w:w="1660" w:type="dxa"/>
            <w:vAlign w:val="bottom"/>
          </w:tcPr>
          <w:p>
            <w:pPr>
              <w:spacing w:after="0"/>
              <w:rPr>
                <w:color w:val="auto"/>
                <w:sz w:val="12"/>
                <w:szCs w:val="12"/>
              </w:rPr>
            </w:pPr>
          </w:p>
        </w:tc>
        <w:tc>
          <w:tcPr>
            <w:tcW w:w="10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70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00" w:type="dxa"/>
            <w:vAlign w:val="bottom"/>
          </w:tcPr>
          <w:p>
            <w:pPr>
              <w:spacing w:after="0"/>
              <w:rPr>
                <w:color w:val="auto"/>
                <w:sz w:val="12"/>
                <w:szCs w:val="12"/>
              </w:rPr>
            </w:pPr>
          </w:p>
        </w:tc>
        <w:tc>
          <w:tcPr>
            <w:tcW w:w="440" w:type="dxa"/>
            <w:vAlign w:val="bottom"/>
          </w:tcPr>
          <w:p>
            <w:pPr>
              <w:spacing w:after="0"/>
              <w:rPr>
                <w:color w:val="auto"/>
                <w:sz w:val="12"/>
                <w:szCs w:val="12"/>
              </w:rPr>
            </w:pPr>
          </w:p>
        </w:tc>
        <w:tc>
          <w:tcPr>
            <w:tcW w:w="3560" w:type="dxa"/>
            <w:gridSpan w:val="3"/>
            <w:vAlign w:val="bottom"/>
          </w:tcPr>
          <w:p>
            <w:pPr>
              <w:spacing w:after="0" w:line="144" w:lineRule="exact"/>
              <w:ind w:right="1140"/>
              <w:jc w:val="center"/>
              <w:rPr>
                <w:color w:val="auto"/>
                <w:sz w:val="20"/>
                <w:szCs w:val="20"/>
              </w:rPr>
            </w:pPr>
            <w:r>
              <w:rPr>
                <w:rFonts w:ascii="Calibri" w:eastAsia="Calibri" w:hAnsi="Calibri" w:cs="Calibri"/>
                <w:b/>
                <w:bCs/>
                <w:color w:val="auto"/>
                <w:w w:val="97"/>
                <w:sz w:val="12"/>
                <w:szCs w:val="12"/>
              </w:rPr>
              <w:t>North Chicago, Illinois 60064-6400</w:t>
            </w:r>
          </w:p>
        </w:tc>
        <w:tc>
          <w:tcPr>
            <w:tcW w:w="330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44"/>
        </w:trPr>
        <w:tc>
          <w:tcPr>
            <w:tcW w:w="1660" w:type="dxa"/>
            <w:vAlign w:val="bottom"/>
          </w:tcPr>
          <w:p>
            <w:pPr>
              <w:spacing w:after="0"/>
              <w:rPr>
                <w:color w:val="auto"/>
                <w:sz w:val="12"/>
                <w:szCs w:val="12"/>
              </w:rPr>
            </w:pPr>
          </w:p>
        </w:tc>
        <w:tc>
          <w:tcPr>
            <w:tcW w:w="10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700" w:type="dxa"/>
            <w:vAlign w:val="bottom"/>
          </w:tcPr>
          <w:p>
            <w:pPr>
              <w:spacing w:after="0"/>
              <w:rPr>
                <w:color w:val="auto"/>
                <w:sz w:val="12"/>
                <w:szCs w:val="12"/>
              </w:rPr>
            </w:pPr>
          </w:p>
        </w:tc>
        <w:tc>
          <w:tcPr>
            <w:tcW w:w="2920" w:type="dxa"/>
            <w:gridSpan w:val="4"/>
            <w:vAlign w:val="bottom"/>
          </w:tcPr>
          <w:p>
            <w:pPr>
              <w:spacing w:after="0" w:line="144" w:lineRule="exact"/>
              <w:ind w:left="1720"/>
              <w:rPr>
                <w:color w:val="auto"/>
                <w:sz w:val="20"/>
                <w:szCs w:val="20"/>
              </w:rPr>
            </w:pPr>
            <w:r>
              <w:rPr>
                <w:rFonts w:ascii="Calibri" w:eastAsia="Calibri" w:hAnsi="Calibri" w:cs="Calibri"/>
                <w:b/>
                <w:bCs/>
                <w:color w:val="auto"/>
                <w:sz w:val="12"/>
                <w:szCs w:val="12"/>
              </w:rPr>
              <w:t>(847) 932-7900</w:t>
            </w:r>
          </w:p>
        </w:tc>
        <w:tc>
          <w:tcPr>
            <w:tcW w:w="440" w:type="dxa"/>
            <w:vAlign w:val="bottom"/>
          </w:tcPr>
          <w:p>
            <w:pPr>
              <w:spacing w:after="0"/>
              <w:rPr>
                <w:color w:val="auto"/>
                <w:sz w:val="12"/>
                <w:szCs w:val="12"/>
              </w:rPr>
            </w:pPr>
          </w:p>
        </w:tc>
        <w:tc>
          <w:tcPr>
            <w:tcW w:w="1080" w:type="dxa"/>
            <w:vAlign w:val="bottom"/>
          </w:tcPr>
          <w:p>
            <w:pPr>
              <w:spacing w:after="0"/>
              <w:rPr>
                <w:color w:val="auto"/>
                <w:sz w:val="12"/>
                <w:szCs w:val="12"/>
              </w:rPr>
            </w:pPr>
          </w:p>
        </w:tc>
        <w:tc>
          <w:tcPr>
            <w:tcW w:w="330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44"/>
        </w:trPr>
        <w:tc>
          <w:tcPr>
            <w:tcW w:w="1660" w:type="dxa"/>
            <w:vAlign w:val="bottom"/>
          </w:tcPr>
          <w:p>
            <w:pPr>
              <w:spacing w:after="0"/>
              <w:rPr>
                <w:color w:val="auto"/>
                <w:sz w:val="12"/>
                <w:szCs w:val="12"/>
              </w:rPr>
            </w:pPr>
          </w:p>
        </w:tc>
        <w:tc>
          <w:tcPr>
            <w:tcW w:w="10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700" w:type="dxa"/>
            <w:vAlign w:val="bottom"/>
          </w:tcPr>
          <w:p>
            <w:pPr>
              <w:spacing w:after="0"/>
              <w:rPr>
                <w:color w:val="auto"/>
                <w:sz w:val="12"/>
                <w:szCs w:val="12"/>
              </w:rPr>
            </w:pPr>
          </w:p>
        </w:tc>
        <w:tc>
          <w:tcPr>
            <w:tcW w:w="4440" w:type="dxa"/>
            <w:gridSpan w:val="6"/>
            <w:vAlign w:val="bottom"/>
          </w:tcPr>
          <w:p>
            <w:pPr>
              <w:spacing w:after="0" w:line="144" w:lineRule="exact"/>
              <w:ind w:right="280"/>
              <w:jc w:val="center"/>
              <w:rPr>
                <w:color w:val="auto"/>
                <w:sz w:val="20"/>
                <w:szCs w:val="20"/>
              </w:rPr>
            </w:pPr>
            <w:r>
              <w:rPr>
                <w:rFonts w:ascii="Calibri" w:eastAsia="Calibri" w:hAnsi="Calibri" w:cs="Calibri"/>
                <w:color w:val="auto"/>
                <w:w w:val="99"/>
                <w:sz w:val="12"/>
                <w:szCs w:val="12"/>
              </w:rPr>
              <w:t>(Address, including zip code, and telephone number of principal executve ofces)</w:t>
            </w:r>
          </w:p>
        </w:tc>
        <w:tc>
          <w:tcPr>
            <w:tcW w:w="330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243"/>
        </w:trPr>
        <w:tc>
          <w:tcPr>
            <w:tcW w:w="3560" w:type="dxa"/>
            <w:gridSpan w:val="4"/>
            <w:vAlign w:val="bottom"/>
          </w:tcPr>
          <w:p>
            <w:pPr>
              <w:spacing w:after="0"/>
              <w:ind w:left="320"/>
              <w:rPr>
                <w:color w:val="auto"/>
                <w:sz w:val="20"/>
                <w:szCs w:val="20"/>
              </w:rPr>
            </w:pPr>
            <w:r>
              <w:rPr>
                <w:rFonts w:ascii="Calibri" w:eastAsia="Calibri" w:hAnsi="Calibri" w:cs="Calibri"/>
                <w:color w:val="auto"/>
                <w:sz w:val="12"/>
                <w:szCs w:val="12"/>
              </w:rPr>
              <w:t>Securites Registered Pursuant to Secton 12(b) of the Act:</w:t>
            </w:r>
          </w:p>
        </w:tc>
        <w:tc>
          <w:tcPr>
            <w:tcW w:w="340" w:type="dxa"/>
            <w:vAlign w:val="bottom"/>
          </w:tcPr>
          <w:p>
            <w:pPr>
              <w:spacing w:after="0"/>
              <w:rPr>
                <w:color w:val="auto"/>
                <w:sz w:val="21"/>
                <w:szCs w:val="21"/>
              </w:rPr>
            </w:pPr>
          </w:p>
        </w:tc>
        <w:tc>
          <w:tcPr>
            <w:tcW w:w="100" w:type="dxa"/>
            <w:vAlign w:val="bottom"/>
          </w:tcPr>
          <w:p>
            <w:pPr>
              <w:spacing w:after="0"/>
              <w:rPr>
                <w:color w:val="auto"/>
                <w:sz w:val="21"/>
                <w:szCs w:val="21"/>
              </w:rPr>
            </w:pPr>
          </w:p>
        </w:tc>
        <w:tc>
          <w:tcPr>
            <w:tcW w:w="440" w:type="dxa"/>
            <w:vAlign w:val="bottom"/>
          </w:tcPr>
          <w:p>
            <w:pPr>
              <w:spacing w:after="0"/>
              <w:rPr>
                <w:color w:val="auto"/>
                <w:sz w:val="21"/>
                <w:szCs w:val="21"/>
              </w:rPr>
            </w:pPr>
          </w:p>
        </w:tc>
        <w:tc>
          <w:tcPr>
            <w:tcW w:w="2040" w:type="dxa"/>
            <w:vAlign w:val="bottom"/>
          </w:tcPr>
          <w:p>
            <w:pPr>
              <w:spacing w:after="0"/>
              <w:rPr>
                <w:color w:val="auto"/>
                <w:sz w:val="21"/>
                <w:szCs w:val="21"/>
              </w:rPr>
            </w:pPr>
          </w:p>
        </w:tc>
        <w:tc>
          <w:tcPr>
            <w:tcW w:w="440" w:type="dxa"/>
            <w:vAlign w:val="bottom"/>
          </w:tcPr>
          <w:p>
            <w:pPr>
              <w:spacing w:after="0"/>
              <w:rPr>
                <w:color w:val="auto"/>
                <w:sz w:val="21"/>
                <w:szCs w:val="21"/>
              </w:rPr>
            </w:pPr>
          </w:p>
        </w:tc>
        <w:tc>
          <w:tcPr>
            <w:tcW w:w="1080" w:type="dxa"/>
            <w:vAlign w:val="bottom"/>
          </w:tcPr>
          <w:p>
            <w:pPr>
              <w:spacing w:after="0"/>
              <w:rPr>
                <w:color w:val="auto"/>
                <w:sz w:val="21"/>
                <w:szCs w:val="21"/>
              </w:rPr>
            </w:pPr>
          </w:p>
        </w:tc>
        <w:tc>
          <w:tcPr>
            <w:tcW w:w="3300" w:type="dxa"/>
            <w:vAlign w:val="bottom"/>
          </w:tcPr>
          <w:p>
            <w:pPr>
              <w:spacing w:after="0"/>
              <w:rPr>
                <w:color w:val="auto"/>
                <w:sz w:val="21"/>
                <w:szCs w:val="21"/>
              </w:rPr>
            </w:pPr>
          </w:p>
        </w:tc>
        <w:tc>
          <w:tcPr>
            <w:tcW w:w="1" w:type="dxa"/>
            <w:vAlign w:val="bottom"/>
          </w:tcPr>
          <w:p>
            <w:pPr>
              <w:spacing w:after="0"/>
              <w:rPr>
                <w:color w:val="auto"/>
                <w:sz w:val="1"/>
                <w:szCs w:val="1"/>
              </w:rPr>
            </w:pPr>
          </w:p>
        </w:tc>
      </w:tr>
      <w:tr>
        <w:tblPrEx>
          <w:tblInd w:w="0" w:type="dxa"/>
          <w:tblLayout w:type="fixed"/>
        </w:tblPrEx>
        <w:trPr>
          <w:trHeight w:val="179"/>
        </w:trPr>
        <w:tc>
          <w:tcPr>
            <w:tcW w:w="3560" w:type="dxa"/>
            <w:gridSpan w:val="4"/>
            <w:vAlign w:val="bottom"/>
          </w:tcPr>
          <w:p>
            <w:pPr>
              <w:spacing w:after="0"/>
              <w:ind w:left="376"/>
              <w:jc w:val="center"/>
              <w:rPr>
                <w:color w:val="auto"/>
                <w:sz w:val="20"/>
                <w:szCs w:val="20"/>
              </w:rPr>
            </w:pPr>
            <w:r>
              <w:rPr>
                <w:rFonts w:ascii="Calibri" w:eastAsia="Calibri" w:hAnsi="Calibri" w:cs="Calibri"/>
                <w:b/>
                <w:bCs/>
                <w:color w:val="auto"/>
                <w:w w:val="99"/>
                <w:sz w:val="12"/>
                <w:szCs w:val="12"/>
              </w:rPr>
              <w:t>Title of Each Class</w:t>
            </w:r>
          </w:p>
        </w:tc>
        <w:tc>
          <w:tcPr>
            <w:tcW w:w="34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440" w:type="dxa"/>
            <w:vAlign w:val="bottom"/>
          </w:tcPr>
          <w:p>
            <w:pPr>
              <w:spacing w:after="0"/>
              <w:rPr>
                <w:color w:val="auto"/>
                <w:sz w:val="15"/>
                <w:szCs w:val="15"/>
              </w:rPr>
            </w:pPr>
          </w:p>
        </w:tc>
        <w:tc>
          <w:tcPr>
            <w:tcW w:w="3560" w:type="dxa"/>
            <w:gridSpan w:val="3"/>
            <w:vAlign w:val="bottom"/>
          </w:tcPr>
          <w:p>
            <w:pPr>
              <w:spacing w:after="0"/>
              <w:ind w:right="1500"/>
              <w:jc w:val="center"/>
              <w:rPr>
                <w:color w:val="auto"/>
                <w:sz w:val="20"/>
                <w:szCs w:val="20"/>
              </w:rPr>
            </w:pPr>
            <w:r>
              <w:rPr>
                <w:rFonts w:ascii="Calibri" w:eastAsia="Calibri" w:hAnsi="Calibri" w:cs="Calibri"/>
                <w:b/>
                <w:bCs/>
                <w:color w:val="auto"/>
                <w:w w:val="95"/>
                <w:sz w:val="12"/>
                <w:szCs w:val="12"/>
              </w:rPr>
              <w:t>Trading Symbol(s)</w:t>
            </w:r>
          </w:p>
        </w:tc>
        <w:tc>
          <w:tcPr>
            <w:tcW w:w="3300" w:type="dxa"/>
            <w:vAlign w:val="bottom"/>
          </w:tcPr>
          <w:p>
            <w:pPr>
              <w:spacing w:after="0"/>
              <w:ind w:right="1020"/>
              <w:jc w:val="center"/>
              <w:rPr>
                <w:color w:val="auto"/>
                <w:sz w:val="20"/>
                <w:szCs w:val="20"/>
              </w:rPr>
            </w:pPr>
            <w:r>
              <w:rPr>
                <w:rFonts w:ascii="Calibri" w:eastAsia="Calibri" w:hAnsi="Calibri" w:cs="Calibri"/>
                <w:b/>
                <w:bCs/>
                <w:color w:val="auto"/>
                <w:w w:val="97"/>
                <w:sz w:val="12"/>
                <w:szCs w:val="12"/>
              </w:rPr>
              <w:t>Name of Each Exchange on Which Registered</w:t>
            </w:r>
          </w:p>
        </w:tc>
        <w:tc>
          <w:tcPr>
            <w:tcW w:w="1" w:type="dxa"/>
            <w:vAlign w:val="bottom"/>
          </w:tcPr>
          <w:p>
            <w:pPr>
              <w:spacing w:after="0"/>
              <w:rPr>
                <w:color w:val="auto"/>
                <w:sz w:val="1"/>
                <w:szCs w:val="1"/>
              </w:rPr>
            </w:pPr>
          </w:p>
        </w:tc>
      </w:tr>
      <w:tr>
        <w:tblPrEx>
          <w:tblInd w:w="0" w:type="dxa"/>
          <w:tblLayout w:type="fixed"/>
        </w:tblPrEx>
        <w:trPr>
          <w:trHeight w:val="139"/>
        </w:trPr>
        <w:tc>
          <w:tcPr>
            <w:tcW w:w="3560" w:type="dxa"/>
            <w:gridSpan w:val="4"/>
            <w:tcBorders>
              <w:top w:val="single" w:sz="8" w:space="0" w:color="auto"/>
            </w:tcBorders>
            <w:vAlign w:val="bottom"/>
          </w:tcPr>
          <w:p>
            <w:pPr>
              <w:spacing w:after="0" w:line="140" w:lineRule="exact"/>
              <w:ind w:left="376"/>
              <w:jc w:val="center"/>
              <w:rPr>
                <w:color w:val="auto"/>
                <w:sz w:val="20"/>
                <w:szCs w:val="20"/>
              </w:rPr>
            </w:pPr>
            <w:r>
              <w:rPr>
                <w:rFonts w:ascii="Calibri" w:eastAsia="Calibri" w:hAnsi="Calibri" w:cs="Calibri"/>
                <w:color w:val="auto"/>
                <w:w w:val="96"/>
                <w:sz w:val="12"/>
                <w:szCs w:val="12"/>
              </w:rPr>
              <w:t>Common Stock, par value $0.01 per share</w:t>
            </w:r>
          </w:p>
        </w:tc>
        <w:tc>
          <w:tcPr>
            <w:tcW w:w="340" w:type="dxa"/>
            <w:tcBorders>
              <w:top w:val="single" w:sz="8" w:space="0" w:color="auto"/>
            </w:tcBorders>
            <w:vAlign w:val="bottom"/>
          </w:tcPr>
          <w:p>
            <w:pPr>
              <w:spacing w:after="0"/>
              <w:rPr>
                <w:color w:val="auto"/>
                <w:sz w:val="12"/>
                <w:szCs w:val="12"/>
              </w:rPr>
            </w:pPr>
          </w:p>
        </w:tc>
        <w:tc>
          <w:tcPr>
            <w:tcW w:w="100" w:type="dxa"/>
            <w:tcBorders>
              <w:top w:val="single" w:sz="8" w:space="0" w:color="auto"/>
            </w:tcBorders>
            <w:vAlign w:val="bottom"/>
          </w:tcPr>
          <w:p>
            <w:pPr>
              <w:spacing w:after="0"/>
              <w:rPr>
                <w:color w:val="auto"/>
                <w:sz w:val="12"/>
                <w:szCs w:val="12"/>
              </w:rPr>
            </w:pPr>
          </w:p>
        </w:tc>
        <w:tc>
          <w:tcPr>
            <w:tcW w:w="440" w:type="dxa"/>
            <w:vAlign w:val="bottom"/>
          </w:tcPr>
          <w:p>
            <w:pPr>
              <w:spacing w:after="0"/>
              <w:rPr>
                <w:color w:val="auto"/>
                <w:sz w:val="12"/>
                <w:szCs w:val="12"/>
              </w:rPr>
            </w:pPr>
          </w:p>
        </w:tc>
        <w:tc>
          <w:tcPr>
            <w:tcW w:w="2040" w:type="dxa"/>
            <w:tcBorders>
              <w:top w:val="single" w:sz="8" w:space="0" w:color="auto"/>
            </w:tcBorders>
            <w:vAlign w:val="bottom"/>
          </w:tcPr>
          <w:p>
            <w:pPr>
              <w:spacing w:after="0" w:line="140" w:lineRule="exact"/>
              <w:jc w:val="center"/>
              <w:rPr>
                <w:color w:val="auto"/>
                <w:sz w:val="20"/>
                <w:szCs w:val="20"/>
              </w:rPr>
            </w:pPr>
            <w:r>
              <w:rPr>
                <w:rFonts w:ascii="Calibri" w:eastAsia="Calibri" w:hAnsi="Calibri" w:cs="Calibri"/>
                <w:color w:val="auto"/>
                <w:w w:val="96"/>
                <w:sz w:val="12"/>
                <w:szCs w:val="12"/>
              </w:rPr>
              <w:t>ABBV</w:t>
            </w:r>
          </w:p>
        </w:tc>
        <w:tc>
          <w:tcPr>
            <w:tcW w:w="440" w:type="dxa"/>
            <w:vAlign w:val="bottom"/>
          </w:tcPr>
          <w:p>
            <w:pPr>
              <w:spacing w:after="0"/>
              <w:rPr>
                <w:color w:val="auto"/>
                <w:sz w:val="12"/>
                <w:szCs w:val="12"/>
              </w:rPr>
            </w:pPr>
          </w:p>
        </w:tc>
        <w:tc>
          <w:tcPr>
            <w:tcW w:w="1080" w:type="dxa"/>
            <w:tcBorders>
              <w:top w:val="single" w:sz="8" w:space="0" w:color="auto"/>
            </w:tcBorders>
            <w:vAlign w:val="bottom"/>
          </w:tcPr>
          <w:p>
            <w:pPr>
              <w:spacing w:after="0"/>
              <w:rPr>
                <w:color w:val="auto"/>
                <w:sz w:val="12"/>
                <w:szCs w:val="12"/>
              </w:rPr>
            </w:pPr>
          </w:p>
        </w:tc>
        <w:tc>
          <w:tcPr>
            <w:tcW w:w="3300" w:type="dxa"/>
            <w:tcBorders>
              <w:top w:val="single" w:sz="8" w:space="0" w:color="auto"/>
            </w:tcBorders>
            <w:vAlign w:val="bottom"/>
          </w:tcPr>
          <w:p>
            <w:pPr>
              <w:spacing w:after="0" w:line="140" w:lineRule="exact"/>
              <w:ind w:right="1020"/>
              <w:jc w:val="center"/>
              <w:rPr>
                <w:color w:val="auto"/>
                <w:sz w:val="20"/>
                <w:szCs w:val="20"/>
              </w:rPr>
            </w:pPr>
            <w:r>
              <w:rPr>
                <w:rFonts w:ascii="Calibri" w:eastAsia="Calibri" w:hAnsi="Calibri" w:cs="Calibri"/>
                <w:color w:val="auto"/>
                <w:w w:val="97"/>
                <w:sz w:val="12"/>
                <w:szCs w:val="12"/>
              </w:rPr>
              <w:t>New York Stock Exchange</w:t>
            </w:r>
          </w:p>
        </w:tc>
        <w:tc>
          <w:tcPr>
            <w:tcW w:w="1" w:type="dxa"/>
            <w:vAlign w:val="bottom"/>
          </w:tcPr>
          <w:p>
            <w:pPr>
              <w:spacing w:after="0"/>
              <w:rPr>
                <w:color w:val="auto"/>
                <w:sz w:val="1"/>
                <w:szCs w:val="1"/>
              </w:rPr>
            </w:pPr>
          </w:p>
        </w:tc>
      </w:tr>
      <w:tr>
        <w:tblPrEx>
          <w:tblInd w:w="0" w:type="dxa"/>
          <w:tblLayout w:type="fixed"/>
        </w:tblPrEx>
        <w:trPr>
          <w:trHeight w:val="147"/>
        </w:trPr>
        <w:tc>
          <w:tcPr>
            <w:tcW w:w="1660" w:type="dxa"/>
            <w:vAlign w:val="bottom"/>
          </w:tcPr>
          <w:p>
            <w:pPr>
              <w:spacing w:after="0"/>
              <w:rPr>
                <w:color w:val="auto"/>
                <w:sz w:val="12"/>
                <w:szCs w:val="12"/>
              </w:rPr>
            </w:pPr>
          </w:p>
        </w:tc>
        <w:tc>
          <w:tcPr>
            <w:tcW w:w="10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70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00" w:type="dxa"/>
            <w:vAlign w:val="bottom"/>
          </w:tcPr>
          <w:p>
            <w:pPr>
              <w:spacing w:after="0"/>
              <w:rPr>
                <w:color w:val="auto"/>
                <w:sz w:val="12"/>
                <w:szCs w:val="12"/>
              </w:rPr>
            </w:pPr>
          </w:p>
        </w:tc>
        <w:tc>
          <w:tcPr>
            <w:tcW w:w="440" w:type="dxa"/>
            <w:vAlign w:val="bottom"/>
          </w:tcPr>
          <w:p>
            <w:pPr>
              <w:spacing w:after="0"/>
              <w:rPr>
                <w:color w:val="auto"/>
                <w:sz w:val="12"/>
                <w:szCs w:val="12"/>
              </w:rPr>
            </w:pPr>
          </w:p>
        </w:tc>
        <w:tc>
          <w:tcPr>
            <w:tcW w:w="2040" w:type="dxa"/>
            <w:vAlign w:val="bottom"/>
          </w:tcPr>
          <w:p>
            <w:pPr>
              <w:spacing w:after="0"/>
              <w:rPr>
                <w:color w:val="auto"/>
                <w:sz w:val="12"/>
                <w:szCs w:val="12"/>
              </w:rPr>
            </w:pPr>
          </w:p>
        </w:tc>
        <w:tc>
          <w:tcPr>
            <w:tcW w:w="440" w:type="dxa"/>
            <w:vAlign w:val="bottom"/>
          </w:tcPr>
          <w:p>
            <w:pPr>
              <w:spacing w:after="0"/>
              <w:rPr>
                <w:color w:val="auto"/>
                <w:sz w:val="12"/>
                <w:szCs w:val="12"/>
              </w:rPr>
            </w:pPr>
          </w:p>
        </w:tc>
        <w:tc>
          <w:tcPr>
            <w:tcW w:w="1080" w:type="dxa"/>
            <w:vAlign w:val="bottom"/>
          </w:tcPr>
          <w:p>
            <w:pPr>
              <w:spacing w:after="0"/>
              <w:rPr>
                <w:color w:val="auto"/>
                <w:sz w:val="12"/>
                <w:szCs w:val="12"/>
              </w:rPr>
            </w:pPr>
          </w:p>
        </w:tc>
        <w:tc>
          <w:tcPr>
            <w:tcW w:w="3300" w:type="dxa"/>
            <w:vAlign w:val="bottom"/>
          </w:tcPr>
          <w:p>
            <w:pPr>
              <w:spacing w:after="0"/>
              <w:ind w:right="1020"/>
              <w:jc w:val="center"/>
              <w:rPr>
                <w:color w:val="auto"/>
                <w:sz w:val="20"/>
                <w:szCs w:val="20"/>
              </w:rPr>
            </w:pPr>
            <w:r>
              <w:rPr>
                <w:rFonts w:ascii="Calibri" w:eastAsia="Calibri" w:hAnsi="Calibri" w:cs="Calibri"/>
                <w:color w:val="auto"/>
                <w:w w:val="98"/>
                <w:sz w:val="12"/>
                <w:szCs w:val="12"/>
              </w:rPr>
              <w:t>Chicago Stock Exchange</w:t>
            </w:r>
          </w:p>
        </w:tc>
        <w:tc>
          <w:tcPr>
            <w:tcW w:w="1" w:type="dxa"/>
            <w:vAlign w:val="bottom"/>
          </w:tcPr>
          <w:p>
            <w:pPr>
              <w:spacing w:after="0"/>
              <w:rPr>
                <w:color w:val="auto"/>
                <w:sz w:val="1"/>
                <w:szCs w:val="1"/>
              </w:rPr>
            </w:pPr>
          </w:p>
        </w:tc>
      </w:tr>
      <w:tr>
        <w:tblPrEx>
          <w:tblInd w:w="0" w:type="dxa"/>
          <w:tblLayout w:type="fixed"/>
        </w:tblPrEx>
        <w:trPr>
          <w:trHeight w:val="153"/>
        </w:trPr>
        <w:tc>
          <w:tcPr>
            <w:tcW w:w="3560" w:type="dxa"/>
            <w:gridSpan w:val="4"/>
            <w:vAlign w:val="bottom"/>
          </w:tcPr>
          <w:p>
            <w:pPr>
              <w:spacing w:after="0"/>
              <w:ind w:left="376"/>
              <w:jc w:val="center"/>
              <w:rPr>
                <w:color w:val="auto"/>
                <w:sz w:val="20"/>
                <w:szCs w:val="20"/>
              </w:rPr>
            </w:pPr>
            <w:r>
              <w:rPr>
                <w:rFonts w:ascii="Calibri" w:eastAsia="Calibri" w:hAnsi="Calibri" w:cs="Calibri"/>
                <w:color w:val="auto"/>
                <w:w w:val="96"/>
                <w:sz w:val="12"/>
                <w:szCs w:val="12"/>
              </w:rPr>
              <w:t>0.750% Senior Notes due 2027</w:t>
            </w: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3560" w:type="dxa"/>
            <w:gridSpan w:val="3"/>
            <w:vAlign w:val="bottom"/>
          </w:tcPr>
          <w:p>
            <w:pPr>
              <w:spacing w:after="0"/>
              <w:ind w:left="840"/>
              <w:rPr>
                <w:color w:val="auto"/>
                <w:sz w:val="20"/>
                <w:szCs w:val="20"/>
              </w:rPr>
            </w:pPr>
            <w:r>
              <w:rPr>
                <w:rFonts w:ascii="Calibri" w:eastAsia="Calibri" w:hAnsi="Calibri" w:cs="Calibri"/>
                <w:color w:val="auto"/>
                <w:sz w:val="12"/>
                <w:szCs w:val="12"/>
              </w:rPr>
              <w:t>ABBV27</w:t>
            </w:r>
          </w:p>
        </w:tc>
        <w:tc>
          <w:tcPr>
            <w:tcW w:w="3300" w:type="dxa"/>
            <w:vAlign w:val="bottom"/>
          </w:tcPr>
          <w:p>
            <w:pPr>
              <w:spacing w:after="0"/>
              <w:ind w:right="1020"/>
              <w:jc w:val="center"/>
              <w:rPr>
                <w:color w:val="auto"/>
                <w:sz w:val="20"/>
                <w:szCs w:val="20"/>
              </w:rPr>
            </w:pPr>
            <w:r>
              <w:rPr>
                <w:rFonts w:ascii="Calibri" w:eastAsia="Calibri" w:hAnsi="Calibri" w:cs="Calibri"/>
                <w:color w:val="auto"/>
                <w:w w:val="97"/>
                <w:sz w:val="12"/>
                <w:szCs w:val="12"/>
              </w:rPr>
              <w:t>New York Stock Exchange</w:t>
            </w:r>
          </w:p>
        </w:tc>
        <w:tc>
          <w:tcPr>
            <w:tcW w:w="1" w:type="dxa"/>
            <w:vAlign w:val="bottom"/>
          </w:tcPr>
          <w:p>
            <w:pPr>
              <w:spacing w:after="0"/>
              <w:rPr>
                <w:color w:val="auto"/>
                <w:sz w:val="1"/>
                <w:szCs w:val="1"/>
              </w:rPr>
            </w:pPr>
          </w:p>
        </w:tc>
      </w:tr>
      <w:tr>
        <w:tblPrEx>
          <w:tblInd w:w="0" w:type="dxa"/>
          <w:tblLayout w:type="fixed"/>
        </w:tblPrEx>
        <w:trPr>
          <w:trHeight w:val="153"/>
        </w:trPr>
        <w:tc>
          <w:tcPr>
            <w:tcW w:w="3560" w:type="dxa"/>
            <w:gridSpan w:val="4"/>
            <w:vAlign w:val="bottom"/>
          </w:tcPr>
          <w:p>
            <w:pPr>
              <w:spacing w:after="0"/>
              <w:ind w:left="376"/>
              <w:jc w:val="center"/>
              <w:rPr>
                <w:color w:val="auto"/>
                <w:sz w:val="20"/>
                <w:szCs w:val="20"/>
              </w:rPr>
            </w:pPr>
            <w:r>
              <w:rPr>
                <w:rFonts w:ascii="Calibri" w:eastAsia="Calibri" w:hAnsi="Calibri" w:cs="Calibri"/>
                <w:color w:val="auto"/>
                <w:w w:val="96"/>
                <w:sz w:val="12"/>
                <w:szCs w:val="12"/>
              </w:rPr>
              <w:t>2.125% Senior Notes due 2028</w:t>
            </w: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3560" w:type="dxa"/>
            <w:gridSpan w:val="3"/>
            <w:vAlign w:val="bottom"/>
          </w:tcPr>
          <w:p>
            <w:pPr>
              <w:spacing w:after="0"/>
              <w:ind w:left="840"/>
              <w:rPr>
                <w:color w:val="auto"/>
                <w:sz w:val="20"/>
                <w:szCs w:val="20"/>
              </w:rPr>
            </w:pPr>
            <w:r>
              <w:rPr>
                <w:rFonts w:ascii="Calibri" w:eastAsia="Calibri" w:hAnsi="Calibri" w:cs="Calibri"/>
                <w:color w:val="auto"/>
                <w:sz w:val="12"/>
                <w:szCs w:val="12"/>
              </w:rPr>
              <w:t>ABBV28</w:t>
            </w:r>
          </w:p>
        </w:tc>
        <w:tc>
          <w:tcPr>
            <w:tcW w:w="3300" w:type="dxa"/>
            <w:vAlign w:val="bottom"/>
          </w:tcPr>
          <w:p>
            <w:pPr>
              <w:spacing w:after="0"/>
              <w:ind w:right="1020"/>
              <w:jc w:val="center"/>
              <w:rPr>
                <w:color w:val="auto"/>
                <w:sz w:val="20"/>
                <w:szCs w:val="20"/>
              </w:rPr>
            </w:pPr>
            <w:r>
              <w:rPr>
                <w:rFonts w:ascii="Calibri" w:eastAsia="Calibri" w:hAnsi="Calibri" w:cs="Calibri"/>
                <w:color w:val="auto"/>
                <w:w w:val="97"/>
                <w:sz w:val="12"/>
                <w:szCs w:val="12"/>
              </w:rPr>
              <w:t>New York Stock Exchange</w:t>
            </w:r>
          </w:p>
        </w:tc>
        <w:tc>
          <w:tcPr>
            <w:tcW w:w="1" w:type="dxa"/>
            <w:vAlign w:val="bottom"/>
          </w:tcPr>
          <w:p>
            <w:pPr>
              <w:spacing w:after="0"/>
              <w:rPr>
                <w:color w:val="auto"/>
                <w:sz w:val="1"/>
                <w:szCs w:val="1"/>
              </w:rPr>
            </w:pPr>
          </w:p>
        </w:tc>
      </w:tr>
      <w:tr>
        <w:tblPrEx>
          <w:tblInd w:w="0" w:type="dxa"/>
          <w:tblLayout w:type="fixed"/>
        </w:tblPrEx>
        <w:trPr>
          <w:trHeight w:val="153"/>
        </w:trPr>
        <w:tc>
          <w:tcPr>
            <w:tcW w:w="3560" w:type="dxa"/>
            <w:gridSpan w:val="4"/>
            <w:vAlign w:val="bottom"/>
          </w:tcPr>
          <w:p>
            <w:pPr>
              <w:spacing w:after="0"/>
              <w:ind w:left="376"/>
              <w:jc w:val="center"/>
              <w:rPr>
                <w:color w:val="auto"/>
                <w:sz w:val="20"/>
                <w:szCs w:val="20"/>
              </w:rPr>
            </w:pPr>
            <w:r>
              <w:rPr>
                <w:rFonts w:ascii="Calibri" w:eastAsia="Calibri" w:hAnsi="Calibri" w:cs="Calibri"/>
                <w:color w:val="auto"/>
                <w:w w:val="96"/>
                <w:sz w:val="12"/>
                <w:szCs w:val="12"/>
              </w:rPr>
              <w:t>2.625% Senior Notes due 2028</w:t>
            </w: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3560" w:type="dxa"/>
            <w:gridSpan w:val="3"/>
            <w:vAlign w:val="bottom"/>
          </w:tcPr>
          <w:p>
            <w:pPr>
              <w:spacing w:after="0"/>
              <w:ind w:right="1520"/>
              <w:jc w:val="center"/>
              <w:rPr>
                <w:color w:val="auto"/>
                <w:sz w:val="20"/>
                <w:szCs w:val="20"/>
              </w:rPr>
            </w:pPr>
            <w:r>
              <w:rPr>
                <w:rFonts w:ascii="Calibri" w:eastAsia="Calibri" w:hAnsi="Calibri" w:cs="Calibri"/>
                <w:color w:val="auto"/>
                <w:w w:val="96"/>
                <w:sz w:val="12"/>
                <w:szCs w:val="12"/>
              </w:rPr>
              <w:t>ABBV28B</w:t>
            </w:r>
          </w:p>
        </w:tc>
        <w:tc>
          <w:tcPr>
            <w:tcW w:w="3300" w:type="dxa"/>
            <w:vAlign w:val="bottom"/>
          </w:tcPr>
          <w:p>
            <w:pPr>
              <w:spacing w:after="0"/>
              <w:ind w:right="1020"/>
              <w:jc w:val="center"/>
              <w:rPr>
                <w:color w:val="auto"/>
                <w:sz w:val="20"/>
                <w:szCs w:val="20"/>
              </w:rPr>
            </w:pPr>
            <w:r>
              <w:rPr>
                <w:rFonts w:ascii="Calibri" w:eastAsia="Calibri" w:hAnsi="Calibri" w:cs="Calibri"/>
                <w:color w:val="auto"/>
                <w:w w:val="97"/>
                <w:sz w:val="12"/>
                <w:szCs w:val="12"/>
              </w:rPr>
              <w:t>New York Stock Exchange</w:t>
            </w:r>
          </w:p>
        </w:tc>
        <w:tc>
          <w:tcPr>
            <w:tcW w:w="1" w:type="dxa"/>
            <w:vAlign w:val="bottom"/>
          </w:tcPr>
          <w:p>
            <w:pPr>
              <w:spacing w:after="0"/>
              <w:rPr>
                <w:color w:val="auto"/>
                <w:sz w:val="1"/>
                <w:szCs w:val="1"/>
              </w:rPr>
            </w:pPr>
          </w:p>
        </w:tc>
      </w:tr>
      <w:tr>
        <w:tblPrEx>
          <w:tblInd w:w="0" w:type="dxa"/>
          <w:tblLayout w:type="fixed"/>
        </w:tblPrEx>
        <w:trPr>
          <w:trHeight w:val="153"/>
        </w:trPr>
        <w:tc>
          <w:tcPr>
            <w:tcW w:w="3560" w:type="dxa"/>
            <w:gridSpan w:val="4"/>
            <w:vAlign w:val="bottom"/>
          </w:tcPr>
          <w:p>
            <w:pPr>
              <w:spacing w:after="0"/>
              <w:ind w:left="376"/>
              <w:jc w:val="center"/>
              <w:rPr>
                <w:color w:val="auto"/>
                <w:sz w:val="20"/>
                <w:szCs w:val="20"/>
              </w:rPr>
            </w:pPr>
            <w:r>
              <w:rPr>
                <w:rFonts w:ascii="Calibri" w:eastAsia="Calibri" w:hAnsi="Calibri" w:cs="Calibri"/>
                <w:color w:val="auto"/>
                <w:w w:val="96"/>
                <w:sz w:val="12"/>
                <w:szCs w:val="12"/>
              </w:rPr>
              <w:t>2.125% Senior Notes due 2029</w:t>
            </w: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3560" w:type="dxa"/>
            <w:gridSpan w:val="3"/>
            <w:vAlign w:val="bottom"/>
          </w:tcPr>
          <w:p>
            <w:pPr>
              <w:spacing w:after="0"/>
              <w:ind w:left="840"/>
              <w:rPr>
                <w:color w:val="auto"/>
                <w:sz w:val="20"/>
                <w:szCs w:val="20"/>
              </w:rPr>
            </w:pPr>
            <w:r>
              <w:rPr>
                <w:rFonts w:ascii="Calibri" w:eastAsia="Calibri" w:hAnsi="Calibri" w:cs="Calibri"/>
                <w:color w:val="auto"/>
                <w:sz w:val="12"/>
                <w:szCs w:val="12"/>
              </w:rPr>
              <w:t>ABBV29</w:t>
            </w:r>
          </w:p>
        </w:tc>
        <w:tc>
          <w:tcPr>
            <w:tcW w:w="3300" w:type="dxa"/>
            <w:vAlign w:val="bottom"/>
          </w:tcPr>
          <w:p>
            <w:pPr>
              <w:spacing w:after="0"/>
              <w:ind w:right="1020"/>
              <w:jc w:val="center"/>
              <w:rPr>
                <w:color w:val="auto"/>
                <w:sz w:val="20"/>
                <w:szCs w:val="20"/>
              </w:rPr>
            </w:pPr>
            <w:r>
              <w:rPr>
                <w:rFonts w:ascii="Calibri" w:eastAsia="Calibri" w:hAnsi="Calibri" w:cs="Calibri"/>
                <w:color w:val="auto"/>
                <w:w w:val="97"/>
                <w:sz w:val="12"/>
                <w:szCs w:val="12"/>
              </w:rPr>
              <w:t>New York Stock Exchange</w:t>
            </w:r>
          </w:p>
        </w:tc>
        <w:tc>
          <w:tcPr>
            <w:tcW w:w="1" w:type="dxa"/>
            <w:vAlign w:val="bottom"/>
          </w:tcPr>
          <w:p>
            <w:pPr>
              <w:spacing w:after="0"/>
              <w:rPr>
                <w:color w:val="auto"/>
                <w:sz w:val="1"/>
                <w:szCs w:val="1"/>
              </w:rPr>
            </w:pPr>
          </w:p>
        </w:tc>
      </w:tr>
      <w:tr>
        <w:tblPrEx>
          <w:tblInd w:w="0" w:type="dxa"/>
          <w:tblLayout w:type="fixed"/>
        </w:tblPrEx>
        <w:trPr>
          <w:trHeight w:val="153"/>
        </w:trPr>
        <w:tc>
          <w:tcPr>
            <w:tcW w:w="3560" w:type="dxa"/>
            <w:gridSpan w:val="4"/>
            <w:vAlign w:val="bottom"/>
          </w:tcPr>
          <w:p>
            <w:pPr>
              <w:spacing w:after="0"/>
              <w:ind w:left="376"/>
              <w:jc w:val="center"/>
              <w:rPr>
                <w:color w:val="auto"/>
                <w:sz w:val="20"/>
                <w:szCs w:val="20"/>
              </w:rPr>
            </w:pPr>
            <w:r>
              <w:rPr>
                <w:rFonts w:ascii="Calibri" w:eastAsia="Calibri" w:hAnsi="Calibri" w:cs="Calibri"/>
                <w:color w:val="auto"/>
                <w:w w:val="96"/>
                <w:sz w:val="12"/>
                <w:szCs w:val="12"/>
              </w:rPr>
              <w:t>1.250% Senior Notes due 2031</w:t>
            </w:r>
          </w:p>
        </w:tc>
        <w:tc>
          <w:tcPr>
            <w:tcW w:w="340" w:type="dxa"/>
            <w:vAlign w:val="bottom"/>
          </w:tcPr>
          <w:p>
            <w:pPr>
              <w:spacing w:after="0"/>
              <w:rPr>
                <w:color w:val="auto"/>
                <w:sz w:val="13"/>
                <w:szCs w:val="13"/>
              </w:rPr>
            </w:pPr>
          </w:p>
        </w:tc>
        <w:tc>
          <w:tcPr>
            <w:tcW w:w="100" w:type="dxa"/>
            <w:vAlign w:val="bottom"/>
          </w:tcPr>
          <w:p>
            <w:pPr>
              <w:spacing w:after="0"/>
              <w:rPr>
                <w:color w:val="auto"/>
                <w:sz w:val="13"/>
                <w:szCs w:val="13"/>
              </w:rPr>
            </w:pPr>
          </w:p>
        </w:tc>
        <w:tc>
          <w:tcPr>
            <w:tcW w:w="440" w:type="dxa"/>
            <w:vAlign w:val="bottom"/>
          </w:tcPr>
          <w:p>
            <w:pPr>
              <w:spacing w:after="0"/>
              <w:rPr>
                <w:color w:val="auto"/>
                <w:sz w:val="13"/>
                <w:szCs w:val="13"/>
              </w:rPr>
            </w:pPr>
          </w:p>
        </w:tc>
        <w:tc>
          <w:tcPr>
            <w:tcW w:w="3560" w:type="dxa"/>
            <w:gridSpan w:val="3"/>
            <w:vAlign w:val="bottom"/>
          </w:tcPr>
          <w:p>
            <w:pPr>
              <w:spacing w:after="0"/>
              <w:ind w:left="840"/>
              <w:rPr>
                <w:color w:val="auto"/>
                <w:sz w:val="20"/>
                <w:szCs w:val="20"/>
              </w:rPr>
            </w:pPr>
            <w:r>
              <w:rPr>
                <w:rFonts w:ascii="Calibri" w:eastAsia="Calibri" w:hAnsi="Calibri" w:cs="Calibri"/>
                <w:color w:val="auto"/>
                <w:sz w:val="12"/>
                <w:szCs w:val="12"/>
              </w:rPr>
              <w:t>ABBV31</w:t>
            </w:r>
          </w:p>
        </w:tc>
        <w:tc>
          <w:tcPr>
            <w:tcW w:w="3300" w:type="dxa"/>
            <w:vAlign w:val="bottom"/>
          </w:tcPr>
          <w:p>
            <w:pPr>
              <w:spacing w:after="0"/>
              <w:ind w:right="1020"/>
              <w:jc w:val="center"/>
              <w:rPr>
                <w:color w:val="auto"/>
                <w:sz w:val="20"/>
                <w:szCs w:val="20"/>
              </w:rPr>
            </w:pPr>
            <w:r>
              <w:rPr>
                <w:rFonts w:ascii="Calibri" w:eastAsia="Calibri" w:hAnsi="Calibri" w:cs="Calibri"/>
                <w:color w:val="auto"/>
                <w:w w:val="97"/>
                <w:sz w:val="12"/>
                <w:szCs w:val="12"/>
              </w:rPr>
              <w:t>New York Stock Exchange</w:t>
            </w:r>
          </w:p>
        </w:tc>
        <w:tc>
          <w:tcPr>
            <w:tcW w:w="1" w:type="dxa"/>
            <w:vAlign w:val="bottom"/>
          </w:tcPr>
          <w:p>
            <w:pPr>
              <w:spacing w:after="0"/>
              <w:rPr>
                <w:color w:val="auto"/>
                <w:sz w:val="1"/>
                <w:szCs w:val="1"/>
              </w:rPr>
            </w:pPr>
          </w:p>
        </w:tc>
      </w:tr>
    </w:tbl>
    <w:p>
      <w:pPr>
        <w:spacing w:after="0" w:line="20" w:lineRule="exact"/>
        <w:rPr>
          <w:color w:val="auto"/>
          <w:sz w:val="24"/>
          <w:szCs w:val="24"/>
        </w:rPr>
      </w:pPr>
      <w:r>
        <w:rPr>
          <w:color w:val="auto"/>
          <w:sz w:val="24"/>
          <w:szCs w:val="24"/>
        </w:rPr>
        <w:drawing>
          <wp:anchor simplePos="0" relativeHeight="251658240" behindDoc="1" locked="0" layoutInCell="0" allowOverlap="1">
            <wp:simplePos x="0" y="0"/>
            <wp:positionH relativeFrom="page">
              <wp:posOffset>185420</wp:posOffset>
            </wp:positionH>
            <wp:positionV relativeFrom="page">
              <wp:posOffset>557530</wp:posOffset>
            </wp:positionV>
            <wp:extent cx="7178040" cy="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178040" cy="11430"/>
                    </a:xfrm>
                    <a:prstGeom prst="rect">
                      <a:avLst/>
                    </a:prstGeom>
                    <a:noFill/>
                  </pic:spPr>
                </pic:pic>
              </a:graphicData>
            </a:graphic>
          </wp:anchor>
        </w:drawing>
      </w:r>
      <w:r>
        <w:rPr>
          <w:color w:val="auto"/>
          <w:sz w:val="24"/>
          <w:szCs w:val="24"/>
        </w:rPr>
        <w:drawing>
          <wp:anchor simplePos="0" relativeHeight="251659264" behindDoc="1" locked="0" layoutInCell="0" allowOverlap="1">
            <wp:simplePos x="0" y="0"/>
            <wp:positionH relativeFrom="column">
              <wp:posOffset>3155315</wp:posOffset>
            </wp:positionH>
            <wp:positionV relativeFrom="paragraph">
              <wp:posOffset>-2228850</wp:posOffset>
            </wp:positionV>
            <wp:extent cx="857250" cy="1428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142875"/>
                    </a:xfrm>
                    <a:prstGeom prst="rect">
                      <a:avLst/>
                    </a:prstGeom>
                    <a:noFill/>
                  </pic:spPr>
                </pic:pic>
              </a:graphicData>
            </a:graphic>
          </wp:anchor>
        </w:drawing>
      </w:r>
    </w:p>
    <w:p>
      <w:pPr>
        <w:spacing w:after="0" w:line="131" w:lineRule="exact"/>
        <w:rPr>
          <w:color w:val="auto"/>
          <w:sz w:val="24"/>
          <w:szCs w:val="24"/>
        </w:rPr>
      </w:pPr>
    </w:p>
    <w:p>
      <w:pPr>
        <w:spacing w:after="0"/>
        <w:ind w:left="320"/>
        <w:rPr>
          <w:color w:val="auto"/>
          <w:sz w:val="20"/>
          <w:szCs w:val="20"/>
        </w:rPr>
      </w:pPr>
      <w:r>
        <w:rPr>
          <w:rFonts w:ascii="Calibri" w:eastAsia="Calibri" w:hAnsi="Calibri" w:cs="Calibri"/>
          <w:color w:val="auto"/>
          <w:sz w:val="12"/>
          <w:szCs w:val="12"/>
        </w:rPr>
        <w:t>Securites Registered Pursuant to Secton 12(g) of the Act: None</w:t>
      </w:r>
    </w:p>
    <w:p>
      <w:pPr>
        <w:spacing w:after="0" w:line="70" w:lineRule="exact"/>
        <w:rPr>
          <w:color w:val="auto"/>
          <w:sz w:val="24"/>
          <w:szCs w:val="24"/>
        </w:rPr>
      </w:pPr>
    </w:p>
    <w:p>
      <w:pPr>
        <w:spacing w:after="0"/>
        <w:ind w:left="320"/>
        <w:rPr>
          <w:color w:val="auto"/>
          <w:sz w:val="20"/>
          <w:szCs w:val="20"/>
        </w:rPr>
      </w:pPr>
      <w:r>
        <w:rPr>
          <w:rFonts w:ascii="Calibri" w:eastAsia="Calibri" w:hAnsi="Calibri" w:cs="Calibri"/>
          <w:color w:val="auto"/>
          <w:sz w:val="12"/>
          <w:szCs w:val="12"/>
        </w:rPr>
        <w:t>Indicate by check mark if the registrant is a well-known seasoned issuer, as defned in Rule 405 of the Securites Act.</w:t>
      </w:r>
    </w:p>
    <w:p>
      <w:pPr>
        <w:spacing w:after="0" w:line="48" w:lineRule="exact"/>
        <w:rPr>
          <w:color w:val="auto"/>
          <w:sz w:val="24"/>
          <w:szCs w:val="24"/>
        </w:rPr>
      </w:pPr>
    </w:p>
    <w:p>
      <w:pPr>
        <w:tabs>
          <w:tab w:val="left" w:pos="5720"/>
        </w:tabs>
        <w:spacing w:after="0" w:line="171" w:lineRule="exact"/>
        <w:ind w:left="5260"/>
        <w:rPr>
          <w:color w:val="auto"/>
          <w:sz w:val="20"/>
          <w:szCs w:val="20"/>
        </w:rPr>
      </w:pPr>
      <w:r>
        <w:rPr>
          <w:rFonts w:ascii="Calibri" w:eastAsia="Calibri" w:hAnsi="Calibri" w:cs="Calibri"/>
          <w:color w:val="auto"/>
          <w:sz w:val="12"/>
          <w:szCs w:val="12"/>
        </w:rPr>
        <w:t xml:space="preserve">Yes </w:t>
      </w:r>
      <w:r>
        <w:rPr>
          <w:rFonts w:ascii="MS PGothic" w:eastAsia="MS PGothic" w:hAnsi="MS PGothic" w:cs="MS PGothic"/>
          <w:color w:val="auto"/>
          <w:sz w:val="14"/>
          <w:szCs w:val="14"/>
        </w:rPr>
        <w:t>☒</w:t>
      </w:r>
      <w:r>
        <w:rPr>
          <w:color w:val="auto"/>
          <w:sz w:val="20"/>
          <w:szCs w:val="20"/>
        </w:rPr>
        <w:tab/>
      </w:r>
      <w:r>
        <w:rPr>
          <w:rFonts w:ascii="Calibri" w:eastAsia="Calibri" w:hAnsi="Calibri" w:cs="Calibri"/>
          <w:color w:val="auto"/>
          <w:sz w:val="11"/>
          <w:szCs w:val="11"/>
        </w:rPr>
        <w:t xml:space="preserve">No </w:t>
      </w:r>
      <w:r>
        <w:rPr>
          <w:rFonts w:ascii="MS PGothic" w:eastAsia="MS PGothic" w:hAnsi="MS PGothic" w:cs="MS PGothic"/>
          <w:color w:val="auto"/>
          <w:sz w:val="13"/>
          <w:szCs w:val="13"/>
        </w:rPr>
        <w:t>☐</w:t>
      </w:r>
    </w:p>
    <w:p>
      <w:pPr>
        <w:spacing w:after="0" w:line="102" w:lineRule="exact"/>
        <w:rPr>
          <w:color w:val="auto"/>
          <w:sz w:val="24"/>
          <w:szCs w:val="24"/>
        </w:rPr>
      </w:pPr>
    </w:p>
    <w:p>
      <w:pPr>
        <w:spacing w:after="0"/>
        <w:ind w:left="320"/>
        <w:rPr>
          <w:color w:val="auto"/>
          <w:sz w:val="20"/>
          <w:szCs w:val="20"/>
        </w:rPr>
      </w:pPr>
      <w:r>
        <w:rPr>
          <w:rFonts w:ascii="Calibri" w:eastAsia="Calibri" w:hAnsi="Calibri" w:cs="Calibri"/>
          <w:color w:val="auto"/>
          <w:sz w:val="12"/>
          <w:szCs w:val="12"/>
        </w:rPr>
        <w:t>Indicate by check mark if the registrant is not required to fle reports pursuant to Secton 13 or 15(d) of the Act.</w:t>
      </w:r>
    </w:p>
    <w:p>
      <w:pPr>
        <w:spacing w:after="0" w:line="48" w:lineRule="exact"/>
        <w:rPr>
          <w:color w:val="auto"/>
          <w:sz w:val="24"/>
          <w:szCs w:val="24"/>
        </w:rPr>
      </w:pPr>
    </w:p>
    <w:p>
      <w:pPr>
        <w:tabs>
          <w:tab w:val="left" w:pos="200"/>
        </w:tabs>
        <w:spacing w:after="0" w:line="171" w:lineRule="exact"/>
        <w:jc w:val="center"/>
        <w:rPr>
          <w:color w:val="auto"/>
          <w:sz w:val="20"/>
          <w:szCs w:val="20"/>
        </w:rPr>
      </w:pPr>
      <w:r>
        <w:rPr>
          <w:rFonts w:ascii="Calibri" w:eastAsia="Calibri" w:hAnsi="Calibri" w:cs="Calibri"/>
          <w:color w:val="auto"/>
          <w:sz w:val="12"/>
          <w:szCs w:val="12"/>
        </w:rPr>
        <w:t xml:space="preserve">Yes </w:t>
      </w:r>
      <w:r>
        <w:rPr>
          <w:rFonts w:ascii="MS PGothic" w:eastAsia="MS PGothic" w:hAnsi="MS PGothic" w:cs="MS PGothic"/>
          <w:color w:val="auto"/>
          <w:sz w:val="14"/>
          <w:szCs w:val="14"/>
        </w:rPr>
        <w:t>☐</w:t>
      </w:r>
      <w:r>
        <w:rPr>
          <w:color w:val="auto"/>
          <w:sz w:val="20"/>
          <w:szCs w:val="20"/>
        </w:rPr>
        <w:tab/>
      </w:r>
      <w:r>
        <w:rPr>
          <w:rFonts w:ascii="Calibri" w:eastAsia="Calibri" w:hAnsi="Calibri" w:cs="Calibri"/>
          <w:color w:val="auto"/>
          <w:sz w:val="11"/>
          <w:szCs w:val="11"/>
        </w:rPr>
        <w:t xml:space="preserve">No </w:t>
      </w:r>
      <w:r>
        <w:rPr>
          <w:rFonts w:ascii="MS PGothic" w:eastAsia="MS PGothic" w:hAnsi="MS PGothic" w:cs="MS PGothic"/>
          <w:color w:val="auto"/>
          <w:sz w:val="13"/>
          <w:szCs w:val="13"/>
        </w:rPr>
        <w:t>☒</w:t>
      </w:r>
    </w:p>
    <w:p>
      <w:pPr>
        <w:spacing w:after="0" w:line="341" w:lineRule="exact"/>
        <w:rPr>
          <w:color w:val="auto"/>
          <w:sz w:val="24"/>
          <w:szCs w:val="24"/>
        </w:rPr>
      </w:pPr>
    </w:p>
    <w:p>
      <w:pPr>
        <w:spacing w:after="0" w:line="234" w:lineRule="auto"/>
        <w:ind w:right="140" w:firstLine="324"/>
        <w:rPr>
          <w:color w:val="auto"/>
          <w:sz w:val="20"/>
          <w:szCs w:val="20"/>
        </w:rPr>
      </w:pPr>
      <w:r>
        <w:rPr>
          <w:rFonts w:ascii="Calibri" w:eastAsia="Calibri" w:hAnsi="Calibri" w:cs="Calibri"/>
          <w:color w:val="auto"/>
          <w:sz w:val="12"/>
          <w:szCs w:val="12"/>
        </w:rPr>
        <w:t>Indicate by check mark whether the registrant (1) has fled all reports required to be fled by Secton 13 or 15(d) of the Securites Exchange Act of 1934 during the preceding 12 months (or for such shorter period that the registrant was required to fle such reports) and (2) has been subject to such fling requirements for the past 90 days.</w:t>
      </w:r>
    </w:p>
    <w:p>
      <w:pPr>
        <w:spacing w:after="0" w:line="49" w:lineRule="exact"/>
        <w:rPr>
          <w:color w:val="auto"/>
          <w:sz w:val="24"/>
          <w:szCs w:val="24"/>
        </w:rPr>
      </w:pPr>
    </w:p>
    <w:p>
      <w:pPr>
        <w:tabs>
          <w:tab w:val="left" w:pos="160"/>
        </w:tabs>
        <w:spacing w:after="0" w:line="171" w:lineRule="exact"/>
        <w:jc w:val="center"/>
        <w:rPr>
          <w:color w:val="auto"/>
          <w:sz w:val="20"/>
          <w:szCs w:val="20"/>
        </w:rPr>
      </w:pPr>
      <w:r>
        <w:rPr>
          <w:rFonts w:ascii="Calibri" w:eastAsia="Calibri" w:hAnsi="Calibri" w:cs="Calibri"/>
          <w:color w:val="auto"/>
          <w:sz w:val="12"/>
          <w:szCs w:val="12"/>
        </w:rPr>
        <w:t xml:space="preserve">Yes </w:t>
      </w:r>
      <w:r>
        <w:rPr>
          <w:rFonts w:ascii="MS PGothic" w:eastAsia="MS PGothic" w:hAnsi="MS PGothic" w:cs="MS PGothic"/>
          <w:color w:val="auto"/>
          <w:sz w:val="14"/>
          <w:szCs w:val="14"/>
        </w:rPr>
        <w:t>☒</w:t>
      </w:r>
      <w:r>
        <w:rPr>
          <w:color w:val="auto"/>
          <w:sz w:val="20"/>
          <w:szCs w:val="20"/>
        </w:rPr>
        <w:tab/>
      </w:r>
      <w:r>
        <w:rPr>
          <w:rFonts w:ascii="Calibri" w:eastAsia="Calibri" w:hAnsi="Calibri" w:cs="Calibri"/>
          <w:color w:val="auto"/>
          <w:sz w:val="11"/>
          <w:szCs w:val="11"/>
        </w:rPr>
        <w:t xml:space="preserve">No </w:t>
      </w:r>
      <w:r>
        <w:rPr>
          <w:rFonts w:ascii="MS PGothic" w:eastAsia="MS PGothic" w:hAnsi="MS PGothic" w:cs="MS PGothic"/>
          <w:color w:val="auto"/>
          <w:sz w:val="13"/>
          <w:szCs w:val="13"/>
        </w:rPr>
        <w:t>☐</w:t>
      </w:r>
    </w:p>
    <w:p>
      <w:pPr>
        <w:spacing w:after="0" w:line="107" w:lineRule="exact"/>
        <w:rPr>
          <w:color w:val="auto"/>
          <w:sz w:val="24"/>
          <w:szCs w:val="24"/>
        </w:rPr>
      </w:pPr>
    </w:p>
    <w:p>
      <w:pPr>
        <w:spacing w:after="0" w:line="234" w:lineRule="auto"/>
        <w:ind w:right="80" w:firstLine="324"/>
        <w:rPr>
          <w:color w:val="auto"/>
          <w:sz w:val="20"/>
          <w:szCs w:val="20"/>
        </w:rPr>
      </w:pPr>
      <w:r>
        <w:rPr>
          <w:rFonts w:ascii="Calibri" w:eastAsia="Calibri" w:hAnsi="Calibri" w:cs="Calibri"/>
          <w:color w:val="auto"/>
          <w:sz w:val="12"/>
          <w:szCs w:val="12"/>
        </w:rPr>
        <w:t>Indicate by check mark whether the registrant has submited electronically every Interactve Data File required to be submited pursuant to Rule 405 of Regulaton S-T during the preceding 12 months (or for such shorter period that the registrant was required to submit such fles).</w:t>
      </w:r>
    </w:p>
    <w:p>
      <w:pPr>
        <w:spacing w:after="0" w:line="49" w:lineRule="exact"/>
        <w:rPr>
          <w:color w:val="auto"/>
          <w:sz w:val="24"/>
          <w:szCs w:val="24"/>
        </w:rPr>
      </w:pPr>
    </w:p>
    <w:p>
      <w:pPr>
        <w:tabs>
          <w:tab w:val="left" w:pos="160"/>
        </w:tabs>
        <w:spacing w:after="0" w:line="171" w:lineRule="exact"/>
        <w:jc w:val="center"/>
        <w:rPr>
          <w:color w:val="auto"/>
          <w:sz w:val="20"/>
          <w:szCs w:val="20"/>
        </w:rPr>
      </w:pPr>
      <w:r>
        <w:rPr>
          <w:rFonts w:ascii="Calibri" w:eastAsia="Calibri" w:hAnsi="Calibri" w:cs="Calibri"/>
          <w:color w:val="auto"/>
          <w:sz w:val="12"/>
          <w:szCs w:val="12"/>
        </w:rPr>
        <w:t xml:space="preserve">Yes </w:t>
      </w:r>
      <w:r>
        <w:rPr>
          <w:rFonts w:ascii="MS PGothic" w:eastAsia="MS PGothic" w:hAnsi="MS PGothic" w:cs="MS PGothic"/>
          <w:color w:val="auto"/>
          <w:sz w:val="14"/>
          <w:szCs w:val="14"/>
        </w:rPr>
        <w:t>☒</w:t>
      </w:r>
      <w:r>
        <w:rPr>
          <w:color w:val="auto"/>
          <w:sz w:val="20"/>
          <w:szCs w:val="20"/>
        </w:rPr>
        <w:tab/>
      </w:r>
      <w:r>
        <w:rPr>
          <w:rFonts w:ascii="Calibri" w:eastAsia="Calibri" w:hAnsi="Calibri" w:cs="Calibri"/>
          <w:color w:val="auto"/>
          <w:sz w:val="11"/>
          <w:szCs w:val="11"/>
        </w:rPr>
        <w:t xml:space="preserve">No </w:t>
      </w:r>
      <w:r>
        <w:rPr>
          <w:rFonts w:ascii="MS PGothic" w:eastAsia="MS PGothic" w:hAnsi="MS PGothic" w:cs="MS PGothic"/>
          <w:color w:val="auto"/>
          <w:sz w:val="13"/>
          <w:szCs w:val="13"/>
        </w:rPr>
        <w:t>☐</w:t>
      </w:r>
    </w:p>
    <w:p>
      <w:pPr>
        <w:spacing w:after="0" w:line="134" w:lineRule="exact"/>
        <w:rPr>
          <w:color w:val="auto"/>
          <w:sz w:val="24"/>
          <w:szCs w:val="24"/>
        </w:rPr>
      </w:pPr>
    </w:p>
    <w:p>
      <w:pPr>
        <w:spacing w:after="0" w:line="234" w:lineRule="auto"/>
        <w:ind w:right="280" w:firstLine="324"/>
        <w:rPr>
          <w:color w:val="auto"/>
          <w:sz w:val="20"/>
          <w:szCs w:val="20"/>
        </w:rPr>
      </w:pPr>
      <w:r>
        <w:rPr>
          <w:rFonts w:ascii="Calibri" w:eastAsia="Calibri" w:hAnsi="Calibri" w:cs="Calibri"/>
          <w:color w:val="auto"/>
          <w:sz w:val="12"/>
          <w:szCs w:val="12"/>
        </w:rPr>
        <w:t>Indicate by check mark whether the registrant is a large accelerated fler, an accelerated fler, a non-accelerated fler, a smaller reportng company, or an emerging growth company. See the defnitons of "large accelerated fler," "accelerated fler", "smaller reportng company" and "emerging growth company" in Rule 12b-2 of the Exchange Act.</w:t>
      </w:r>
    </w:p>
    <w:tbl>
      <w:tblPr>
        <w:tblInd w:w="2400" w:type="dxa"/>
        <w:tblLayout w:type="fixed"/>
        <w:tblCellMar>
          <w:top w:w="0" w:type="dxa"/>
          <w:left w:w="0" w:type="dxa"/>
          <w:bottom w:w="0" w:type="dxa"/>
          <w:right w:w="0" w:type="dxa"/>
        </w:tblCellMar>
      </w:tblPr>
      <w:tblGrid>
        <w:gridCol w:w="3660"/>
        <w:gridCol w:w="3840"/>
      </w:tblGrid>
      <w:tr>
        <w:tblPrEx>
          <w:tblInd w:w="2400" w:type="dxa"/>
          <w:tblLayout w:type="fixed"/>
        </w:tblPrEx>
        <w:trPr>
          <w:trHeight w:val="174"/>
        </w:trPr>
        <w:tc>
          <w:tcPr>
            <w:tcW w:w="3660" w:type="dxa"/>
            <w:vAlign w:val="bottom"/>
          </w:tcPr>
          <w:p>
            <w:pPr>
              <w:spacing w:after="0" w:line="171" w:lineRule="exact"/>
              <w:ind w:right="2360"/>
              <w:jc w:val="right"/>
              <w:rPr>
                <w:color w:val="auto"/>
                <w:sz w:val="20"/>
                <w:szCs w:val="20"/>
              </w:rPr>
            </w:pPr>
            <w:r>
              <w:rPr>
                <w:rFonts w:ascii="Calibri" w:eastAsia="Calibri" w:hAnsi="Calibri" w:cs="Calibri"/>
                <w:color w:val="auto"/>
                <w:w w:val="95"/>
                <w:sz w:val="12"/>
                <w:szCs w:val="12"/>
              </w:rPr>
              <w:t xml:space="preserve">Large Accelerated Filer </w:t>
            </w:r>
            <w:r>
              <w:rPr>
                <w:rFonts w:ascii="MS PGothic" w:eastAsia="MS PGothic" w:hAnsi="MS PGothic" w:cs="MS PGothic"/>
                <w:color w:val="auto"/>
                <w:w w:val="95"/>
                <w:sz w:val="14"/>
                <w:szCs w:val="14"/>
              </w:rPr>
              <w:t>☒</w:t>
            </w:r>
          </w:p>
        </w:tc>
        <w:tc>
          <w:tcPr>
            <w:tcW w:w="3840" w:type="dxa"/>
            <w:vAlign w:val="bottom"/>
          </w:tcPr>
          <w:p>
            <w:pPr>
              <w:spacing w:after="0" w:line="171" w:lineRule="exact"/>
              <w:jc w:val="right"/>
              <w:rPr>
                <w:color w:val="auto"/>
                <w:sz w:val="20"/>
                <w:szCs w:val="20"/>
              </w:rPr>
            </w:pPr>
            <w:r>
              <w:rPr>
                <w:rFonts w:ascii="Calibri" w:eastAsia="Calibri" w:hAnsi="Calibri" w:cs="Calibri"/>
                <w:color w:val="auto"/>
                <w:sz w:val="12"/>
                <w:szCs w:val="12"/>
              </w:rPr>
              <w:t xml:space="preserve">Accelerated Filer </w:t>
            </w:r>
            <w:r>
              <w:rPr>
                <w:rFonts w:ascii="MS PGothic" w:eastAsia="MS PGothic" w:hAnsi="MS PGothic" w:cs="MS PGothic"/>
                <w:color w:val="auto"/>
                <w:sz w:val="14"/>
                <w:szCs w:val="14"/>
              </w:rPr>
              <w:t>☐</w:t>
            </w:r>
          </w:p>
        </w:tc>
      </w:tr>
      <w:tr>
        <w:tblPrEx>
          <w:tblInd w:w="2400" w:type="dxa"/>
          <w:tblLayout w:type="fixed"/>
        </w:tblPrEx>
        <w:trPr>
          <w:trHeight w:val="180"/>
        </w:trPr>
        <w:tc>
          <w:tcPr>
            <w:tcW w:w="3660" w:type="dxa"/>
            <w:vAlign w:val="bottom"/>
          </w:tcPr>
          <w:p>
            <w:pPr>
              <w:spacing w:after="0" w:line="171" w:lineRule="exact"/>
              <w:ind w:right="2360"/>
              <w:jc w:val="right"/>
              <w:rPr>
                <w:color w:val="auto"/>
                <w:sz w:val="20"/>
                <w:szCs w:val="20"/>
              </w:rPr>
            </w:pPr>
            <w:r>
              <w:rPr>
                <w:rFonts w:ascii="Calibri" w:eastAsia="Calibri" w:hAnsi="Calibri" w:cs="Calibri"/>
                <w:color w:val="auto"/>
                <w:w w:val="99"/>
                <w:sz w:val="12"/>
                <w:szCs w:val="12"/>
              </w:rPr>
              <w:t xml:space="preserve">Non-Accelerated Filer </w:t>
            </w:r>
            <w:r>
              <w:rPr>
                <w:rFonts w:ascii="MS PGothic" w:eastAsia="MS PGothic" w:hAnsi="MS PGothic" w:cs="MS PGothic"/>
                <w:color w:val="auto"/>
                <w:w w:val="99"/>
                <w:sz w:val="14"/>
                <w:szCs w:val="14"/>
              </w:rPr>
              <w:t>☐</w:t>
            </w:r>
          </w:p>
        </w:tc>
        <w:tc>
          <w:tcPr>
            <w:tcW w:w="3840" w:type="dxa"/>
            <w:vAlign w:val="bottom"/>
          </w:tcPr>
          <w:p>
            <w:pPr>
              <w:spacing w:after="0" w:line="171" w:lineRule="exact"/>
              <w:jc w:val="right"/>
              <w:rPr>
                <w:color w:val="auto"/>
                <w:sz w:val="20"/>
                <w:szCs w:val="20"/>
              </w:rPr>
            </w:pPr>
            <w:r>
              <w:rPr>
                <w:rFonts w:ascii="Calibri" w:eastAsia="Calibri" w:hAnsi="Calibri" w:cs="Calibri"/>
                <w:color w:val="auto"/>
                <w:sz w:val="12"/>
                <w:szCs w:val="12"/>
              </w:rPr>
              <w:t xml:space="preserve">Smaller reportng company </w:t>
            </w:r>
            <w:r>
              <w:rPr>
                <w:rFonts w:ascii="MS PGothic" w:eastAsia="MS PGothic" w:hAnsi="MS PGothic" w:cs="MS PGothic"/>
                <w:color w:val="auto"/>
                <w:sz w:val="14"/>
                <w:szCs w:val="14"/>
              </w:rPr>
              <w:t>☐</w:t>
            </w:r>
          </w:p>
        </w:tc>
      </w:tr>
      <w:tr>
        <w:tblPrEx>
          <w:tblInd w:w="2400" w:type="dxa"/>
          <w:tblLayout w:type="fixed"/>
        </w:tblPrEx>
        <w:trPr>
          <w:trHeight w:val="242"/>
        </w:trPr>
        <w:tc>
          <w:tcPr>
            <w:tcW w:w="3660" w:type="dxa"/>
            <w:vAlign w:val="bottom"/>
          </w:tcPr>
          <w:p>
            <w:pPr>
              <w:spacing w:after="0"/>
              <w:rPr>
                <w:color w:val="auto"/>
                <w:sz w:val="21"/>
                <w:szCs w:val="21"/>
              </w:rPr>
            </w:pPr>
          </w:p>
        </w:tc>
        <w:tc>
          <w:tcPr>
            <w:tcW w:w="3840" w:type="dxa"/>
            <w:vAlign w:val="bottom"/>
          </w:tcPr>
          <w:p>
            <w:pPr>
              <w:spacing w:after="0" w:line="171" w:lineRule="exact"/>
              <w:jc w:val="right"/>
              <w:rPr>
                <w:color w:val="auto"/>
                <w:sz w:val="20"/>
                <w:szCs w:val="20"/>
              </w:rPr>
            </w:pPr>
            <w:r>
              <w:rPr>
                <w:rFonts w:ascii="Calibri" w:eastAsia="Calibri" w:hAnsi="Calibri" w:cs="Calibri"/>
                <w:color w:val="auto"/>
                <w:sz w:val="12"/>
                <w:szCs w:val="12"/>
              </w:rPr>
              <w:t xml:space="preserve">Emerging growth company </w:t>
            </w:r>
            <w:r>
              <w:rPr>
                <w:rFonts w:ascii="MS PGothic" w:eastAsia="MS PGothic" w:hAnsi="MS PGothic" w:cs="MS PGothic"/>
                <w:color w:val="auto"/>
                <w:sz w:val="14"/>
                <w:szCs w:val="14"/>
              </w:rPr>
              <w:t>☐</w:t>
            </w:r>
          </w:p>
        </w:tc>
      </w:tr>
    </w:tbl>
    <w:p>
      <w:pPr>
        <w:spacing w:after="0" w:line="117" w:lineRule="exact"/>
        <w:rPr>
          <w:color w:val="auto"/>
          <w:sz w:val="24"/>
          <w:szCs w:val="24"/>
        </w:rPr>
      </w:pPr>
    </w:p>
    <w:p>
      <w:pPr>
        <w:spacing w:after="0" w:line="180" w:lineRule="exact"/>
        <w:ind w:right="60" w:firstLine="324"/>
        <w:rPr>
          <w:color w:val="auto"/>
          <w:sz w:val="20"/>
          <w:szCs w:val="20"/>
        </w:rPr>
      </w:pPr>
      <w:r>
        <w:rPr>
          <w:rFonts w:ascii="Calibri" w:eastAsia="Calibri" w:hAnsi="Calibri" w:cs="Calibri"/>
          <w:color w:val="auto"/>
          <w:sz w:val="12"/>
          <w:szCs w:val="12"/>
        </w:rPr>
        <w:t xml:space="preserve">If an emerging growth company, indicate by check mark if the registrant has elected not to use the extended transiton period for complying with any new or revised fnancial accountng standards provided pursuant to Secton 13(a) of the Exchange Act. </w:t>
      </w:r>
      <w:r>
        <w:rPr>
          <w:rFonts w:ascii="MS PGothic" w:eastAsia="MS PGothic" w:hAnsi="MS PGothic" w:cs="MS PGothic"/>
          <w:color w:val="auto"/>
          <w:sz w:val="14"/>
          <w:szCs w:val="14"/>
        </w:rPr>
        <w:t>☐</w:t>
      </w:r>
    </w:p>
    <w:p>
      <w:pPr>
        <w:spacing w:after="0" w:line="63" w:lineRule="exact"/>
        <w:rPr>
          <w:color w:val="auto"/>
          <w:sz w:val="24"/>
          <w:szCs w:val="24"/>
        </w:rPr>
      </w:pPr>
    </w:p>
    <w:p>
      <w:pPr>
        <w:spacing w:after="0" w:line="180" w:lineRule="exact"/>
        <w:ind w:right="120" w:firstLine="324"/>
        <w:rPr>
          <w:color w:val="auto"/>
          <w:sz w:val="20"/>
          <w:szCs w:val="20"/>
        </w:rPr>
      </w:pPr>
      <w:r>
        <w:rPr>
          <w:rFonts w:ascii="Calibri" w:eastAsia="Calibri" w:hAnsi="Calibri" w:cs="Calibri"/>
          <w:color w:val="auto"/>
          <w:sz w:val="12"/>
          <w:szCs w:val="12"/>
        </w:rPr>
        <w:t xml:space="preserve">Indicate by check mark whether the registrant has fled a report on and atestaton to its management’s assessment of the efectveness of its internal control over fnancial reportng under Secton 404(b) of the Sarbanes-Oxley Act (15 U.S.C. 7262(b)) by the registered public accountng frm that prepared or issued its audit report. </w:t>
      </w:r>
      <w:r>
        <w:rPr>
          <w:rFonts w:ascii="MS PGothic" w:eastAsia="MS PGothic" w:hAnsi="MS PGothic" w:cs="MS PGothic"/>
          <w:color w:val="auto"/>
          <w:sz w:val="14"/>
          <w:szCs w:val="14"/>
        </w:rPr>
        <w:t>☒</w:t>
      </w:r>
    </w:p>
    <w:p>
      <w:pPr>
        <w:spacing w:after="0" w:line="63" w:lineRule="exact"/>
        <w:rPr>
          <w:color w:val="auto"/>
          <w:sz w:val="24"/>
          <w:szCs w:val="24"/>
        </w:rPr>
      </w:pPr>
    </w:p>
    <w:p>
      <w:pPr>
        <w:spacing w:after="0" w:line="180" w:lineRule="exact"/>
        <w:ind w:right="580" w:firstLine="324"/>
        <w:rPr>
          <w:color w:val="auto"/>
          <w:sz w:val="20"/>
          <w:szCs w:val="20"/>
        </w:rPr>
      </w:pPr>
      <w:r>
        <w:rPr>
          <w:rFonts w:ascii="Calibri" w:eastAsia="Calibri" w:hAnsi="Calibri" w:cs="Calibri"/>
          <w:color w:val="auto"/>
          <w:sz w:val="12"/>
          <w:szCs w:val="12"/>
        </w:rPr>
        <w:t xml:space="preserve">If securites are registered pursuant to Secton 12(b) of the Act, indicate by checkmark whether the fnancial statements of the registrant included in the fling refect the correcton of an error to previously issued fnancial statements. </w:t>
      </w:r>
      <w:r>
        <w:rPr>
          <w:rFonts w:ascii="MS PGothic" w:eastAsia="MS PGothic" w:hAnsi="MS PGothic" w:cs="MS PGothic"/>
          <w:color w:val="auto"/>
          <w:sz w:val="14"/>
          <w:szCs w:val="14"/>
        </w:rPr>
        <w:t>☐</w:t>
      </w:r>
    </w:p>
    <w:p>
      <w:pPr>
        <w:spacing w:after="0" w:line="126" w:lineRule="exact"/>
        <w:rPr>
          <w:color w:val="auto"/>
          <w:sz w:val="24"/>
          <w:szCs w:val="24"/>
        </w:rPr>
      </w:pPr>
    </w:p>
    <w:p>
      <w:pPr>
        <w:spacing w:after="0" w:line="180" w:lineRule="exact"/>
        <w:ind w:right="180" w:firstLine="324"/>
        <w:rPr>
          <w:color w:val="auto"/>
          <w:sz w:val="20"/>
          <w:szCs w:val="20"/>
        </w:rPr>
      </w:pPr>
      <w:r>
        <w:rPr>
          <w:rFonts w:ascii="Calibri" w:eastAsia="Calibri" w:hAnsi="Calibri" w:cs="Calibri"/>
          <w:color w:val="auto"/>
          <w:sz w:val="12"/>
          <w:szCs w:val="12"/>
        </w:rPr>
        <w:t xml:space="preserve">Indicate by check mark whether any of those error correctons are restatements that required a recovery analysis of incentve-based compensaton received by any of the registrant’s executve ofcers during the relevant recovery period pursuant to §240.10D-1(b). </w:t>
      </w:r>
      <w:r>
        <w:rPr>
          <w:rFonts w:ascii="MS PGothic" w:eastAsia="MS PGothic" w:hAnsi="MS PGothic" w:cs="MS PGothic"/>
          <w:color w:val="auto"/>
          <w:sz w:val="14"/>
          <w:szCs w:val="14"/>
        </w:rPr>
        <w:t>☐</w:t>
      </w:r>
    </w:p>
    <w:p>
      <w:pPr>
        <w:spacing w:after="0" w:line="50" w:lineRule="exact"/>
        <w:rPr>
          <w:color w:val="auto"/>
          <w:sz w:val="24"/>
          <w:szCs w:val="24"/>
        </w:rPr>
      </w:pPr>
    </w:p>
    <w:p>
      <w:pPr>
        <w:spacing w:after="0"/>
        <w:ind w:left="320"/>
        <w:rPr>
          <w:color w:val="auto"/>
          <w:sz w:val="20"/>
          <w:szCs w:val="20"/>
        </w:rPr>
      </w:pPr>
      <w:r>
        <w:rPr>
          <w:rFonts w:ascii="Calibri" w:eastAsia="Calibri" w:hAnsi="Calibri" w:cs="Calibri"/>
          <w:color w:val="auto"/>
          <w:sz w:val="12"/>
          <w:szCs w:val="12"/>
        </w:rPr>
        <w:t>Indicate by check mark whether the registrant is a shell company (as defned in Rule 12b-2 of the Act).</w:t>
      </w:r>
    </w:p>
    <w:p>
      <w:pPr>
        <w:spacing w:after="0" w:line="75" w:lineRule="exact"/>
        <w:rPr>
          <w:color w:val="auto"/>
          <w:sz w:val="24"/>
          <w:szCs w:val="24"/>
        </w:rPr>
      </w:pPr>
    </w:p>
    <w:p>
      <w:pPr>
        <w:tabs>
          <w:tab w:val="left" w:pos="160"/>
        </w:tabs>
        <w:spacing w:after="0" w:line="171" w:lineRule="exact"/>
        <w:jc w:val="center"/>
        <w:rPr>
          <w:color w:val="auto"/>
          <w:sz w:val="20"/>
          <w:szCs w:val="20"/>
        </w:rPr>
      </w:pPr>
      <w:r>
        <w:rPr>
          <w:rFonts w:ascii="Calibri" w:eastAsia="Calibri" w:hAnsi="Calibri" w:cs="Calibri"/>
          <w:color w:val="auto"/>
          <w:sz w:val="12"/>
          <w:szCs w:val="12"/>
        </w:rPr>
        <w:t xml:space="preserve">Yes </w:t>
      </w:r>
      <w:r>
        <w:rPr>
          <w:rFonts w:ascii="MS PGothic" w:eastAsia="MS PGothic" w:hAnsi="MS PGothic" w:cs="MS PGothic"/>
          <w:color w:val="auto"/>
          <w:sz w:val="14"/>
          <w:szCs w:val="14"/>
        </w:rPr>
        <w:t>☐</w:t>
      </w:r>
      <w:r>
        <w:rPr>
          <w:color w:val="auto"/>
          <w:sz w:val="20"/>
          <w:szCs w:val="20"/>
        </w:rPr>
        <w:tab/>
      </w:r>
      <w:r>
        <w:rPr>
          <w:rFonts w:ascii="Calibri" w:eastAsia="Calibri" w:hAnsi="Calibri" w:cs="Calibri"/>
          <w:color w:val="auto"/>
          <w:sz w:val="11"/>
          <w:szCs w:val="11"/>
        </w:rPr>
        <w:t xml:space="preserve">No </w:t>
      </w:r>
      <w:r>
        <w:rPr>
          <w:rFonts w:ascii="MS PGothic" w:eastAsia="MS PGothic" w:hAnsi="MS PGothic" w:cs="MS PGothic"/>
          <w:color w:val="auto"/>
          <w:sz w:val="13"/>
          <w:szCs w:val="13"/>
        </w:rPr>
        <w:t>☒</w:t>
      </w:r>
    </w:p>
    <w:p>
      <w:pPr>
        <w:spacing w:after="0" w:line="134" w:lineRule="exact"/>
        <w:rPr>
          <w:color w:val="auto"/>
          <w:sz w:val="24"/>
          <w:szCs w:val="24"/>
        </w:rPr>
      </w:pPr>
    </w:p>
    <w:p>
      <w:pPr>
        <w:spacing w:after="0" w:line="226" w:lineRule="auto"/>
        <w:ind w:right="140" w:firstLine="324"/>
        <w:rPr>
          <w:color w:val="auto"/>
          <w:sz w:val="20"/>
          <w:szCs w:val="20"/>
        </w:rPr>
      </w:pPr>
      <w:r>
        <w:rPr>
          <w:rFonts w:ascii="Calibri" w:eastAsia="Calibri" w:hAnsi="Calibri" w:cs="Calibri"/>
          <w:color w:val="auto"/>
          <w:sz w:val="12"/>
          <w:szCs w:val="12"/>
        </w:rPr>
        <w:t>The aggregate market value of the 1,750,076,739 shares of votng stock held by non-afliates of the registrant, computed by reference to the closing price as reported on the New York Stock Exchange, as of the last business day of AbbVie Inc.'s most recently completed second fscal quarter (June 30, 2024), was $300,173,162,268. AbbVie has no non-votng common equity.</w:t>
      </w:r>
    </w:p>
    <w:p>
      <w:pPr>
        <w:spacing w:after="0" w:line="89" w:lineRule="exact"/>
        <w:rPr>
          <w:color w:val="auto"/>
          <w:sz w:val="24"/>
          <w:szCs w:val="24"/>
        </w:rPr>
      </w:pPr>
    </w:p>
    <w:p>
      <w:pPr>
        <w:spacing w:after="0"/>
        <w:ind w:left="320"/>
        <w:rPr>
          <w:color w:val="auto"/>
          <w:sz w:val="20"/>
          <w:szCs w:val="20"/>
        </w:rPr>
      </w:pPr>
      <w:r>
        <w:rPr>
          <w:rFonts w:ascii="Calibri" w:eastAsia="Calibri" w:hAnsi="Calibri" w:cs="Calibri"/>
          <w:color w:val="auto"/>
          <w:sz w:val="12"/>
          <w:szCs w:val="12"/>
        </w:rPr>
        <w:t>Number of common shares outstanding as of January 31, 2025: 1,765,354,859</w:t>
      </w:r>
    </w:p>
    <w:p>
      <w:pPr>
        <w:spacing w:after="0" w:line="97" w:lineRule="exact"/>
        <w:rPr>
          <w:color w:val="auto"/>
          <w:sz w:val="24"/>
          <w:szCs w:val="24"/>
        </w:rPr>
      </w:pPr>
    </w:p>
    <w:p>
      <w:pPr>
        <w:spacing w:after="0"/>
        <w:jc w:val="center"/>
        <w:rPr>
          <w:color w:val="auto"/>
          <w:sz w:val="20"/>
          <w:szCs w:val="20"/>
        </w:rPr>
      </w:pPr>
      <w:r>
        <w:rPr>
          <w:rFonts w:ascii="Calibri" w:eastAsia="Calibri" w:hAnsi="Calibri" w:cs="Calibri"/>
          <w:b/>
          <w:bCs/>
          <w:color w:val="auto"/>
          <w:sz w:val="12"/>
          <w:szCs w:val="12"/>
        </w:rPr>
        <w:t>DOCUMENTS INCORPORATED BY REFERENCE</w:t>
      </w:r>
    </w:p>
    <w:p>
      <w:pPr>
        <w:spacing w:after="0" w:line="88" w:lineRule="exact"/>
        <w:rPr>
          <w:color w:val="auto"/>
          <w:sz w:val="24"/>
          <w:szCs w:val="24"/>
        </w:rPr>
      </w:pPr>
    </w:p>
    <w:p>
      <w:pPr>
        <w:spacing w:after="0"/>
        <w:ind w:left="320"/>
        <w:rPr>
          <w:color w:val="auto"/>
          <w:sz w:val="20"/>
          <w:szCs w:val="20"/>
        </w:rPr>
      </w:pPr>
      <w:r>
        <w:rPr>
          <w:rFonts w:ascii="Calibri" w:eastAsia="Calibri" w:hAnsi="Calibri" w:cs="Calibri"/>
          <w:color w:val="auto"/>
          <w:sz w:val="12"/>
          <w:szCs w:val="12"/>
        </w:rPr>
        <w:t>Portons of the 2025 AbbVie Inc. Proxy Statement are incorporated by reference into Part III. The Defnitve Proxy Statement will be fled on or about March 24, 2025.</w:t>
      </w:r>
    </w:p>
    <w:p>
      <w:pPr>
        <w:spacing w:after="0" w:line="20" w:lineRule="exact"/>
        <w:rPr>
          <w:color w:val="auto"/>
          <w:sz w:val="24"/>
          <w:szCs w:val="24"/>
        </w:rPr>
      </w:pPr>
      <w:r>
        <w:rPr>
          <w:color w:val="auto"/>
          <w:sz w:val="24"/>
          <w:szCs w:val="24"/>
        </w:rPr>
        <w:drawing>
          <wp:anchor simplePos="0" relativeHeight="251660288" behindDoc="1" locked="0" layoutInCell="0" allowOverlap="1">
            <wp:simplePos x="0" y="0"/>
            <wp:positionH relativeFrom="column">
              <wp:posOffset>-17145</wp:posOffset>
            </wp:positionH>
            <wp:positionV relativeFrom="paragraph">
              <wp:posOffset>706755</wp:posOffset>
            </wp:positionV>
            <wp:extent cx="7203440" cy="368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4"/>
          <w:szCs w:val="24"/>
        </w:rPr>
        <w:drawing>
          <wp:anchor simplePos="0" relativeHeight="251661312" behindDoc="1" locked="0" layoutInCell="0" allowOverlap="1">
            <wp:simplePos x="0" y="0"/>
            <wp:positionH relativeFrom="column">
              <wp:posOffset>-4445</wp:posOffset>
            </wp:positionH>
            <wp:positionV relativeFrom="paragraph">
              <wp:posOffset>56515</wp:posOffset>
            </wp:positionV>
            <wp:extent cx="7178040" cy="114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178040" cy="11430"/>
                    </a:xfrm>
                    <a:prstGeom prst="rect">
                      <a:avLst/>
                    </a:prstGeom>
                    <a:noFill/>
                  </pic:spPr>
                </pic:pic>
              </a:graphicData>
            </a:graphic>
          </wp:anchor>
        </w:drawing>
      </w:r>
    </w:p>
    <w:p>
      <w:pPr>
        <w:sectPr>
          <w:pgSz w:w="11900" w:h="16838" w:orient="portrait"/>
          <w:pgMar w:top="918" w:right="299" w:bottom="1440" w:left="300" w:header="0" w:footer="0" w:gutter="0"/>
          <w:cols w:num="1" w:space="720" w:equalWidth="0">
            <w:col w:w="11300" w:space="0"/>
          </w:cols>
        </w:sectPr>
      </w:pPr>
    </w:p>
    <w:bookmarkStart w:id="1" w:name="page2"/>
    <w:bookmarkEnd w:id="1"/>
    <w:tbl>
      <w:tblPr>
        <w:tblInd w:w="0" w:type="dxa"/>
        <w:tblLayout w:type="fixed"/>
        <w:tblCellMar>
          <w:top w:w="0" w:type="dxa"/>
          <w:left w:w="0" w:type="dxa"/>
          <w:bottom w:w="0" w:type="dxa"/>
          <w:right w:w="0" w:type="dxa"/>
        </w:tblCellMar>
      </w:tblPr>
      <w:tblGrid>
        <w:gridCol w:w="480"/>
        <w:gridCol w:w="300"/>
        <w:gridCol w:w="100"/>
        <w:gridCol w:w="60"/>
        <w:gridCol w:w="480"/>
        <w:gridCol w:w="560"/>
        <w:gridCol w:w="460"/>
        <w:gridCol w:w="100"/>
        <w:gridCol w:w="100"/>
        <w:gridCol w:w="100"/>
        <w:gridCol w:w="240"/>
        <w:gridCol w:w="40"/>
        <w:gridCol w:w="40"/>
        <w:gridCol w:w="220"/>
        <w:gridCol w:w="20"/>
        <w:gridCol w:w="100"/>
        <w:gridCol w:w="120"/>
        <w:gridCol w:w="580"/>
        <w:gridCol w:w="40"/>
        <w:gridCol w:w="160"/>
        <w:gridCol w:w="200"/>
        <w:gridCol w:w="600"/>
        <w:gridCol w:w="160"/>
        <w:gridCol w:w="500"/>
        <w:gridCol w:w="380"/>
        <w:gridCol w:w="720"/>
        <w:gridCol w:w="80"/>
        <w:gridCol w:w="600"/>
        <w:gridCol w:w="620"/>
        <w:gridCol w:w="980"/>
        <w:gridCol w:w="980"/>
        <w:gridCol w:w="120"/>
        <w:gridCol w:w="1060"/>
      </w:tblGrid>
      <w:tr>
        <w:tblPrEx>
          <w:tblInd w:w="0" w:type="dxa"/>
          <w:tblLayout w:type="fixed"/>
        </w:tblPrEx>
        <w:trPr>
          <w:trHeight w:val="171"/>
        </w:trPr>
        <w:tc>
          <w:tcPr>
            <w:tcW w:w="480" w:type="dxa"/>
            <w:vAlign w:val="bottom"/>
          </w:tcPr>
          <w:p>
            <w:pPr>
              <w:spacing w:after="0"/>
              <w:rPr>
                <w:color w:val="auto"/>
                <w:sz w:val="14"/>
                <w:szCs w:val="14"/>
              </w:rPr>
            </w:pPr>
          </w:p>
        </w:tc>
        <w:tc>
          <w:tcPr>
            <w:tcW w:w="3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60" w:type="dxa"/>
            <w:vAlign w:val="bottom"/>
          </w:tcPr>
          <w:p>
            <w:pPr>
              <w:spacing w:after="0"/>
              <w:rPr>
                <w:color w:val="auto"/>
                <w:sz w:val="14"/>
                <w:szCs w:val="14"/>
              </w:rPr>
            </w:pPr>
          </w:p>
        </w:tc>
        <w:tc>
          <w:tcPr>
            <w:tcW w:w="480" w:type="dxa"/>
            <w:vAlign w:val="bottom"/>
          </w:tcPr>
          <w:p>
            <w:pPr>
              <w:spacing w:after="0"/>
              <w:rPr>
                <w:color w:val="auto"/>
                <w:sz w:val="14"/>
                <w:szCs w:val="14"/>
              </w:rPr>
            </w:pPr>
          </w:p>
        </w:tc>
        <w:tc>
          <w:tcPr>
            <w:tcW w:w="560" w:type="dxa"/>
            <w:vAlign w:val="bottom"/>
          </w:tcPr>
          <w:p>
            <w:pPr>
              <w:spacing w:after="0"/>
              <w:rPr>
                <w:color w:val="auto"/>
                <w:sz w:val="14"/>
                <w:szCs w:val="14"/>
              </w:rPr>
            </w:pPr>
          </w:p>
        </w:tc>
        <w:tc>
          <w:tcPr>
            <w:tcW w:w="46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24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220" w:type="dxa"/>
            <w:vAlign w:val="bottom"/>
          </w:tcPr>
          <w:p>
            <w:pPr>
              <w:spacing w:after="0"/>
              <w:rPr>
                <w:color w:val="auto"/>
                <w:sz w:val="14"/>
                <w:szCs w:val="14"/>
              </w:rPr>
            </w:pPr>
          </w:p>
        </w:tc>
        <w:tc>
          <w:tcPr>
            <w:tcW w:w="2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20" w:type="dxa"/>
            <w:vAlign w:val="bottom"/>
          </w:tcPr>
          <w:p>
            <w:pPr>
              <w:spacing w:after="0"/>
              <w:rPr>
                <w:color w:val="auto"/>
                <w:sz w:val="14"/>
                <w:szCs w:val="14"/>
              </w:rPr>
            </w:pPr>
          </w:p>
        </w:tc>
        <w:tc>
          <w:tcPr>
            <w:tcW w:w="58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200" w:type="dxa"/>
            <w:vAlign w:val="bottom"/>
          </w:tcPr>
          <w:p>
            <w:pPr>
              <w:spacing w:after="0"/>
              <w:rPr>
                <w:color w:val="auto"/>
                <w:sz w:val="14"/>
                <w:szCs w:val="14"/>
              </w:rPr>
            </w:pPr>
          </w:p>
        </w:tc>
        <w:tc>
          <w:tcPr>
            <w:tcW w:w="60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3880" w:type="dxa"/>
            <w:gridSpan w:val="7"/>
            <w:vAlign w:val="bottom"/>
          </w:tcPr>
          <w:p>
            <w:pPr>
              <w:spacing w:after="0"/>
              <w:ind w:right="3120"/>
              <w:jc w:val="center"/>
              <w:rPr>
                <w:color w:val="auto"/>
                <w:sz w:val="20"/>
                <w:szCs w:val="20"/>
              </w:rPr>
            </w:pPr>
            <w:r>
              <w:rPr>
                <w:rFonts w:ascii="Calibri" w:eastAsia="Calibri" w:hAnsi="Calibri" w:cs="Calibri"/>
                <w:b/>
                <w:bCs/>
                <w:color w:val="444867"/>
                <w:sz w:val="14"/>
                <w:szCs w:val="14"/>
              </w:rPr>
              <w:t>ABBVIE INC.</w:t>
            </w:r>
          </w:p>
        </w:tc>
        <w:tc>
          <w:tcPr>
            <w:tcW w:w="980" w:type="dxa"/>
            <w:vAlign w:val="bottom"/>
          </w:tcPr>
          <w:p>
            <w:pPr>
              <w:spacing w:after="0"/>
              <w:rPr>
                <w:color w:val="auto"/>
                <w:sz w:val="14"/>
                <w:szCs w:val="14"/>
              </w:rPr>
            </w:pPr>
          </w:p>
        </w:tc>
        <w:tc>
          <w:tcPr>
            <w:tcW w:w="120" w:type="dxa"/>
            <w:vAlign w:val="bottom"/>
          </w:tcPr>
          <w:p>
            <w:pPr>
              <w:spacing w:after="0"/>
              <w:rPr>
                <w:color w:val="auto"/>
                <w:sz w:val="14"/>
                <w:szCs w:val="14"/>
              </w:rPr>
            </w:pPr>
          </w:p>
        </w:tc>
        <w:tc>
          <w:tcPr>
            <w:tcW w:w="1060" w:type="dxa"/>
            <w:vAlign w:val="bottom"/>
          </w:tcPr>
          <w:p>
            <w:pPr>
              <w:spacing w:after="0"/>
              <w:rPr>
                <w:color w:val="auto"/>
                <w:sz w:val="14"/>
                <w:szCs w:val="14"/>
              </w:rPr>
            </w:pPr>
          </w:p>
        </w:tc>
      </w:tr>
      <w:tr>
        <w:tblPrEx>
          <w:tblInd w:w="0" w:type="dxa"/>
          <w:tblLayout w:type="fixed"/>
        </w:tblPrEx>
        <w:trPr>
          <w:trHeight w:val="171"/>
        </w:trPr>
        <w:tc>
          <w:tcPr>
            <w:tcW w:w="480" w:type="dxa"/>
            <w:vAlign w:val="bottom"/>
          </w:tcPr>
          <w:p>
            <w:pPr>
              <w:spacing w:after="0"/>
              <w:rPr>
                <w:color w:val="auto"/>
                <w:sz w:val="14"/>
                <w:szCs w:val="14"/>
              </w:rPr>
            </w:pPr>
          </w:p>
        </w:tc>
        <w:tc>
          <w:tcPr>
            <w:tcW w:w="3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60" w:type="dxa"/>
            <w:vAlign w:val="bottom"/>
          </w:tcPr>
          <w:p>
            <w:pPr>
              <w:spacing w:after="0"/>
              <w:rPr>
                <w:color w:val="auto"/>
                <w:sz w:val="14"/>
                <w:szCs w:val="14"/>
              </w:rPr>
            </w:pPr>
          </w:p>
        </w:tc>
        <w:tc>
          <w:tcPr>
            <w:tcW w:w="480" w:type="dxa"/>
            <w:vAlign w:val="bottom"/>
          </w:tcPr>
          <w:p>
            <w:pPr>
              <w:spacing w:after="0"/>
              <w:rPr>
                <w:color w:val="auto"/>
                <w:sz w:val="14"/>
                <w:szCs w:val="14"/>
              </w:rPr>
            </w:pPr>
          </w:p>
        </w:tc>
        <w:tc>
          <w:tcPr>
            <w:tcW w:w="560" w:type="dxa"/>
            <w:vAlign w:val="bottom"/>
          </w:tcPr>
          <w:p>
            <w:pPr>
              <w:spacing w:after="0"/>
              <w:rPr>
                <w:color w:val="auto"/>
                <w:sz w:val="14"/>
                <w:szCs w:val="14"/>
              </w:rPr>
            </w:pPr>
          </w:p>
        </w:tc>
        <w:tc>
          <w:tcPr>
            <w:tcW w:w="46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24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220" w:type="dxa"/>
            <w:vAlign w:val="bottom"/>
          </w:tcPr>
          <w:p>
            <w:pPr>
              <w:spacing w:after="0"/>
              <w:rPr>
                <w:color w:val="auto"/>
                <w:sz w:val="14"/>
                <w:szCs w:val="14"/>
              </w:rPr>
            </w:pPr>
          </w:p>
        </w:tc>
        <w:tc>
          <w:tcPr>
            <w:tcW w:w="2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20" w:type="dxa"/>
            <w:vAlign w:val="bottom"/>
          </w:tcPr>
          <w:p>
            <w:pPr>
              <w:spacing w:after="0"/>
              <w:rPr>
                <w:color w:val="auto"/>
                <w:sz w:val="14"/>
                <w:szCs w:val="14"/>
              </w:rPr>
            </w:pPr>
          </w:p>
        </w:tc>
        <w:tc>
          <w:tcPr>
            <w:tcW w:w="58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200" w:type="dxa"/>
            <w:vAlign w:val="bottom"/>
          </w:tcPr>
          <w:p>
            <w:pPr>
              <w:spacing w:after="0"/>
              <w:rPr>
                <w:color w:val="auto"/>
                <w:sz w:val="14"/>
                <w:szCs w:val="14"/>
              </w:rPr>
            </w:pPr>
          </w:p>
        </w:tc>
        <w:tc>
          <w:tcPr>
            <w:tcW w:w="60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3880" w:type="dxa"/>
            <w:gridSpan w:val="7"/>
            <w:vAlign w:val="bottom"/>
          </w:tcPr>
          <w:p>
            <w:pPr>
              <w:spacing w:after="0"/>
              <w:ind w:right="3120"/>
              <w:jc w:val="center"/>
              <w:rPr>
                <w:color w:val="auto"/>
                <w:sz w:val="20"/>
                <w:szCs w:val="20"/>
              </w:rPr>
            </w:pPr>
            <w:r>
              <w:rPr>
                <w:rFonts w:ascii="Calibri" w:eastAsia="Calibri" w:hAnsi="Calibri" w:cs="Calibri"/>
                <w:b/>
                <w:bCs/>
                <w:color w:val="444867"/>
                <w:sz w:val="14"/>
                <w:szCs w:val="14"/>
              </w:rPr>
              <w:t>FORM 10-K</w:t>
            </w:r>
          </w:p>
        </w:tc>
        <w:tc>
          <w:tcPr>
            <w:tcW w:w="980" w:type="dxa"/>
            <w:vAlign w:val="bottom"/>
          </w:tcPr>
          <w:p>
            <w:pPr>
              <w:spacing w:after="0"/>
              <w:rPr>
                <w:color w:val="auto"/>
                <w:sz w:val="14"/>
                <w:szCs w:val="14"/>
              </w:rPr>
            </w:pPr>
          </w:p>
        </w:tc>
        <w:tc>
          <w:tcPr>
            <w:tcW w:w="120" w:type="dxa"/>
            <w:vAlign w:val="bottom"/>
          </w:tcPr>
          <w:p>
            <w:pPr>
              <w:spacing w:after="0"/>
              <w:rPr>
                <w:color w:val="auto"/>
                <w:sz w:val="14"/>
                <w:szCs w:val="14"/>
              </w:rPr>
            </w:pPr>
          </w:p>
        </w:tc>
        <w:tc>
          <w:tcPr>
            <w:tcW w:w="1060" w:type="dxa"/>
            <w:vAlign w:val="bottom"/>
          </w:tcPr>
          <w:p>
            <w:pPr>
              <w:spacing w:after="0"/>
              <w:rPr>
                <w:color w:val="auto"/>
                <w:sz w:val="14"/>
                <w:szCs w:val="14"/>
              </w:rPr>
            </w:pPr>
          </w:p>
        </w:tc>
      </w:tr>
      <w:tr>
        <w:tblPrEx>
          <w:tblInd w:w="0" w:type="dxa"/>
          <w:tblLayout w:type="fixed"/>
        </w:tblPrEx>
        <w:trPr>
          <w:trHeight w:val="173"/>
        </w:trPr>
        <w:tc>
          <w:tcPr>
            <w:tcW w:w="480" w:type="dxa"/>
            <w:vAlign w:val="bottom"/>
          </w:tcPr>
          <w:p>
            <w:pPr>
              <w:spacing w:after="0"/>
              <w:rPr>
                <w:color w:val="auto"/>
                <w:sz w:val="15"/>
                <w:szCs w:val="15"/>
              </w:rPr>
            </w:pPr>
          </w:p>
        </w:tc>
        <w:tc>
          <w:tcPr>
            <w:tcW w:w="30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60" w:type="dxa"/>
            <w:vAlign w:val="bottom"/>
          </w:tcPr>
          <w:p>
            <w:pPr>
              <w:spacing w:after="0"/>
              <w:rPr>
                <w:color w:val="auto"/>
                <w:sz w:val="15"/>
                <w:szCs w:val="15"/>
              </w:rPr>
            </w:pPr>
          </w:p>
        </w:tc>
        <w:tc>
          <w:tcPr>
            <w:tcW w:w="480" w:type="dxa"/>
            <w:vAlign w:val="bottom"/>
          </w:tcPr>
          <w:p>
            <w:pPr>
              <w:spacing w:after="0"/>
              <w:rPr>
                <w:color w:val="auto"/>
                <w:sz w:val="15"/>
                <w:szCs w:val="15"/>
              </w:rPr>
            </w:pPr>
          </w:p>
        </w:tc>
        <w:tc>
          <w:tcPr>
            <w:tcW w:w="560" w:type="dxa"/>
            <w:vAlign w:val="bottom"/>
          </w:tcPr>
          <w:p>
            <w:pPr>
              <w:spacing w:after="0"/>
              <w:rPr>
                <w:color w:val="auto"/>
                <w:sz w:val="15"/>
                <w:szCs w:val="15"/>
              </w:rPr>
            </w:pPr>
          </w:p>
        </w:tc>
        <w:tc>
          <w:tcPr>
            <w:tcW w:w="46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240" w:type="dxa"/>
            <w:vAlign w:val="bottom"/>
          </w:tcPr>
          <w:p>
            <w:pPr>
              <w:spacing w:after="0"/>
              <w:rPr>
                <w:color w:val="auto"/>
                <w:sz w:val="15"/>
                <w:szCs w:val="15"/>
              </w:rPr>
            </w:pPr>
          </w:p>
        </w:tc>
        <w:tc>
          <w:tcPr>
            <w:tcW w:w="40" w:type="dxa"/>
            <w:vAlign w:val="bottom"/>
          </w:tcPr>
          <w:p>
            <w:pPr>
              <w:spacing w:after="0"/>
              <w:rPr>
                <w:color w:val="auto"/>
                <w:sz w:val="15"/>
                <w:szCs w:val="15"/>
              </w:rPr>
            </w:pPr>
          </w:p>
        </w:tc>
        <w:tc>
          <w:tcPr>
            <w:tcW w:w="40" w:type="dxa"/>
            <w:vAlign w:val="bottom"/>
          </w:tcPr>
          <w:p>
            <w:pPr>
              <w:spacing w:after="0"/>
              <w:rPr>
                <w:color w:val="auto"/>
                <w:sz w:val="15"/>
                <w:szCs w:val="15"/>
              </w:rPr>
            </w:pPr>
          </w:p>
        </w:tc>
        <w:tc>
          <w:tcPr>
            <w:tcW w:w="220" w:type="dxa"/>
            <w:vAlign w:val="bottom"/>
          </w:tcPr>
          <w:p>
            <w:pPr>
              <w:spacing w:after="0"/>
              <w:rPr>
                <w:color w:val="auto"/>
                <w:sz w:val="15"/>
                <w:szCs w:val="15"/>
              </w:rPr>
            </w:pPr>
          </w:p>
        </w:tc>
        <w:tc>
          <w:tcPr>
            <w:tcW w:w="2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120" w:type="dxa"/>
            <w:vAlign w:val="bottom"/>
          </w:tcPr>
          <w:p>
            <w:pPr>
              <w:spacing w:after="0"/>
              <w:rPr>
                <w:color w:val="auto"/>
                <w:sz w:val="15"/>
                <w:szCs w:val="15"/>
              </w:rPr>
            </w:pPr>
          </w:p>
        </w:tc>
        <w:tc>
          <w:tcPr>
            <w:tcW w:w="580" w:type="dxa"/>
            <w:vAlign w:val="bottom"/>
          </w:tcPr>
          <w:p>
            <w:pPr>
              <w:spacing w:after="0"/>
              <w:rPr>
                <w:color w:val="auto"/>
                <w:sz w:val="15"/>
                <w:szCs w:val="15"/>
              </w:rPr>
            </w:pPr>
          </w:p>
        </w:tc>
        <w:tc>
          <w:tcPr>
            <w:tcW w:w="40" w:type="dxa"/>
            <w:vAlign w:val="bottom"/>
          </w:tcPr>
          <w:p>
            <w:pPr>
              <w:spacing w:after="0"/>
              <w:rPr>
                <w:color w:val="auto"/>
                <w:sz w:val="15"/>
                <w:szCs w:val="15"/>
              </w:rPr>
            </w:pPr>
          </w:p>
        </w:tc>
        <w:tc>
          <w:tcPr>
            <w:tcW w:w="160" w:type="dxa"/>
            <w:vAlign w:val="bottom"/>
          </w:tcPr>
          <w:p>
            <w:pPr>
              <w:spacing w:after="0"/>
              <w:rPr>
                <w:color w:val="auto"/>
                <w:sz w:val="15"/>
                <w:szCs w:val="15"/>
              </w:rPr>
            </w:pPr>
          </w:p>
        </w:tc>
        <w:tc>
          <w:tcPr>
            <w:tcW w:w="4840" w:type="dxa"/>
            <w:gridSpan w:val="10"/>
            <w:vAlign w:val="bottom"/>
          </w:tcPr>
          <w:p>
            <w:pPr>
              <w:spacing w:after="0"/>
              <w:ind w:right="2140"/>
              <w:jc w:val="center"/>
              <w:rPr>
                <w:color w:val="auto"/>
                <w:sz w:val="20"/>
                <w:szCs w:val="20"/>
              </w:rPr>
            </w:pPr>
            <w:r>
              <w:rPr>
                <w:rFonts w:ascii="Calibri" w:eastAsia="Calibri" w:hAnsi="Calibri" w:cs="Calibri"/>
                <w:b/>
                <w:bCs/>
                <w:color w:val="444867"/>
                <w:sz w:val="14"/>
                <w:szCs w:val="14"/>
              </w:rPr>
              <w:t>FOR THE YEAR ENDED DECEMBER 31, 2024</w:t>
            </w:r>
          </w:p>
        </w:tc>
        <w:tc>
          <w:tcPr>
            <w:tcW w:w="980" w:type="dxa"/>
            <w:vAlign w:val="bottom"/>
          </w:tcPr>
          <w:p>
            <w:pPr>
              <w:spacing w:after="0"/>
              <w:rPr>
                <w:color w:val="auto"/>
                <w:sz w:val="15"/>
                <w:szCs w:val="15"/>
              </w:rPr>
            </w:pPr>
          </w:p>
        </w:tc>
        <w:tc>
          <w:tcPr>
            <w:tcW w:w="120" w:type="dxa"/>
            <w:vAlign w:val="bottom"/>
          </w:tcPr>
          <w:p>
            <w:pPr>
              <w:spacing w:after="0"/>
              <w:rPr>
                <w:color w:val="auto"/>
                <w:sz w:val="15"/>
                <w:szCs w:val="15"/>
              </w:rPr>
            </w:pPr>
          </w:p>
        </w:tc>
        <w:tc>
          <w:tcPr>
            <w:tcW w:w="1060" w:type="dxa"/>
            <w:vAlign w:val="bottom"/>
          </w:tcPr>
          <w:p>
            <w:pPr>
              <w:spacing w:after="0"/>
              <w:rPr>
                <w:color w:val="auto"/>
                <w:sz w:val="15"/>
                <w:szCs w:val="15"/>
              </w:rPr>
            </w:pPr>
          </w:p>
        </w:tc>
      </w:tr>
      <w:tr>
        <w:tblPrEx>
          <w:tblInd w:w="0" w:type="dxa"/>
          <w:tblLayout w:type="fixed"/>
        </w:tblPrEx>
        <w:trPr>
          <w:trHeight w:val="180"/>
        </w:trPr>
        <w:tc>
          <w:tcPr>
            <w:tcW w:w="480" w:type="dxa"/>
            <w:vAlign w:val="bottom"/>
          </w:tcPr>
          <w:p>
            <w:pPr>
              <w:spacing w:after="0"/>
              <w:rPr>
                <w:color w:val="auto"/>
                <w:sz w:val="15"/>
                <w:szCs w:val="15"/>
              </w:rPr>
            </w:pPr>
          </w:p>
        </w:tc>
        <w:tc>
          <w:tcPr>
            <w:tcW w:w="30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60" w:type="dxa"/>
            <w:vAlign w:val="bottom"/>
          </w:tcPr>
          <w:p>
            <w:pPr>
              <w:spacing w:after="0"/>
              <w:rPr>
                <w:color w:val="auto"/>
                <w:sz w:val="15"/>
                <w:szCs w:val="15"/>
              </w:rPr>
            </w:pPr>
          </w:p>
        </w:tc>
        <w:tc>
          <w:tcPr>
            <w:tcW w:w="480" w:type="dxa"/>
            <w:vAlign w:val="bottom"/>
          </w:tcPr>
          <w:p>
            <w:pPr>
              <w:spacing w:after="0"/>
              <w:rPr>
                <w:color w:val="auto"/>
                <w:sz w:val="15"/>
                <w:szCs w:val="15"/>
              </w:rPr>
            </w:pPr>
          </w:p>
        </w:tc>
        <w:tc>
          <w:tcPr>
            <w:tcW w:w="560" w:type="dxa"/>
            <w:vAlign w:val="bottom"/>
          </w:tcPr>
          <w:p>
            <w:pPr>
              <w:spacing w:after="0"/>
              <w:rPr>
                <w:color w:val="auto"/>
                <w:sz w:val="15"/>
                <w:szCs w:val="15"/>
              </w:rPr>
            </w:pPr>
          </w:p>
        </w:tc>
        <w:tc>
          <w:tcPr>
            <w:tcW w:w="46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240" w:type="dxa"/>
            <w:vAlign w:val="bottom"/>
          </w:tcPr>
          <w:p>
            <w:pPr>
              <w:spacing w:after="0"/>
              <w:rPr>
                <w:color w:val="auto"/>
                <w:sz w:val="15"/>
                <w:szCs w:val="15"/>
              </w:rPr>
            </w:pPr>
          </w:p>
        </w:tc>
        <w:tc>
          <w:tcPr>
            <w:tcW w:w="40" w:type="dxa"/>
            <w:vAlign w:val="bottom"/>
          </w:tcPr>
          <w:p>
            <w:pPr>
              <w:spacing w:after="0"/>
              <w:rPr>
                <w:color w:val="auto"/>
                <w:sz w:val="15"/>
                <w:szCs w:val="15"/>
              </w:rPr>
            </w:pPr>
          </w:p>
        </w:tc>
        <w:tc>
          <w:tcPr>
            <w:tcW w:w="40" w:type="dxa"/>
            <w:vAlign w:val="bottom"/>
          </w:tcPr>
          <w:p>
            <w:pPr>
              <w:spacing w:after="0"/>
              <w:rPr>
                <w:color w:val="auto"/>
                <w:sz w:val="15"/>
                <w:szCs w:val="15"/>
              </w:rPr>
            </w:pPr>
          </w:p>
        </w:tc>
        <w:tc>
          <w:tcPr>
            <w:tcW w:w="220" w:type="dxa"/>
            <w:vAlign w:val="bottom"/>
          </w:tcPr>
          <w:p>
            <w:pPr>
              <w:spacing w:after="0"/>
              <w:rPr>
                <w:color w:val="auto"/>
                <w:sz w:val="15"/>
                <w:szCs w:val="15"/>
              </w:rPr>
            </w:pPr>
          </w:p>
        </w:tc>
        <w:tc>
          <w:tcPr>
            <w:tcW w:w="20" w:type="dxa"/>
            <w:vAlign w:val="bottom"/>
          </w:tcPr>
          <w:p>
            <w:pPr>
              <w:spacing w:after="0"/>
              <w:rPr>
                <w:color w:val="auto"/>
                <w:sz w:val="15"/>
                <w:szCs w:val="15"/>
              </w:rPr>
            </w:pPr>
          </w:p>
        </w:tc>
        <w:tc>
          <w:tcPr>
            <w:tcW w:w="100" w:type="dxa"/>
            <w:vAlign w:val="bottom"/>
          </w:tcPr>
          <w:p>
            <w:pPr>
              <w:spacing w:after="0"/>
              <w:rPr>
                <w:color w:val="auto"/>
                <w:sz w:val="15"/>
                <w:szCs w:val="15"/>
              </w:rPr>
            </w:pPr>
          </w:p>
        </w:tc>
        <w:tc>
          <w:tcPr>
            <w:tcW w:w="120" w:type="dxa"/>
            <w:vAlign w:val="bottom"/>
          </w:tcPr>
          <w:p>
            <w:pPr>
              <w:spacing w:after="0"/>
              <w:rPr>
                <w:color w:val="auto"/>
                <w:sz w:val="15"/>
                <w:szCs w:val="15"/>
              </w:rPr>
            </w:pPr>
          </w:p>
        </w:tc>
        <w:tc>
          <w:tcPr>
            <w:tcW w:w="580" w:type="dxa"/>
            <w:vAlign w:val="bottom"/>
          </w:tcPr>
          <w:p>
            <w:pPr>
              <w:spacing w:after="0"/>
              <w:rPr>
                <w:color w:val="auto"/>
                <w:sz w:val="15"/>
                <w:szCs w:val="15"/>
              </w:rPr>
            </w:pPr>
          </w:p>
        </w:tc>
        <w:tc>
          <w:tcPr>
            <w:tcW w:w="40" w:type="dxa"/>
            <w:vAlign w:val="bottom"/>
          </w:tcPr>
          <w:p>
            <w:pPr>
              <w:spacing w:after="0"/>
              <w:rPr>
                <w:color w:val="auto"/>
                <w:sz w:val="15"/>
                <w:szCs w:val="15"/>
              </w:rPr>
            </w:pPr>
          </w:p>
        </w:tc>
        <w:tc>
          <w:tcPr>
            <w:tcW w:w="160" w:type="dxa"/>
            <w:vAlign w:val="bottom"/>
          </w:tcPr>
          <w:p>
            <w:pPr>
              <w:spacing w:after="0"/>
              <w:rPr>
                <w:color w:val="auto"/>
                <w:sz w:val="15"/>
                <w:szCs w:val="15"/>
              </w:rPr>
            </w:pPr>
          </w:p>
        </w:tc>
        <w:tc>
          <w:tcPr>
            <w:tcW w:w="200" w:type="dxa"/>
            <w:vAlign w:val="bottom"/>
          </w:tcPr>
          <w:p>
            <w:pPr>
              <w:spacing w:after="0"/>
              <w:rPr>
                <w:color w:val="auto"/>
                <w:sz w:val="15"/>
                <w:szCs w:val="15"/>
              </w:rPr>
            </w:pPr>
          </w:p>
        </w:tc>
        <w:tc>
          <w:tcPr>
            <w:tcW w:w="4640" w:type="dxa"/>
            <w:gridSpan w:val="9"/>
            <w:vAlign w:val="bottom"/>
          </w:tcPr>
          <w:p>
            <w:pPr>
              <w:spacing w:after="0"/>
              <w:ind w:right="2360"/>
              <w:jc w:val="center"/>
              <w:rPr>
                <w:color w:val="auto"/>
                <w:sz w:val="20"/>
                <w:szCs w:val="20"/>
              </w:rPr>
            </w:pPr>
            <w:r>
              <w:rPr>
                <w:rFonts w:ascii="Calibri" w:eastAsia="Calibri" w:hAnsi="Calibri" w:cs="Calibri"/>
                <w:b/>
                <w:bCs/>
                <w:color w:val="444867"/>
                <w:sz w:val="14"/>
                <w:szCs w:val="14"/>
              </w:rPr>
              <w:t>TABLE OF CONTENTS</w:t>
            </w:r>
          </w:p>
        </w:tc>
        <w:tc>
          <w:tcPr>
            <w:tcW w:w="980" w:type="dxa"/>
            <w:vAlign w:val="bottom"/>
          </w:tcPr>
          <w:p>
            <w:pPr>
              <w:spacing w:after="0"/>
              <w:rPr>
                <w:color w:val="auto"/>
                <w:sz w:val="15"/>
                <w:szCs w:val="15"/>
              </w:rPr>
            </w:pPr>
          </w:p>
        </w:tc>
        <w:tc>
          <w:tcPr>
            <w:tcW w:w="120" w:type="dxa"/>
            <w:vAlign w:val="bottom"/>
          </w:tcPr>
          <w:p>
            <w:pPr>
              <w:spacing w:after="0"/>
              <w:rPr>
                <w:color w:val="auto"/>
                <w:sz w:val="15"/>
                <w:szCs w:val="15"/>
              </w:rPr>
            </w:pPr>
          </w:p>
        </w:tc>
        <w:tc>
          <w:tcPr>
            <w:tcW w:w="1060" w:type="dxa"/>
            <w:vAlign w:val="bottom"/>
          </w:tcPr>
          <w:p>
            <w:pPr>
              <w:spacing w:after="0"/>
              <w:rPr>
                <w:color w:val="auto"/>
                <w:sz w:val="15"/>
                <w:szCs w:val="15"/>
              </w:rPr>
            </w:pPr>
          </w:p>
        </w:tc>
      </w:tr>
      <w:tr>
        <w:tblPrEx>
          <w:tblInd w:w="0" w:type="dxa"/>
          <w:tblLayout w:type="fixed"/>
        </w:tblPrEx>
        <w:trPr>
          <w:trHeight w:val="172"/>
        </w:trPr>
        <w:tc>
          <w:tcPr>
            <w:tcW w:w="480" w:type="dxa"/>
            <w:vAlign w:val="bottom"/>
          </w:tcPr>
          <w:p>
            <w:pPr>
              <w:spacing w:after="0"/>
              <w:rPr>
                <w:color w:val="auto"/>
                <w:sz w:val="14"/>
                <w:szCs w:val="14"/>
              </w:rPr>
            </w:pPr>
          </w:p>
        </w:tc>
        <w:tc>
          <w:tcPr>
            <w:tcW w:w="3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60" w:type="dxa"/>
            <w:vAlign w:val="bottom"/>
          </w:tcPr>
          <w:p>
            <w:pPr>
              <w:spacing w:after="0"/>
              <w:rPr>
                <w:color w:val="auto"/>
                <w:sz w:val="14"/>
                <w:szCs w:val="14"/>
              </w:rPr>
            </w:pPr>
          </w:p>
        </w:tc>
        <w:tc>
          <w:tcPr>
            <w:tcW w:w="480" w:type="dxa"/>
            <w:vAlign w:val="bottom"/>
          </w:tcPr>
          <w:p>
            <w:pPr>
              <w:spacing w:after="0"/>
              <w:rPr>
                <w:color w:val="auto"/>
                <w:sz w:val="14"/>
                <w:szCs w:val="14"/>
              </w:rPr>
            </w:pPr>
          </w:p>
        </w:tc>
        <w:tc>
          <w:tcPr>
            <w:tcW w:w="560" w:type="dxa"/>
            <w:vAlign w:val="bottom"/>
          </w:tcPr>
          <w:p>
            <w:pPr>
              <w:spacing w:after="0"/>
              <w:rPr>
                <w:color w:val="auto"/>
                <w:sz w:val="14"/>
                <w:szCs w:val="14"/>
              </w:rPr>
            </w:pPr>
          </w:p>
        </w:tc>
        <w:tc>
          <w:tcPr>
            <w:tcW w:w="46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24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220" w:type="dxa"/>
            <w:vAlign w:val="bottom"/>
          </w:tcPr>
          <w:p>
            <w:pPr>
              <w:spacing w:after="0"/>
              <w:rPr>
                <w:color w:val="auto"/>
                <w:sz w:val="14"/>
                <w:szCs w:val="14"/>
              </w:rPr>
            </w:pPr>
          </w:p>
        </w:tc>
        <w:tc>
          <w:tcPr>
            <w:tcW w:w="20" w:type="dxa"/>
            <w:vAlign w:val="bottom"/>
          </w:tcPr>
          <w:p>
            <w:pPr>
              <w:spacing w:after="0"/>
              <w:rPr>
                <w:color w:val="auto"/>
                <w:sz w:val="14"/>
                <w:szCs w:val="14"/>
              </w:rPr>
            </w:pPr>
          </w:p>
        </w:tc>
        <w:tc>
          <w:tcPr>
            <w:tcW w:w="100" w:type="dxa"/>
            <w:vAlign w:val="bottom"/>
          </w:tcPr>
          <w:p>
            <w:pPr>
              <w:spacing w:after="0"/>
              <w:rPr>
                <w:color w:val="auto"/>
                <w:sz w:val="14"/>
                <w:szCs w:val="14"/>
              </w:rPr>
            </w:pPr>
          </w:p>
        </w:tc>
        <w:tc>
          <w:tcPr>
            <w:tcW w:w="120" w:type="dxa"/>
            <w:vAlign w:val="bottom"/>
          </w:tcPr>
          <w:p>
            <w:pPr>
              <w:spacing w:after="0"/>
              <w:rPr>
                <w:color w:val="auto"/>
                <w:sz w:val="14"/>
                <w:szCs w:val="14"/>
              </w:rPr>
            </w:pPr>
          </w:p>
        </w:tc>
        <w:tc>
          <w:tcPr>
            <w:tcW w:w="580" w:type="dxa"/>
            <w:vAlign w:val="bottom"/>
          </w:tcPr>
          <w:p>
            <w:pPr>
              <w:spacing w:after="0"/>
              <w:rPr>
                <w:color w:val="auto"/>
                <w:sz w:val="14"/>
                <w:szCs w:val="14"/>
              </w:rPr>
            </w:pPr>
          </w:p>
        </w:tc>
        <w:tc>
          <w:tcPr>
            <w:tcW w:w="4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200" w:type="dxa"/>
            <w:vAlign w:val="bottom"/>
          </w:tcPr>
          <w:p>
            <w:pPr>
              <w:spacing w:after="0"/>
              <w:rPr>
                <w:color w:val="auto"/>
                <w:sz w:val="14"/>
                <w:szCs w:val="14"/>
              </w:rPr>
            </w:pPr>
          </w:p>
        </w:tc>
        <w:tc>
          <w:tcPr>
            <w:tcW w:w="60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500" w:type="dxa"/>
            <w:vAlign w:val="bottom"/>
          </w:tcPr>
          <w:p>
            <w:pPr>
              <w:spacing w:after="0"/>
              <w:rPr>
                <w:color w:val="auto"/>
                <w:sz w:val="14"/>
                <w:szCs w:val="14"/>
              </w:rPr>
            </w:pPr>
          </w:p>
        </w:tc>
        <w:tc>
          <w:tcPr>
            <w:tcW w:w="380" w:type="dxa"/>
            <w:vAlign w:val="bottom"/>
          </w:tcPr>
          <w:p>
            <w:pPr>
              <w:spacing w:after="0"/>
              <w:rPr>
                <w:color w:val="auto"/>
                <w:sz w:val="14"/>
                <w:szCs w:val="14"/>
              </w:rPr>
            </w:pPr>
          </w:p>
        </w:tc>
        <w:tc>
          <w:tcPr>
            <w:tcW w:w="720" w:type="dxa"/>
            <w:vAlign w:val="bottom"/>
          </w:tcPr>
          <w:p>
            <w:pPr>
              <w:spacing w:after="0"/>
              <w:rPr>
                <w:color w:val="auto"/>
                <w:sz w:val="14"/>
                <w:szCs w:val="14"/>
              </w:rPr>
            </w:pPr>
          </w:p>
        </w:tc>
        <w:tc>
          <w:tcPr>
            <w:tcW w:w="80" w:type="dxa"/>
            <w:vAlign w:val="bottom"/>
          </w:tcPr>
          <w:p>
            <w:pPr>
              <w:spacing w:after="0"/>
              <w:rPr>
                <w:color w:val="auto"/>
                <w:sz w:val="14"/>
                <w:szCs w:val="14"/>
              </w:rPr>
            </w:pPr>
          </w:p>
        </w:tc>
        <w:tc>
          <w:tcPr>
            <w:tcW w:w="600" w:type="dxa"/>
            <w:vAlign w:val="bottom"/>
          </w:tcPr>
          <w:p>
            <w:pPr>
              <w:spacing w:after="0"/>
              <w:rPr>
                <w:color w:val="auto"/>
                <w:sz w:val="14"/>
                <w:szCs w:val="14"/>
              </w:rPr>
            </w:pPr>
          </w:p>
        </w:tc>
        <w:tc>
          <w:tcPr>
            <w:tcW w:w="620" w:type="dxa"/>
            <w:vAlign w:val="bottom"/>
          </w:tcPr>
          <w:p>
            <w:pPr>
              <w:spacing w:after="0"/>
              <w:rPr>
                <w:color w:val="auto"/>
                <w:sz w:val="14"/>
                <w:szCs w:val="14"/>
              </w:rPr>
            </w:pPr>
          </w:p>
        </w:tc>
        <w:tc>
          <w:tcPr>
            <w:tcW w:w="980" w:type="dxa"/>
            <w:vAlign w:val="bottom"/>
          </w:tcPr>
          <w:p>
            <w:pPr>
              <w:spacing w:after="0"/>
              <w:rPr>
                <w:color w:val="auto"/>
                <w:sz w:val="14"/>
                <w:szCs w:val="14"/>
              </w:rPr>
            </w:pPr>
          </w:p>
        </w:tc>
        <w:tc>
          <w:tcPr>
            <w:tcW w:w="2160" w:type="dxa"/>
            <w:gridSpan w:val="3"/>
            <w:vAlign w:val="bottom"/>
          </w:tcPr>
          <w:p>
            <w:pPr>
              <w:spacing w:after="0"/>
              <w:ind w:left="980"/>
              <w:rPr>
                <w:color w:val="auto"/>
                <w:sz w:val="20"/>
                <w:szCs w:val="20"/>
              </w:rPr>
            </w:pPr>
            <w:r>
              <w:rPr>
                <w:rFonts w:ascii="Calibri" w:eastAsia="Calibri" w:hAnsi="Calibri" w:cs="Calibri"/>
                <w:color w:val="auto"/>
                <w:sz w:val="12"/>
                <w:szCs w:val="12"/>
              </w:rPr>
              <w:t>Page No.</w:t>
            </w:r>
          </w:p>
        </w:tc>
      </w:tr>
      <w:tr>
        <w:tblPrEx>
          <w:tblInd w:w="0" w:type="dxa"/>
          <w:tblLayout w:type="fixed"/>
        </w:tblPrEx>
        <w:trPr>
          <w:trHeight w:val="134"/>
        </w:trPr>
        <w:tc>
          <w:tcPr>
            <w:tcW w:w="480" w:type="dxa"/>
            <w:vAlign w:val="bottom"/>
          </w:tcPr>
          <w:p>
            <w:pPr>
              <w:spacing w:after="0"/>
              <w:rPr>
                <w:color w:val="auto"/>
                <w:sz w:val="11"/>
                <w:szCs w:val="11"/>
              </w:rPr>
            </w:pPr>
          </w:p>
        </w:tc>
        <w:tc>
          <w:tcPr>
            <w:tcW w:w="940" w:type="dxa"/>
            <w:gridSpan w:val="4"/>
            <w:vAlign w:val="bottom"/>
          </w:tcPr>
          <w:p>
            <w:pPr>
              <w:spacing w:after="0" w:line="134" w:lineRule="exact"/>
              <w:rPr>
                <w:color w:val="auto"/>
                <w:sz w:val="20"/>
                <w:szCs w:val="20"/>
              </w:rPr>
            </w:pPr>
            <w:r>
              <w:rPr>
                <w:rFonts w:ascii="Calibri" w:eastAsia="Calibri" w:hAnsi="Calibri" w:cs="Calibri"/>
                <w:b/>
                <w:bCs/>
                <w:color w:val="0000FF"/>
                <w:sz w:val="12"/>
                <w:szCs w:val="12"/>
              </w:rPr>
              <w:t>PART I</w:t>
            </w:r>
          </w:p>
        </w:tc>
        <w:tc>
          <w:tcPr>
            <w:tcW w:w="560" w:type="dxa"/>
            <w:vAlign w:val="bottom"/>
          </w:tcPr>
          <w:p>
            <w:pPr>
              <w:spacing w:after="0"/>
              <w:rPr>
                <w:color w:val="auto"/>
                <w:sz w:val="11"/>
                <w:szCs w:val="11"/>
              </w:rPr>
            </w:pPr>
          </w:p>
        </w:tc>
        <w:tc>
          <w:tcPr>
            <w:tcW w:w="46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240" w:type="dxa"/>
            <w:vAlign w:val="bottom"/>
          </w:tcPr>
          <w:p>
            <w:pPr>
              <w:spacing w:after="0"/>
              <w:rPr>
                <w:color w:val="auto"/>
                <w:sz w:val="11"/>
                <w:szCs w:val="11"/>
              </w:rPr>
            </w:pPr>
          </w:p>
        </w:tc>
        <w:tc>
          <w:tcPr>
            <w:tcW w:w="40" w:type="dxa"/>
            <w:vAlign w:val="bottom"/>
          </w:tcPr>
          <w:p>
            <w:pPr>
              <w:spacing w:after="0"/>
              <w:rPr>
                <w:color w:val="auto"/>
                <w:sz w:val="11"/>
                <w:szCs w:val="11"/>
              </w:rPr>
            </w:pPr>
          </w:p>
        </w:tc>
        <w:tc>
          <w:tcPr>
            <w:tcW w:w="40" w:type="dxa"/>
            <w:vAlign w:val="bottom"/>
          </w:tcPr>
          <w:p>
            <w:pPr>
              <w:spacing w:after="0"/>
              <w:rPr>
                <w:color w:val="auto"/>
                <w:sz w:val="11"/>
                <w:szCs w:val="11"/>
              </w:rPr>
            </w:pPr>
          </w:p>
        </w:tc>
        <w:tc>
          <w:tcPr>
            <w:tcW w:w="220" w:type="dxa"/>
            <w:vAlign w:val="bottom"/>
          </w:tcPr>
          <w:p>
            <w:pPr>
              <w:spacing w:after="0"/>
              <w:rPr>
                <w:color w:val="auto"/>
                <w:sz w:val="11"/>
                <w:szCs w:val="11"/>
              </w:rPr>
            </w:pPr>
          </w:p>
        </w:tc>
        <w:tc>
          <w:tcPr>
            <w:tcW w:w="2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120" w:type="dxa"/>
            <w:vAlign w:val="bottom"/>
          </w:tcPr>
          <w:p>
            <w:pPr>
              <w:spacing w:after="0"/>
              <w:rPr>
                <w:color w:val="auto"/>
                <w:sz w:val="11"/>
                <w:szCs w:val="11"/>
              </w:rPr>
            </w:pPr>
          </w:p>
        </w:tc>
        <w:tc>
          <w:tcPr>
            <w:tcW w:w="580" w:type="dxa"/>
            <w:vAlign w:val="bottom"/>
          </w:tcPr>
          <w:p>
            <w:pPr>
              <w:spacing w:after="0"/>
              <w:rPr>
                <w:color w:val="auto"/>
                <w:sz w:val="11"/>
                <w:szCs w:val="11"/>
              </w:rPr>
            </w:pPr>
          </w:p>
        </w:tc>
        <w:tc>
          <w:tcPr>
            <w:tcW w:w="4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200" w:type="dxa"/>
            <w:vAlign w:val="bottom"/>
          </w:tcPr>
          <w:p>
            <w:pPr>
              <w:spacing w:after="0"/>
              <w:rPr>
                <w:color w:val="auto"/>
                <w:sz w:val="11"/>
                <w:szCs w:val="11"/>
              </w:rPr>
            </w:pPr>
          </w:p>
        </w:tc>
        <w:tc>
          <w:tcPr>
            <w:tcW w:w="60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500" w:type="dxa"/>
            <w:vAlign w:val="bottom"/>
          </w:tcPr>
          <w:p>
            <w:pPr>
              <w:spacing w:after="0"/>
              <w:rPr>
                <w:color w:val="auto"/>
                <w:sz w:val="11"/>
                <w:szCs w:val="11"/>
              </w:rPr>
            </w:pPr>
          </w:p>
        </w:tc>
        <w:tc>
          <w:tcPr>
            <w:tcW w:w="380" w:type="dxa"/>
            <w:vAlign w:val="bottom"/>
          </w:tcPr>
          <w:p>
            <w:pPr>
              <w:spacing w:after="0"/>
              <w:rPr>
                <w:color w:val="auto"/>
                <w:sz w:val="11"/>
                <w:szCs w:val="11"/>
              </w:rPr>
            </w:pPr>
          </w:p>
        </w:tc>
        <w:tc>
          <w:tcPr>
            <w:tcW w:w="720" w:type="dxa"/>
            <w:vAlign w:val="bottom"/>
          </w:tcPr>
          <w:p>
            <w:pPr>
              <w:spacing w:after="0"/>
              <w:rPr>
                <w:color w:val="auto"/>
                <w:sz w:val="11"/>
                <w:szCs w:val="11"/>
              </w:rPr>
            </w:pPr>
          </w:p>
        </w:tc>
        <w:tc>
          <w:tcPr>
            <w:tcW w:w="80" w:type="dxa"/>
            <w:vAlign w:val="bottom"/>
          </w:tcPr>
          <w:p>
            <w:pPr>
              <w:spacing w:after="0"/>
              <w:rPr>
                <w:color w:val="auto"/>
                <w:sz w:val="11"/>
                <w:szCs w:val="11"/>
              </w:rPr>
            </w:pPr>
          </w:p>
        </w:tc>
        <w:tc>
          <w:tcPr>
            <w:tcW w:w="600" w:type="dxa"/>
            <w:vAlign w:val="bottom"/>
          </w:tcPr>
          <w:p>
            <w:pPr>
              <w:spacing w:after="0"/>
              <w:rPr>
                <w:color w:val="auto"/>
                <w:sz w:val="11"/>
                <w:szCs w:val="11"/>
              </w:rPr>
            </w:pPr>
          </w:p>
        </w:tc>
        <w:tc>
          <w:tcPr>
            <w:tcW w:w="620" w:type="dxa"/>
            <w:vAlign w:val="bottom"/>
          </w:tcPr>
          <w:p>
            <w:pPr>
              <w:spacing w:after="0"/>
              <w:rPr>
                <w:color w:val="auto"/>
                <w:sz w:val="11"/>
                <w:szCs w:val="11"/>
              </w:rPr>
            </w:pPr>
          </w:p>
        </w:tc>
        <w:tc>
          <w:tcPr>
            <w:tcW w:w="980" w:type="dxa"/>
            <w:vAlign w:val="bottom"/>
          </w:tcPr>
          <w:p>
            <w:pPr>
              <w:spacing w:after="0"/>
              <w:rPr>
                <w:color w:val="auto"/>
                <w:sz w:val="11"/>
                <w:szCs w:val="11"/>
              </w:rPr>
            </w:pPr>
          </w:p>
        </w:tc>
        <w:tc>
          <w:tcPr>
            <w:tcW w:w="980" w:type="dxa"/>
            <w:vAlign w:val="bottom"/>
          </w:tcPr>
          <w:p>
            <w:pPr>
              <w:spacing w:after="0"/>
              <w:rPr>
                <w:color w:val="auto"/>
                <w:sz w:val="11"/>
                <w:szCs w:val="11"/>
              </w:rPr>
            </w:pPr>
          </w:p>
        </w:tc>
        <w:tc>
          <w:tcPr>
            <w:tcW w:w="120" w:type="dxa"/>
            <w:vAlign w:val="bottom"/>
          </w:tcPr>
          <w:p>
            <w:pPr>
              <w:spacing w:after="0"/>
              <w:rPr>
                <w:color w:val="auto"/>
                <w:sz w:val="11"/>
                <w:szCs w:val="11"/>
              </w:rPr>
            </w:pP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46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20" w:type="dxa"/>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58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1.</w:t>
            </w:r>
          </w:p>
        </w:tc>
        <w:tc>
          <w:tcPr>
            <w:tcW w:w="640" w:type="dxa"/>
            <w:gridSpan w:val="3"/>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BUSINESS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sz w:val="12"/>
                <w:szCs w:val="12"/>
                <w:u w:val="single" w:color="auto"/>
              </w:rPr>
              <w:t>1</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46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20" w:type="dxa"/>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58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60" w:type="dxa"/>
            <w:gridSpan w:val="3"/>
            <w:vAlign w:val="bottom"/>
          </w:tcPr>
          <w:p>
            <w:pPr>
              <w:spacing w:after="0" w:line="133" w:lineRule="exact"/>
              <w:rPr>
                <w:color w:val="auto"/>
                <w:sz w:val="20"/>
                <w:szCs w:val="20"/>
              </w:rPr>
            </w:pPr>
            <w:r>
              <w:rPr>
                <w:rFonts w:ascii="Calibri" w:eastAsia="Calibri" w:hAnsi="Calibri" w:cs="Calibri"/>
                <w:color w:val="0000FF"/>
                <w:sz w:val="12"/>
                <w:szCs w:val="12"/>
              </w:rPr>
              <w:t>Item 1A.</w:t>
            </w: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RISK FACTORS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14</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6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480" w:type="dxa"/>
            <w:tcBorders>
              <w:left w:val="single" w:sz="8" w:space="0" w:color="0000FF"/>
            </w:tcBorders>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560" w:type="dxa"/>
            <w:gridSpan w:val="2"/>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20" w:type="dxa"/>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58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60" w:type="dxa"/>
            <w:gridSpan w:val="3"/>
            <w:vAlign w:val="bottom"/>
          </w:tcPr>
          <w:p>
            <w:pPr>
              <w:spacing w:after="0" w:line="133" w:lineRule="exact"/>
              <w:rPr>
                <w:color w:val="auto"/>
                <w:sz w:val="20"/>
                <w:szCs w:val="20"/>
              </w:rPr>
            </w:pPr>
            <w:r>
              <w:rPr>
                <w:rFonts w:ascii="Calibri" w:eastAsia="Calibri" w:hAnsi="Calibri" w:cs="Calibri"/>
                <w:color w:val="0000FF"/>
                <w:sz w:val="12"/>
                <w:szCs w:val="12"/>
              </w:rPr>
              <w:t>Item 1B.</w:t>
            </w: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UNRESOLVED STAFF COMMENTS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25</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6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560" w:type="dxa"/>
            <w:gridSpan w:val="2"/>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2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58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60" w:type="dxa"/>
            <w:gridSpan w:val="3"/>
            <w:vAlign w:val="bottom"/>
          </w:tcPr>
          <w:p>
            <w:pPr>
              <w:spacing w:after="0" w:line="133" w:lineRule="exact"/>
              <w:rPr>
                <w:color w:val="auto"/>
                <w:sz w:val="20"/>
                <w:szCs w:val="20"/>
              </w:rPr>
            </w:pPr>
            <w:r>
              <w:rPr>
                <w:rFonts w:ascii="Calibri" w:eastAsia="Calibri" w:hAnsi="Calibri" w:cs="Calibri"/>
                <w:color w:val="0000FF"/>
                <w:sz w:val="12"/>
                <w:szCs w:val="12"/>
              </w:rPr>
              <w:t>Item 1C</w:t>
            </w: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CYBERSECURITY</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25</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tcBorders>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560" w:type="dxa"/>
            <w:gridSpan w:val="2"/>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20" w:type="dxa"/>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700" w:type="dxa"/>
            <w:gridSpan w:val="2"/>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2.</w:t>
            </w:r>
          </w:p>
        </w:tc>
        <w:tc>
          <w:tcPr>
            <w:tcW w:w="640" w:type="dxa"/>
            <w:gridSpan w:val="3"/>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PROPERTIES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27</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560" w:type="dxa"/>
            <w:gridSpan w:val="2"/>
            <w:shd w:val="clear" w:color="auto" w:fill="0000FF"/>
            <w:vAlign w:val="bottom"/>
          </w:tcPr>
          <w:p>
            <w:pPr>
              <w:spacing w:after="0" w:line="20" w:lineRule="exact"/>
              <w:rPr>
                <w:color w:val="auto"/>
                <w:sz w:val="1"/>
                <w:szCs w:val="1"/>
              </w:rPr>
            </w:pPr>
          </w:p>
        </w:tc>
        <w:tc>
          <w:tcPr>
            <w:tcW w:w="100" w:type="dxa"/>
            <w:tcBorders>
              <w:left w:val="single" w:sz="8" w:space="0" w:color="0000FF"/>
            </w:tcBorders>
            <w:vAlign w:val="bottom"/>
          </w:tcPr>
          <w:p>
            <w:pPr>
              <w:spacing w:after="0" w:line="20" w:lineRule="exact"/>
              <w:rPr>
                <w:color w:val="auto"/>
                <w:sz w:val="1"/>
                <w:szCs w:val="1"/>
              </w:rPr>
            </w:pPr>
          </w:p>
        </w:tc>
        <w:tc>
          <w:tcPr>
            <w:tcW w:w="340" w:type="dxa"/>
            <w:gridSpan w:val="2"/>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20" w:type="dxa"/>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700" w:type="dxa"/>
            <w:gridSpan w:val="2"/>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3.</w:t>
            </w:r>
          </w:p>
        </w:tc>
        <w:tc>
          <w:tcPr>
            <w:tcW w:w="640" w:type="dxa"/>
            <w:gridSpan w:val="3"/>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LEGAL PROCEEDINGS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27</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560" w:type="dxa"/>
            <w:gridSpan w:val="2"/>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340" w:type="dxa"/>
            <w:gridSpan w:val="2"/>
            <w:shd w:val="clear" w:color="auto" w:fill="0000FF"/>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20" w:type="dxa"/>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700" w:type="dxa"/>
            <w:gridSpan w:val="2"/>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4.</w:t>
            </w:r>
          </w:p>
        </w:tc>
        <w:tc>
          <w:tcPr>
            <w:tcW w:w="640" w:type="dxa"/>
            <w:gridSpan w:val="3"/>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MINE SAFETY DISCLOSURES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27</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560" w:type="dxa"/>
            <w:gridSpan w:val="2"/>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380" w:type="dxa"/>
            <w:gridSpan w:val="3"/>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20" w:type="dxa"/>
            <w:shd w:val="clear" w:color="auto" w:fill="0000FF"/>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700" w:type="dxa"/>
            <w:gridSpan w:val="2"/>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60" w:type="dxa"/>
            <w:vAlign w:val="bottom"/>
          </w:tcPr>
          <w:p>
            <w:pPr>
              <w:spacing w:after="0"/>
              <w:rPr>
                <w:color w:val="auto"/>
                <w:sz w:val="11"/>
                <w:szCs w:val="11"/>
              </w:rPr>
            </w:pP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INFORMATION ABOUT OUR EXECUTIVE OFFICERS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28</w:t>
            </w:r>
          </w:p>
        </w:tc>
        <w:tc>
          <w:tcPr>
            <w:tcW w:w="1060" w:type="dxa"/>
            <w:vAlign w:val="bottom"/>
          </w:tcPr>
          <w:p>
            <w:pPr>
              <w:spacing w:after="0"/>
              <w:rPr>
                <w:color w:val="auto"/>
                <w:sz w:val="11"/>
                <w:szCs w:val="11"/>
              </w:rPr>
            </w:pPr>
          </w:p>
        </w:tc>
      </w:tr>
      <w:tr>
        <w:tblPrEx>
          <w:tblInd w:w="0" w:type="dxa"/>
          <w:tblLayout w:type="fixed"/>
        </w:tblPrEx>
        <w:trPr>
          <w:trHeight w:val="304"/>
        </w:trPr>
        <w:tc>
          <w:tcPr>
            <w:tcW w:w="480" w:type="dxa"/>
            <w:vAlign w:val="bottom"/>
          </w:tcPr>
          <w:p>
            <w:pPr>
              <w:spacing w:after="0"/>
              <w:rPr>
                <w:color w:val="auto"/>
                <w:sz w:val="24"/>
                <w:szCs w:val="24"/>
              </w:rPr>
            </w:pPr>
          </w:p>
        </w:tc>
        <w:tc>
          <w:tcPr>
            <w:tcW w:w="300" w:type="dxa"/>
            <w:tcBorders>
              <w:bottom w:val="single" w:sz="8" w:space="0" w:color="0000FF"/>
            </w:tcBorders>
            <w:vAlign w:val="bottom"/>
          </w:tcPr>
          <w:p>
            <w:pPr>
              <w:spacing w:after="0"/>
              <w:rPr>
                <w:color w:val="auto"/>
                <w:sz w:val="20"/>
                <w:szCs w:val="20"/>
              </w:rPr>
            </w:pPr>
            <w:r>
              <w:rPr>
                <w:rFonts w:ascii="Calibri" w:eastAsia="Calibri" w:hAnsi="Calibri" w:cs="Calibri"/>
                <w:b/>
                <w:bCs/>
                <w:color w:val="0000FF"/>
                <w:w w:val="73"/>
                <w:sz w:val="12"/>
                <w:szCs w:val="12"/>
              </w:rPr>
              <w:t>PART II</w:t>
            </w:r>
          </w:p>
        </w:tc>
        <w:tc>
          <w:tcPr>
            <w:tcW w:w="640" w:type="dxa"/>
            <w:gridSpan w:val="3"/>
            <w:vAlign w:val="bottom"/>
          </w:tcPr>
          <w:p>
            <w:pPr>
              <w:spacing w:after="0"/>
              <w:rPr>
                <w:color w:val="auto"/>
                <w:sz w:val="24"/>
                <w:szCs w:val="24"/>
              </w:rPr>
            </w:pPr>
          </w:p>
        </w:tc>
        <w:tc>
          <w:tcPr>
            <w:tcW w:w="560" w:type="dxa"/>
            <w:vAlign w:val="bottom"/>
          </w:tcPr>
          <w:p>
            <w:pPr>
              <w:spacing w:after="0"/>
              <w:rPr>
                <w:color w:val="auto"/>
                <w:sz w:val="24"/>
                <w:szCs w:val="24"/>
              </w:rPr>
            </w:pPr>
          </w:p>
        </w:tc>
        <w:tc>
          <w:tcPr>
            <w:tcW w:w="46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240" w:type="dxa"/>
            <w:tcBorders>
              <w:top w:val="single" w:sz="8" w:space="0" w:color="0000FF"/>
            </w:tcBorders>
            <w:vAlign w:val="bottom"/>
          </w:tcPr>
          <w:p>
            <w:pPr>
              <w:spacing w:after="0"/>
              <w:rPr>
                <w:color w:val="auto"/>
                <w:sz w:val="24"/>
                <w:szCs w:val="24"/>
              </w:rPr>
            </w:pPr>
          </w:p>
        </w:tc>
        <w:tc>
          <w:tcPr>
            <w:tcW w:w="40" w:type="dxa"/>
            <w:tcBorders>
              <w:top w:val="single" w:sz="8" w:space="0" w:color="0000FF"/>
            </w:tcBorders>
            <w:vAlign w:val="bottom"/>
          </w:tcPr>
          <w:p>
            <w:pPr>
              <w:spacing w:after="0"/>
              <w:rPr>
                <w:color w:val="auto"/>
                <w:sz w:val="24"/>
                <w:szCs w:val="24"/>
              </w:rPr>
            </w:pPr>
          </w:p>
        </w:tc>
        <w:tc>
          <w:tcPr>
            <w:tcW w:w="40" w:type="dxa"/>
            <w:tcBorders>
              <w:top w:val="single" w:sz="8" w:space="0" w:color="0000FF"/>
            </w:tcBorders>
            <w:vAlign w:val="bottom"/>
          </w:tcPr>
          <w:p>
            <w:pPr>
              <w:spacing w:after="0"/>
              <w:rPr>
                <w:color w:val="auto"/>
                <w:sz w:val="24"/>
                <w:szCs w:val="24"/>
              </w:rPr>
            </w:pPr>
          </w:p>
        </w:tc>
        <w:tc>
          <w:tcPr>
            <w:tcW w:w="220" w:type="dxa"/>
            <w:tcBorders>
              <w:top w:val="single" w:sz="8" w:space="0" w:color="0000FF"/>
            </w:tcBorders>
            <w:vAlign w:val="bottom"/>
          </w:tcPr>
          <w:p>
            <w:pPr>
              <w:spacing w:after="0"/>
              <w:rPr>
                <w:color w:val="auto"/>
                <w:sz w:val="24"/>
                <w:szCs w:val="24"/>
              </w:rPr>
            </w:pPr>
          </w:p>
        </w:tc>
        <w:tc>
          <w:tcPr>
            <w:tcW w:w="2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20" w:type="dxa"/>
            <w:tcBorders>
              <w:top w:val="single" w:sz="8" w:space="0" w:color="0000FF"/>
            </w:tcBorders>
            <w:vAlign w:val="bottom"/>
          </w:tcPr>
          <w:p>
            <w:pPr>
              <w:spacing w:after="0"/>
              <w:rPr>
                <w:color w:val="auto"/>
                <w:sz w:val="24"/>
                <w:szCs w:val="24"/>
              </w:rPr>
            </w:pPr>
          </w:p>
        </w:tc>
        <w:tc>
          <w:tcPr>
            <w:tcW w:w="580" w:type="dxa"/>
            <w:tcBorders>
              <w:top w:val="single" w:sz="8" w:space="0" w:color="0000FF"/>
            </w:tcBorders>
            <w:vAlign w:val="bottom"/>
          </w:tcPr>
          <w:p>
            <w:pPr>
              <w:spacing w:after="0"/>
              <w:rPr>
                <w:color w:val="auto"/>
                <w:sz w:val="24"/>
                <w:szCs w:val="24"/>
              </w:rPr>
            </w:pPr>
          </w:p>
        </w:tc>
        <w:tc>
          <w:tcPr>
            <w:tcW w:w="40" w:type="dxa"/>
            <w:tcBorders>
              <w:top w:val="single" w:sz="8" w:space="0" w:color="0000FF"/>
            </w:tcBorders>
            <w:vAlign w:val="bottom"/>
          </w:tcPr>
          <w:p>
            <w:pPr>
              <w:spacing w:after="0"/>
              <w:rPr>
                <w:color w:val="auto"/>
                <w:sz w:val="24"/>
                <w:szCs w:val="24"/>
              </w:rPr>
            </w:pPr>
          </w:p>
        </w:tc>
        <w:tc>
          <w:tcPr>
            <w:tcW w:w="160" w:type="dxa"/>
            <w:tcBorders>
              <w:top w:val="single" w:sz="8" w:space="0" w:color="0000FF"/>
            </w:tcBorders>
            <w:vAlign w:val="bottom"/>
          </w:tcPr>
          <w:p>
            <w:pPr>
              <w:spacing w:after="0"/>
              <w:rPr>
                <w:color w:val="auto"/>
                <w:sz w:val="24"/>
                <w:szCs w:val="24"/>
              </w:rPr>
            </w:pPr>
          </w:p>
        </w:tc>
        <w:tc>
          <w:tcPr>
            <w:tcW w:w="200" w:type="dxa"/>
            <w:vAlign w:val="bottom"/>
          </w:tcPr>
          <w:p>
            <w:pPr>
              <w:spacing w:after="0"/>
              <w:rPr>
                <w:color w:val="auto"/>
                <w:sz w:val="24"/>
                <w:szCs w:val="24"/>
              </w:rPr>
            </w:pPr>
          </w:p>
        </w:tc>
        <w:tc>
          <w:tcPr>
            <w:tcW w:w="600" w:type="dxa"/>
            <w:vAlign w:val="bottom"/>
          </w:tcPr>
          <w:p>
            <w:pPr>
              <w:spacing w:after="0"/>
              <w:rPr>
                <w:color w:val="auto"/>
                <w:sz w:val="24"/>
                <w:szCs w:val="24"/>
              </w:rPr>
            </w:pPr>
          </w:p>
        </w:tc>
        <w:tc>
          <w:tcPr>
            <w:tcW w:w="160" w:type="dxa"/>
            <w:vAlign w:val="bottom"/>
          </w:tcPr>
          <w:p>
            <w:pPr>
              <w:spacing w:after="0"/>
              <w:rPr>
                <w:color w:val="auto"/>
                <w:sz w:val="24"/>
                <w:szCs w:val="24"/>
              </w:rPr>
            </w:pPr>
          </w:p>
        </w:tc>
        <w:tc>
          <w:tcPr>
            <w:tcW w:w="500" w:type="dxa"/>
            <w:vAlign w:val="bottom"/>
          </w:tcPr>
          <w:p>
            <w:pPr>
              <w:spacing w:after="0"/>
              <w:rPr>
                <w:color w:val="auto"/>
                <w:sz w:val="24"/>
                <w:szCs w:val="24"/>
              </w:rPr>
            </w:pPr>
          </w:p>
        </w:tc>
        <w:tc>
          <w:tcPr>
            <w:tcW w:w="380" w:type="dxa"/>
            <w:vAlign w:val="bottom"/>
          </w:tcPr>
          <w:p>
            <w:pPr>
              <w:spacing w:after="0"/>
              <w:rPr>
                <w:color w:val="auto"/>
                <w:sz w:val="24"/>
                <w:szCs w:val="24"/>
              </w:rPr>
            </w:pPr>
          </w:p>
        </w:tc>
        <w:tc>
          <w:tcPr>
            <w:tcW w:w="720" w:type="dxa"/>
            <w:vAlign w:val="bottom"/>
          </w:tcPr>
          <w:p>
            <w:pPr>
              <w:spacing w:after="0"/>
              <w:rPr>
                <w:color w:val="auto"/>
                <w:sz w:val="24"/>
                <w:szCs w:val="24"/>
              </w:rPr>
            </w:pPr>
          </w:p>
        </w:tc>
        <w:tc>
          <w:tcPr>
            <w:tcW w:w="80" w:type="dxa"/>
            <w:vAlign w:val="bottom"/>
          </w:tcPr>
          <w:p>
            <w:pPr>
              <w:spacing w:after="0"/>
              <w:rPr>
                <w:color w:val="auto"/>
                <w:sz w:val="24"/>
                <w:szCs w:val="24"/>
              </w:rPr>
            </w:pPr>
          </w:p>
        </w:tc>
        <w:tc>
          <w:tcPr>
            <w:tcW w:w="600" w:type="dxa"/>
            <w:vAlign w:val="bottom"/>
          </w:tcPr>
          <w:p>
            <w:pPr>
              <w:spacing w:after="0"/>
              <w:rPr>
                <w:color w:val="auto"/>
                <w:sz w:val="24"/>
                <w:szCs w:val="24"/>
              </w:rPr>
            </w:pPr>
          </w:p>
        </w:tc>
        <w:tc>
          <w:tcPr>
            <w:tcW w:w="620" w:type="dxa"/>
            <w:vAlign w:val="bottom"/>
          </w:tcPr>
          <w:p>
            <w:pPr>
              <w:spacing w:after="0"/>
              <w:rPr>
                <w:color w:val="auto"/>
                <w:sz w:val="24"/>
                <w:szCs w:val="24"/>
              </w:rPr>
            </w:pPr>
          </w:p>
        </w:tc>
        <w:tc>
          <w:tcPr>
            <w:tcW w:w="980" w:type="dxa"/>
            <w:vAlign w:val="bottom"/>
          </w:tcPr>
          <w:p>
            <w:pPr>
              <w:spacing w:after="0"/>
              <w:rPr>
                <w:color w:val="auto"/>
                <w:sz w:val="24"/>
                <w:szCs w:val="24"/>
              </w:rPr>
            </w:pPr>
          </w:p>
        </w:tc>
        <w:tc>
          <w:tcPr>
            <w:tcW w:w="980" w:type="dxa"/>
            <w:vAlign w:val="bottom"/>
          </w:tcPr>
          <w:p>
            <w:pPr>
              <w:spacing w:after="0"/>
              <w:rPr>
                <w:color w:val="auto"/>
                <w:sz w:val="24"/>
                <w:szCs w:val="24"/>
              </w:rPr>
            </w:pPr>
          </w:p>
        </w:tc>
        <w:tc>
          <w:tcPr>
            <w:tcW w:w="120" w:type="dxa"/>
            <w:tcBorders>
              <w:top w:val="single" w:sz="8" w:space="0" w:color="0000FF"/>
            </w:tcBorders>
            <w:vAlign w:val="bottom"/>
          </w:tcPr>
          <w:p>
            <w:pPr>
              <w:spacing w:after="0"/>
              <w:rPr>
                <w:color w:val="auto"/>
                <w:sz w:val="24"/>
                <w:szCs w:val="24"/>
              </w:rPr>
            </w:pPr>
          </w:p>
        </w:tc>
        <w:tc>
          <w:tcPr>
            <w:tcW w:w="1060" w:type="dxa"/>
            <w:vAlign w:val="bottom"/>
          </w:tcPr>
          <w:p>
            <w:pPr>
              <w:spacing w:after="0"/>
              <w:rPr>
                <w:color w:val="auto"/>
                <w:sz w:val="24"/>
                <w:szCs w:val="24"/>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5.</w:t>
            </w:r>
          </w:p>
        </w:tc>
        <w:tc>
          <w:tcPr>
            <w:tcW w:w="640" w:type="dxa"/>
            <w:gridSpan w:val="3"/>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MARKET FOR REGISTRANT’S COMMON EQUITY, RELATED STOCKHOLDER MATTERS AND ISSUER PURCHASES OF EQUITY SECURITIES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30</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46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2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580" w:type="dxa"/>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600" w:type="dxa"/>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500" w:type="dxa"/>
            <w:shd w:val="clear" w:color="auto" w:fill="0000FF"/>
            <w:vAlign w:val="bottom"/>
          </w:tcPr>
          <w:p>
            <w:pPr>
              <w:spacing w:after="0" w:line="20" w:lineRule="exact"/>
              <w:rPr>
                <w:color w:val="auto"/>
                <w:sz w:val="1"/>
                <w:szCs w:val="1"/>
              </w:rPr>
            </w:pPr>
          </w:p>
        </w:tc>
        <w:tc>
          <w:tcPr>
            <w:tcW w:w="380" w:type="dxa"/>
            <w:shd w:val="clear" w:color="auto" w:fill="0000FF"/>
            <w:vAlign w:val="bottom"/>
          </w:tcPr>
          <w:p>
            <w:pPr>
              <w:spacing w:after="0" w:line="20" w:lineRule="exact"/>
              <w:rPr>
                <w:color w:val="auto"/>
                <w:sz w:val="1"/>
                <w:szCs w:val="1"/>
              </w:rPr>
            </w:pPr>
          </w:p>
        </w:tc>
        <w:tc>
          <w:tcPr>
            <w:tcW w:w="72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600" w:type="dxa"/>
            <w:shd w:val="clear" w:color="auto" w:fill="0000FF"/>
            <w:vAlign w:val="bottom"/>
          </w:tcPr>
          <w:p>
            <w:pPr>
              <w:spacing w:after="0" w:line="20" w:lineRule="exact"/>
              <w:rPr>
                <w:color w:val="auto"/>
                <w:sz w:val="1"/>
                <w:szCs w:val="1"/>
              </w:rPr>
            </w:pPr>
          </w:p>
        </w:tc>
        <w:tc>
          <w:tcPr>
            <w:tcW w:w="620" w:type="dxa"/>
            <w:shd w:val="clear" w:color="auto" w:fill="0000FF"/>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6.</w:t>
            </w:r>
          </w:p>
        </w:tc>
        <w:tc>
          <w:tcPr>
            <w:tcW w:w="640" w:type="dxa"/>
            <w:gridSpan w:val="3"/>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[RESERVED]</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32</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46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20" w:type="dxa"/>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58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7.</w:t>
            </w:r>
          </w:p>
        </w:tc>
        <w:tc>
          <w:tcPr>
            <w:tcW w:w="640" w:type="dxa"/>
            <w:gridSpan w:val="3"/>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MANAGEMENT’S DISCUSSION AND ANALYSIS OF FINANCIAL CONDITION AND RESULTS OF OPERATIONS</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33</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380" w:type="dxa"/>
            <w:gridSpan w:val="3"/>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40" w:type="dxa"/>
            <w:gridSpan w:val="2"/>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700" w:type="dxa"/>
            <w:gridSpan w:val="2"/>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360" w:type="dxa"/>
            <w:gridSpan w:val="2"/>
            <w:shd w:val="clear" w:color="auto" w:fill="0000FF"/>
            <w:vAlign w:val="bottom"/>
          </w:tcPr>
          <w:p>
            <w:pPr>
              <w:spacing w:after="0" w:line="20" w:lineRule="exact"/>
              <w:rPr>
                <w:color w:val="auto"/>
                <w:sz w:val="1"/>
                <w:szCs w:val="1"/>
              </w:rPr>
            </w:pPr>
          </w:p>
        </w:tc>
        <w:tc>
          <w:tcPr>
            <w:tcW w:w="600" w:type="dxa"/>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500" w:type="dxa"/>
            <w:shd w:val="clear" w:color="auto" w:fill="0000FF"/>
            <w:vAlign w:val="bottom"/>
          </w:tcPr>
          <w:p>
            <w:pPr>
              <w:spacing w:after="0" w:line="20" w:lineRule="exact"/>
              <w:rPr>
                <w:color w:val="auto"/>
                <w:sz w:val="1"/>
                <w:szCs w:val="1"/>
              </w:rPr>
            </w:pPr>
          </w:p>
        </w:tc>
        <w:tc>
          <w:tcPr>
            <w:tcW w:w="380" w:type="dxa"/>
            <w:shd w:val="clear" w:color="auto" w:fill="0000FF"/>
            <w:vAlign w:val="bottom"/>
          </w:tcPr>
          <w:p>
            <w:pPr>
              <w:spacing w:after="0" w:line="20" w:lineRule="exact"/>
              <w:rPr>
                <w:color w:val="auto"/>
                <w:sz w:val="1"/>
                <w:szCs w:val="1"/>
              </w:rPr>
            </w:pPr>
          </w:p>
        </w:tc>
        <w:tc>
          <w:tcPr>
            <w:tcW w:w="720" w:type="dxa"/>
            <w:shd w:val="clear" w:color="auto" w:fill="0000FF"/>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60" w:type="dxa"/>
            <w:gridSpan w:val="3"/>
            <w:vAlign w:val="bottom"/>
          </w:tcPr>
          <w:p>
            <w:pPr>
              <w:spacing w:after="0" w:line="133" w:lineRule="exact"/>
              <w:rPr>
                <w:color w:val="auto"/>
                <w:sz w:val="20"/>
                <w:szCs w:val="20"/>
              </w:rPr>
            </w:pPr>
            <w:r>
              <w:rPr>
                <w:rFonts w:ascii="Calibri" w:eastAsia="Calibri" w:hAnsi="Calibri" w:cs="Calibri"/>
                <w:color w:val="0000FF"/>
                <w:sz w:val="12"/>
                <w:szCs w:val="12"/>
              </w:rPr>
              <w:t>Item 7A.</w:t>
            </w: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QUANTITATIVE AND QUALITATIVE DISCLOSURES ABOUT MARKET RISK</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49</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6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480" w:type="dxa"/>
            <w:tcBorders>
              <w:left w:val="single" w:sz="8" w:space="0" w:color="0000FF"/>
            </w:tcBorders>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380" w:type="dxa"/>
            <w:gridSpan w:val="3"/>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40" w:type="dxa"/>
            <w:gridSpan w:val="2"/>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700" w:type="dxa"/>
            <w:gridSpan w:val="2"/>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360" w:type="dxa"/>
            <w:gridSpan w:val="2"/>
            <w:shd w:val="clear" w:color="auto" w:fill="0000FF"/>
            <w:vAlign w:val="bottom"/>
          </w:tcPr>
          <w:p>
            <w:pPr>
              <w:spacing w:after="0" w:line="20" w:lineRule="exact"/>
              <w:rPr>
                <w:color w:val="auto"/>
                <w:sz w:val="1"/>
                <w:szCs w:val="1"/>
              </w:rPr>
            </w:pPr>
          </w:p>
        </w:tc>
        <w:tc>
          <w:tcPr>
            <w:tcW w:w="600" w:type="dxa"/>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800" w:type="dxa"/>
            <w:gridSpan w:val="2"/>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8.</w:t>
            </w:r>
          </w:p>
        </w:tc>
        <w:tc>
          <w:tcPr>
            <w:tcW w:w="160" w:type="dxa"/>
            <w:gridSpan w:val="2"/>
            <w:vAlign w:val="bottom"/>
          </w:tcPr>
          <w:p>
            <w:pPr>
              <w:spacing w:after="0"/>
              <w:rPr>
                <w:color w:val="auto"/>
                <w:sz w:val="11"/>
                <w:szCs w:val="11"/>
              </w:rPr>
            </w:pP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FINANCIAL STATEMENTS AND SUPPLEMENTARY DATA</w:t>
            </w:r>
          </w:p>
        </w:tc>
        <w:tc>
          <w:tcPr>
            <w:tcW w:w="1100" w:type="dxa"/>
            <w:gridSpan w:val="2"/>
            <w:vAlign w:val="bottom"/>
          </w:tcPr>
          <w:p>
            <w:pPr>
              <w:spacing w:after="0" w:line="133" w:lineRule="exact"/>
              <w:ind w:left="980"/>
              <w:rPr>
                <w:color w:val="auto"/>
                <w:sz w:val="20"/>
                <w:szCs w:val="20"/>
              </w:rPr>
            </w:pPr>
            <w:r>
              <w:rPr>
                <w:rFonts w:ascii="Calibri" w:eastAsia="Calibri" w:hAnsi="Calibri" w:cs="Calibri"/>
                <w:color w:val="0000FF"/>
                <w:w w:val="71"/>
                <w:sz w:val="11"/>
                <w:szCs w:val="11"/>
              </w:rPr>
              <w:t>50</w:t>
            </w:r>
          </w:p>
        </w:tc>
        <w:tc>
          <w:tcPr>
            <w:tcW w:w="1060" w:type="dxa"/>
            <w:vAlign w:val="bottom"/>
          </w:tcPr>
          <w:p>
            <w:pPr>
              <w:spacing w:after="0"/>
              <w:rPr>
                <w:color w:val="auto"/>
                <w:sz w:val="11"/>
                <w:szCs w:val="11"/>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380" w:type="dxa"/>
            <w:gridSpan w:val="3"/>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40" w:type="dxa"/>
            <w:gridSpan w:val="2"/>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700" w:type="dxa"/>
            <w:gridSpan w:val="2"/>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360" w:type="dxa"/>
            <w:gridSpan w:val="2"/>
            <w:shd w:val="clear" w:color="auto" w:fill="0000FF"/>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60" w:type="dxa"/>
            <w:gridSpan w:val="2"/>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800" w:type="dxa"/>
            <w:gridSpan w:val="2"/>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line="133" w:lineRule="exact"/>
              <w:rPr>
                <w:color w:val="auto"/>
                <w:sz w:val="20"/>
                <w:szCs w:val="20"/>
              </w:rPr>
            </w:pPr>
            <w:r>
              <w:rPr>
                <w:rFonts w:ascii="Calibri" w:eastAsia="Calibri" w:hAnsi="Calibri" w:cs="Calibri"/>
                <w:color w:val="0000FF"/>
                <w:w w:val="75"/>
                <w:sz w:val="12"/>
                <w:szCs w:val="12"/>
              </w:rPr>
              <w:t>Item 9.</w:t>
            </w:r>
          </w:p>
        </w:tc>
        <w:tc>
          <w:tcPr>
            <w:tcW w:w="640" w:type="dxa"/>
            <w:gridSpan w:val="3"/>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CHANGES IN AND DISAGREEMENTS WITH ACCOUNTANTS ON ACCOUNTING AND FINANCIAL DISCLOSURE</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104</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380" w:type="dxa"/>
            <w:gridSpan w:val="3"/>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40" w:type="dxa"/>
            <w:gridSpan w:val="2"/>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700" w:type="dxa"/>
            <w:gridSpan w:val="2"/>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960" w:type="dxa"/>
            <w:gridSpan w:val="3"/>
            <w:shd w:val="clear" w:color="auto" w:fill="0000FF"/>
            <w:vAlign w:val="bottom"/>
          </w:tcPr>
          <w:p>
            <w:pPr>
              <w:spacing w:after="0" w:line="20" w:lineRule="exact"/>
              <w:rPr>
                <w:color w:val="auto"/>
                <w:sz w:val="1"/>
                <w:szCs w:val="1"/>
              </w:rPr>
            </w:pPr>
          </w:p>
        </w:tc>
        <w:tc>
          <w:tcPr>
            <w:tcW w:w="660" w:type="dxa"/>
            <w:gridSpan w:val="2"/>
            <w:shd w:val="clear" w:color="auto" w:fill="0000FF"/>
            <w:vAlign w:val="bottom"/>
          </w:tcPr>
          <w:p>
            <w:pPr>
              <w:spacing w:after="0" w:line="20" w:lineRule="exact"/>
              <w:rPr>
                <w:color w:val="auto"/>
                <w:sz w:val="1"/>
                <w:szCs w:val="1"/>
              </w:rPr>
            </w:pPr>
          </w:p>
        </w:tc>
        <w:tc>
          <w:tcPr>
            <w:tcW w:w="380" w:type="dxa"/>
            <w:shd w:val="clear" w:color="auto" w:fill="0000FF"/>
            <w:vAlign w:val="bottom"/>
          </w:tcPr>
          <w:p>
            <w:pPr>
              <w:spacing w:after="0" w:line="20" w:lineRule="exact"/>
              <w:rPr>
                <w:color w:val="auto"/>
                <w:sz w:val="1"/>
                <w:szCs w:val="1"/>
              </w:rPr>
            </w:pPr>
          </w:p>
        </w:tc>
        <w:tc>
          <w:tcPr>
            <w:tcW w:w="800" w:type="dxa"/>
            <w:gridSpan w:val="2"/>
            <w:shd w:val="clear" w:color="auto" w:fill="0000FF"/>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60" w:type="dxa"/>
            <w:gridSpan w:val="3"/>
            <w:vAlign w:val="bottom"/>
          </w:tcPr>
          <w:p>
            <w:pPr>
              <w:spacing w:after="0" w:line="133" w:lineRule="exact"/>
              <w:rPr>
                <w:color w:val="auto"/>
                <w:sz w:val="20"/>
                <w:szCs w:val="20"/>
              </w:rPr>
            </w:pPr>
            <w:r>
              <w:rPr>
                <w:rFonts w:ascii="Calibri" w:eastAsia="Calibri" w:hAnsi="Calibri" w:cs="Calibri"/>
                <w:color w:val="0000FF"/>
                <w:sz w:val="12"/>
                <w:szCs w:val="12"/>
              </w:rPr>
              <w:t>Item 9A.</w:t>
            </w: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CONTROLS AND PROCEDURES</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104</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6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480" w:type="dxa"/>
            <w:tcBorders>
              <w:left w:val="single" w:sz="8" w:space="0" w:color="0000FF"/>
            </w:tcBorders>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380" w:type="dxa"/>
            <w:gridSpan w:val="3"/>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40" w:type="dxa"/>
            <w:gridSpan w:val="2"/>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700" w:type="dxa"/>
            <w:gridSpan w:val="2"/>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960" w:type="dxa"/>
            <w:gridSpan w:val="3"/>
            <w:vAlign w:val="bottom"/>
          </w:tcPr>
          <w:p>
            <w:pPr>
              <w:spacing w:after="0" w:line="20" w:lineRule="exact"/>
              <w:rPr>
                <w:color w:val="auto"/>
                <w:sz w:val="1"/>
                <w:szCs w:val="1"/>
              </w:rPr>
            </w:pPr>
          </w:p>
        </w:tc>
        <w:tc>
          <w:tcPr>
            <w:tcW w:w="660" w:type="dxa"/>
            <w:gridSpan w:val="2"/>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1400" w:type="dxa"/>
            <w:gridSpan w:val="3"/>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60" w:type="dxa"/>
            <w:gridSpan w:val="3"/>
            <w:vAlign w:val="bottom"/>
          </w:tcPr>
          <w:p>
            <w:pPr>
              <w:spacing w:after="0" w:line="133" w:lineRule="exact"/>
              <w:rPr>
                <w:color w:val="auto"/>
                <w:sz w:val="20"/>
                <w:szCs w:val="20"/>
              </w:rPr>
            </w:pPr>
            <w:r>
              <w:rPr>
                <w:rFonts w:ascii="Calibri" w:eastAsia="Calibri" w:hAnsi="Calibri" w:cs="Calibri"/>
                <w:color w:val="0000FF"/>
                <w:sz w:val="12"/>
                <w:szCs w:val="12"/>
              </w:rPr>
              <w:t>Item 9B.</w:t>
            </w: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OTHER INFORMATION</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106</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6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380" w:type="dxa"/>
            <w:gridSpan w:val="3"/>
            <w:shd w:val="clear" w:color="auto" w:fill="0000FF"/>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40" w:type="dxa"/>
            <w:gridSpan w:val="2"/>
            <w:vAlign w:val="bottom"/>
          </w:tcPr>
          <w:p>
            <w:pPr>
              <w:spacing w:after="0" w:line="20" w:lineRule="exact"/>
              <w:rPr>
                <w:color w:val="auto"/>
                <w:sz w:val="1"/>
                <w:szCs w:val="1"/>
              </w:rPr>
            </w:pPr>
          </w:p>
        </w:tc>
        <w:tc>
          <w:tcPr>
            <w:tcW w:w="800" w:type="dxa"/>
            <w:gridSpan w:val="3"/>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960" w:type="dxa"/>
            <w:gridSpan w:val="3"/>
            <w:vAlign w:val="bottom"/>
          </w:tcPr>
          <w:p>
            <w:pPr>
              <w:spacing w:after="0" w:line="20" w:lineRule="exact"/>
              <w:rPr>
                <w:color w:val="auto"/>
                <w:sz w:val="1"/>
                <w:szCs w:val="1"/>
              </w:rPr>
            </w:pPr>
          </w:p>
        </w:tc>
        <w:tc>
          <w:tcPr>
            <w:tcW w:w="660" w:type="dxa"/>
            <w:gridSpan w:val="2"/>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1400" w:type="dxa"/>
            <w:gridSpan w:val="3"/>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60" w:type="dxa"/>
            <w:gridSpan w:val="3"/>
            <w:vAlign w:val="bottom"/>
          </w:tcPr>
          <w:p>
            <w:pPr>
              <w:spacing w:after="0" w:line="133" w:lineRule="exact"/>
              <w:rPr>
                <w:color w:val="auto"/>
                <w:sz w:val="20"/>
                <w:szCs w:val="20"/>
              </w:rPr>
            </w:pPr>
            <w:r>
              <w:rPr>
                <w:rFonts w:ascii="Calibri" w:eastAsia="Calibri" w:hAnsi="Calibri" w:cs="Calibri"/>
                <w:color w:val="0000FF"/>
                <w:sz w:val="12"/>
                <w:szCs w:val="12"/>
              </w:rPr>
              <w:t>Item 9C.</w:t>
            </w: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DISCLOSURE REGARDING FOREIGN JURISDICTIONS THAT PREVENT INSPECTIONS</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106</w:t>
            </w:r>
          </w:p>
        </w:tc>
      </w:tr>
      <w:tr>
        <w:tblPrEx>
          <w:tblInd w:w="0" w:type="dxa"/>
          <w:tblLayout w:type="fixed"/>
        </w:tblPrEx>
        <w:trPr>
          <w:trHeight w:val="304"/>
        </w:trPr>
        <w:tc>
          <w:tcPr>
            <w:tcW w:w="480" w:type="dxa"/>
            <w:vAlign w:val="bottom"/>
          </w:tcPr>
          <w:p>
            <w:pPr>
              <w:spacing w:after="0"/>
              <w:rPr>
                <w:color w:val="auto"/>
                <w:sz w:val="24"/>
                <w:szCs w:val="24"/>
              </w:rPr>
            </w:pPr>
          </w:p>
        </w:tc>
        <w:tc>
          <w:tcPr>
            <w:tcW w:w="460" w:type="dxa"/>
            <w:gridSpan w:val="3"/>
            <w:tcBorders>
              <w:top w:val="single" w:sz="8" w:space="0" w:color="0000FF"/>
            </w:tcBorders>
            <w:vAlign w:val="bottom"/>
          </w:tcPr>
          <w:p>
            <w:pPr>
              <w:spacing w:after="0"/>
              <w:rPr>
                <w:color w:val="auto"/>
                <w:sz w:val="20"/>
                <w:szCs w:val="20"/>
              </w:rPr>
            </w:pPr>
            <w:r>
              <w:rPr>
                <w:rFonts w:ascii="Calibri" w:eastAsia="Calibri" w:hAnsi="Calibri" w:cs="Calibri"/>
                <w:b/>
                <w:bCs/>
                <w:color w:val="0000FF"/>
                <w:sz w:val="12"/>
                <w:szCs w:val="12"/>
              </w:rPr>
              <w:t>PART III</w:t>
            </w:r>
          </w:p>
        </w:tc>
        <w:tc>
          <w:tcPr>
            <w:tcW w:w="480" w:type="dxa"/>
            <w:vAlign w:val="bottom"/>
          </w:tcPr>
          <w:p>
            <w:pPr>
              <w:spacing w:after="0"/>
              <w:rPr>
                <w:color w:val="auto"/>
                <w:sz w:val="24"/>
                <w:szCs w:val="24"/>
              </w:rPr>
            </w:pPr>
          </w:p>
        </w:tc>
        <w:tc>
          <w:tcPr>
            <w:tcW w:w="560" w:type="dxa"/>
            <w:vAlign w:val="bottom"/>
          </w:tcPr>
          <w:p>
            <w:pPr>
              <w:spacing w:after="0"/>
              <w:rPr>
                <w:color w:val="auto"/>
                <w:sz w:val="24"/>
                <w:szCs w:val="24"/>
              </w:rPr>
            </w:pPr>
          </w:p>
        </w:tc>
        <w:tc>
          <w:tcPr>
            <w:tcW w:w="46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240" w:type="dxa"/>
            <w:tcBorders>
              <w:top w:val="single" w:sz="8" w:space="0" w:color="0000FF"/>
            </w:tcBorders>
            <w:vAlign w:val="bottom"/>
          </w:tcPr>
          <w:p>
            <w:pPr>
              <w:spacing w:after="0"/>
              <w:rPr>
                <w:color w:val="auto"/>
                <w:sz w:val="24"/>
                <w:szCs w:val="24"/>
              </w:rPr>
            </w:pPr>
          </w:p>
        </w:tc>
        <w:tc>
          <w:tcPr>
            <w:tcW w:w="40" w:type="dxa"/>
            <w:tcBorders>
              <w:top w:val="single" w:sz="8" w:space="0" w:color="0000FF"/>
            </w:tcBorders>
            <w:vAlign w:val="bottom"/>
          </w:tcPr>
          <w:p>
            <w:pPr>
              <w:spacing w:after="0"/>
              <w:rPr>
                <w:color w:val="auto"/>
                <w:sz w:val="24"/>
                <w:szCs w:val="24"/>
              </w:rPr>
            </w:pPr>
          </w:p>
        </w:tc>
        <w:tc>
          <w:tcPr>
            <w:tcW w:w="40" w:type="dxa"/>
            <w:tcBorders>
              <w:top w:val="single" w:sz="8" w:space="0" w:color="0000FF"/>
            </w:tcBorders>
            <w:vAlign w:val="bottom"/>
          </w:tcPr>
          <w:p>
            <w:pPr>
              <w:spacing w:after="0"/>
              <w:rPr>
                <w:color w:val="auto"/>
                <w:sz w:val="24"/>
                <w:szCs w:val="24"/>
              </w:rPr>
            </w:pPr>
          </w:p>
        </w:tc>
        <w:tc>
          <w:tcPr>
            <w:tcW w:w="220" w:type="dxa"/>
            <w:tcBorders>
              <w:top w:val="single" w:sz="8" w:space="0" w:color="0000FF"/>
            </w:tcBorders>
            <w:vAlign w:val="bottom"/>
          </w:tcPr>
          <w:p>
            <w:pPr>
              <w:spacing w:after="0"/>
              <w:rPr>
                <w:color w:val="auto"/>
                <w:sz w:val="24"/>
                <w:szCs w:val="24"/>
              </w:rPr>
            </w:pPr>
          </w:p>
        </w:tc>
        <w:tc>
          <w:tcPr>
            <w:tcW w:w="2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20" w:type="dxa"/>
            <w:tcBorders>
              <w:top w:val="single" w:sz="8" w:space="0" w:color="0000FF"/>
            </w:tcBorders>
            <w:vAlign w:val="bottom"/>
          </w:tcPr>
          <w:p>
            <w:pPr>
              <w:spacing w:after="0"/>
              <w:rPr>
                <w:color w:val="auto"/>
                <w:sz w:val="24"/>
                <w:szCs w:val="24"/>
              </w:rPr>
            </w:pPr>
          </w:p>
        </w:tc>
        <w:tc>
          <w:tcPr>
            <w:tcW w:w="580" w:type="dxa"/>
            <w:tcBorders>
              <w:top w:val="single" w:sz="8" w:space="0" w:color="0000FF"/>
            </w:tcBorders>
            <w:vAlign w:val="bottom"/>
          </w:tcPr>
          <w:p>
            <w:pPr>
              <w:spacing w:after="0"/>
              <w:rPr>
                <w:color w:val="auto"/>
                <w:sz w:val="24"/>
                <w:szCs w:val="24"/>
              </w:rPr>
            </w:pPr>
          </w:p>
        </w:tc>
        <w:tc>
          <w:tcPr>
            <w:tcW w:w="40" w:type="dxa"/>
            <w:tcBorders>
              <w:top w:val="single" w:sz="8" w:space="0" w:color="0000FF"/>
            </w:tcBorders>
            <w:vAlign w:val="bottom"/>
          </w:tcPr>
          <w:p>
            <w:pPr>
              <w:spacing w:after="0"/>
              <w:rPr>
                <w:color w:val="auto"/>
                <w:sz w:val="24"/>
                <w:szCs w:val="24"/>
              </w:rPr>
            </w:pPr>
          </w:p>
        </w:tc>
        <w:tc>
          <w:tcPr>
            <w:tcW w:w="160" w:type="dxa"/>
            <w:tcBorders>
              <w:top w:val="single" w:sz="8" w:space="0" w:color="0000FF"/>
            </w:tcBorders>
            <w:vAlign w:val="bottom"/>
          </w:tcPr>
          <w:p>
            <w:pPr>
              <w:spacing w:after="0"/>
              <w:rPr>
                <w:color w:val="auto"/>
                <w:sz w:val="24"/>
                <w:szCs w:val="24"/>
              </w:rPr>
            </w:pPr>
          </w:p>
        </w:tc>
        <w:tc>
          <w:tcPr>
            <w:tcW w:w="200" w:type="dxa"/>
            <w:tcBorders>
              <w:top w:val="single" w:sz="8" w:space="0" w:color="0000FF"/>
            </w:tcBorders>
            <w:vAlign w:val="bottom"/>
          </w:tcPr>
          <w:p>
            <w:pPr>
              <w:spacing w:after="0"/>
              <w:rPr>
                <w:color w:val="auto"/>
                <w:sz w:val="24"/>
                <w:szCs w:val="24"/>
              </w:rPr>
            </w:pPr>
          </w:p>
        </w:tc>
        <w:tc>
          <w:tcPr>
            <w:tcW w:w="600" w:type="dxa"/>
            <w:tcBorders>
              <w:top w:val="single" w:sz="8" w:space="0" w:color="0000FF"/>
            </w:tcBorders>
            <w:vAlign w:val="bottom"/>
          </w:tcPr>
          <w:p>
            <w:pPr>
              <w:spacing w:after="0"/>
              <w:rPr>
                <w:color w:val="auto"/>
                <w:sz w:val="24"/>
                <w:szCs w:val="24"/>
              </w:rPr>
            </w:pPr>
          </w:p>
        </w:tc>
        <w:tc>
          <w:tcPr>
            <w:tcW w:w="160" w:type="dxa"/>
            <w:tcBorders>
              <w:top w:val="single" w:sz="8" w:space="0" w:color="0000FF"/>
            </w:tcBorders>
            <w:vAlign w:val="bottom"/>
          </w:tcPr>
          <w:p>
            <w:pPr>
              <w:spacing w:after="0"/>
              <w:rPr>
                <w:color w:val="auto"/>
                <w:sz w:val="24"/>
                <w:szCs w:val="24"/>
              </w:rPr>
            </w:pPr>
          </w:p>
        </w:tc>
        <w:tc>
          <w:tcPr>
            <w:tcW w:w="500" w:type="dxa"/>
            <w:tcBorders>
              <w:top w:val="single" w:sz="8" w:space="0" w:color="0000FF"/>
            </w:tcBorders>
            <w:vAlign w:val="bottom"/>
          </w:tcPr>
          <w:p>
            <w:pPr>
              <w:spacing w:after="0"/>
              <w:rPr>
                <w:color w:val="auto"/>
                <w:sz w:val="24"/>
                <w:szCs w:val="24"/>
              </w:rPr>
            </w:pPr>
          </w:p>
        </w:tc>
        <w:tc>
          <w:tcPr>
            <w:tcW w:w="380" w:type="dxa"/>
            <w:vAlign w:val="bottom"/>
          </w:tcPr>
          <w:p>
            <w:pPr>
              <w:spacing w:after="0"/>
              <w:rPr>
                <w:color w:val="auto"/>
                <w:sz w:val="24"/>
                <w:szCs w:val="24"/>
              </w:rPr>
            </w:pPr>
          </w:p>
        </w:tc>
        <w:tc>
          <w:tcPr>
            <w:tcW w:w="720" w:type="dxa"/>
            <w:vAlign w:val="bottom"/>
          </w:tcPr>
          <w:p>
            <w:pPr>
              <w:spacing w:after="0"/>
              <w:rPr>
                <w:color w:val="auto"/>
                <w:sz w:val="24"/>
                <w:szCs w:val="24"/>
              </w:rPr>
            </w:pPr>
          </w:p>
        </w:tc>
        <w:tc>
          <w:tcPr>
            <w:tcW w:w="80" w:type="dxa"/>
            <w:vAlign w:val="bottom"/>
          </w:tcPr>
          <w:p>
            <w:pPr>
              <w:spacing w:after="0"/>
              <w:rPr>
                <w:color w:val="auto"/>
                <w:sz w:val="24"/>
                <w:szCs w:val="24"/>
              </w:rPr>
            </w:pPr>
          </w:p>
        </w:tc>
        <w:tc>
          <w:tcPr>
            <w:tcW w:w="600" w:type="dxa"/>
            <w:vAlign w:val="bottom"/>
          </w:tcPr>
          <w:p>
            <w:pPr>
              <w:spacing w:after="0"/>
              <w:rPr>
                <w:color w:val="auto"/>
                <w:sz w:val="24"/>
                <w:szCs w:val="24"/>
              </w:rPr>
            </w:pPr>
          </w:p>
        </w:tc>
        <w:tc>
          <w:tcPr>
            <w:tcW w:w="620" w:type="dxa"/>
            <w:vAlign w:val="bottom"/>
          </w:tcPr>
          <w:p>
            <w:pPr>
              <w:spacing w:after="0"/>
              <w:rPr>
                <w:color w:val="auto"/>
                <w:sz w:val="24"/>
                <w:szCs w:val="24"/>
              </w:rPr>
            </w:pPr>
          </w:p>
        </w:tc>
        <w:tc>
          <w:tcPr>
            <w:tcW w:w="980" w:type="dxa"/>
            <w:vAlign w:val="bottom"/>
          </w:tcPr>
          <w:p>
            <w:pPr>
              <w:spacing w:after="0"/>
              <w:rPr>
                <w:color w:val="auto"/>
                <w:sz w:val="24"/>
                <w:szCs w:val="24"/>
              </w:rPr>
            </w:pPr>
          </w:p>
        </w:tc>
        <w:tc>
          <w:tcPr>
            <w:tcW w:w="980" w:type="dxa"/>
            <w:vAlign w:val="bottom"/>
          </w:tcPr>
          <w:p>
            <w:pPr>
              <w:spacing w:after="0"/>
              <w:rPr>
                <w:color w:val="auto"/>
                <w:sz w:val="24"/>
                <w:szCs w:val="24"/>
              </w:rPr>
            </w:pPr>
          </w:p>
        </w:tc>
        <w:tc>
          <w:tcPr>
            <w:tcW w:w="120" w:type="dxa"/>
            <w:tcBorders>
              <w:top w:val="single" w:sz="8" w:space="0" w:color="0000FF"/>
            </w:tcBorders>
            <w:vAlign w:val="bottom"/>
          </w:tcPr>
          <w:p>
            <w:pPr>
              <w:spacing w:after="0"/>
              <w:rPr>
                <w:color w:val="auto"/>
                <w:sz w:val="24"/>
                <w:szCs w:val="24"/>
              </w:rPr>
            </w:pPr>
          </w:p>
        </w:tc>
        <w:tc>
          <w:tcPr>
            <w:tcW w:w="1060" w:type="dxa"/>
            <w:vAlign w:val="bottom"/>
          </w:tcPr>
          <w:p>
            <w:pPr>
              <w:spacing w:after="0"/>
              <w:rPr>
                <w:color w:val="auto"/>
                <w:sz w:val="24"/>
                <w:szCs w:val="24"/>
              </w:rPr>
            </w:pP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tcBorders>
            <w:vAlign w:val="bottom"/>
          </w:tcPr>
          <w:p>
            <w:pPr>
              <w:spacing w:after="0" w:line="20" w:lineRule="exact"/>
              <w:rPr>
                <w:color w:val="auto"/>
                <w:sz w:val="1"/>
                <w:szCs w:val="1"/>
              </w:rPr>
            </w:pPr>
          </w:p>
        </w:tc>
        <w:tc>
          <w:tcPr>
            <w:tcW w:w="540" w:type="dxa"/>
            <w:gridSpan w:val="2"/>
            <w:vAlign w:val="bottom"/>
          </w:tcPr>
          <w:p>
            <w:pPr>
              <w:spacing w:after="0" w:line="20" w:lineRule="exact"/>
              <w:rPr>
                <w:color w:val="auto"/>
                <w:sz w:val="1"/>
                <w:szCs w:val="1"/>
              </w:rPr>
            </w:pPr>
          </w:p>
        </w:tc>
        <w:tc>
          <w:tcPr>
            <w:tcW w:w="1220" w:type="dxa"/>
            <w:gridSpan w:val="4"/>
            <w:vAlign w:val="bottom"/>
          </w:tcPr>
          <w:p>
            <w:pPr>
              <w:spacing w:after="0" w:line="20" w:lineRule="exact"/>
              <w:rPr>
                <w:color w:val="auto"/>
                <w:sz w:val="1"/>
                <w:szCs w:val="1"/>
              </w:rPr>
            </w:pPr>
          </w:p>
        </w:tc>
        <w:tc>
          <w:tcPr>
            <w:tcW w:w="420" w:type="dxa"/>
            <w:gridSpan w:val="4"/>
            <w:vAlign w:val="bottom"/>
          </w:tcPr>
          <w:p>
            <w:pPr>
              <w:spacing w:after="0" w:line="20" w:lineRule="exact"/>
              <w:rPr>
                <w:color w:val="auto"/>
                <w:sz w:val="1"/>
                <w:szCs w:val="1"/>
              </w:rPr>
            </w:pPr>
          </w:p>
        </w:tc>
        <w:tc>
          <w:tcPr>
            <w:tcW w:w="240" w:type="dxa"/>
            <w:gridSpan w:val="2"/>
            <w:vAlign w:val="bottom"/>
          </w:tcPr>
          <w:p>
            <w:pPr>
              <w:spacing w:after="0" w:line="20" w:lineRule="exact"/>
              <w:rPr>
                <w:color w:val="auto"/>
                <w:sz w:val="1"/>
                <w:szCs w:val="1"/>
              </w:rPr>
            </w:pPr>
          </w:p>
        </w:tc>
        <w:tc>
          <w:tcPr>
            <w:tcW w:w="800" w:type="dxa"/>
            <w:gridSpan w:val="3"/>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960" w:type="dxa"/>
            <w:gridSpan w:val="3"/>
            <w:vAlign w:val="bottom"/>
          </w:tcPr>
          <w:p>
            <w:pPr>
              <w:spacing w:after="0" w:line="20" w:lineRule="exact"/>
              <w:rPr>
                <w:color w:val="auto"/>
                <w:sz w:val="1"/>
                <w:szCs w:val="1"/>
              </w:rPr>
            </w:pPr>
          </w:p>
        </w:tc>
        <w:tc>
          <w:tcPr>
            <w:tcW w:w="1040" w:type="dxa"/>
            <w:gridSpan w:val="3"/>
            <w:vAlign w:val="bottom"/>
          </w:tcPr>
          <w:p>
            <w:pPr>
              <w:spacing w:after="0" w:line="20" w:lineRule="exact"/>
              <w:rPr>
                <w:color w:val="auto"/>
                <w:sz w:val="1"/>
                <w:szCs w:val="1"/>
              </w:rPr>
            </w:pPr>
          </w:p>
        </w:tc>
        <w:tc>
          <w:tcPr>
            <w:tcW w:w="1400" w:type="dxa"/>
            <w:gridSpan w:val="3"/>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2160" w:type="dxa"/>
            <w:gridSpan w:val="3"/>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00" w:type="dxa"/>
            <w:gridSpan w:val="2"/>
            <w:vAlign w:val="bottom"/>
          </w:tcPr>
          <w:p>
            <w:pPr>
              <w:spacing w:after="0" w:line="133" w:lineRule="exact"/>
              <w:rPr>
                <w:color w:val="auto"/>
                <w:sz w:val="20"/>
                <w:szCs w:val="20"/>
              </w:rPr>
            </w:pPr>
            <w:r>
              <w:rPr>
                <w:rFonts w:ascii="Calibri" w:eastAsia="Calibri" w:hAnsi="Calibri" w:cs="Calibri"/>
                <w:color w:val="0000FF"/>
                <w:w w:val="88"/>
                <w:sz w:val="12"/>
                <w:szCs w:val="12"/>
              </w:rPr>
              <w:t>Item 10.</w:t>
            </w:r>
          </w:p>
        </w:tc>
        <w:tc>
          <w:tcPr>
            <w:tcW w:w="540" w:type="dxa"/>
            <w:gridSpan w:val="2"/>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DIRECTORS, EXECUTIVE OFFICERS AND CORPORATE GOVERNANCE</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107</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60" w:type="dxa"/>
            <w:tcBorders>
              <w:left w:val="single" w:sz="8" w:space="0" w:color="0000FF"/>
            </w:tcBorders>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46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2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580" w:type="dxa"/>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600" w:type="dxa"/>
            <w:shd w:val="clear" w:color="auto" w:fill="0000FF"/>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500" w:type="dxa"/>
            <w:vAlign w:val="bottom"/>
          </w:tcPr>
          <w:p>
            <w:pPr>
              <w:spacing w:after="0" w:line="20" w:lineRule="exact"/>
              <w:rPr>
                <w:color w:val="auto"/>
                <w:sz w:val="1"/>
                <w:szCs w:val="1"/>
              </w:rPr>
            </w:pPr>
          </w:p>
        </w:tc>
        <w:tc>
          <w:tcPr>
            <w:tcW w:w="380" w:type="dxa"/>
            <w:vAlign w:val="bottom"/>
          </w:tcPr>
          <w:p>
            <w:pPr>
              <w:spacing w:after="0" w:line="20" w:lineRule="exact"/>
              <w:rPr>
                <w:color w:val="auto"/>
                <w:sz w:val="1"/>
                <w:szCs w:val="1"/>
              </w:rPr>
            </w:pPr>
          </w:p>
        </w:tc>
        <w:tc>
          <w:tcPr>
            <w:tcW w:w="7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00" w:type="dxa"/>
            <w:vAlign w:val="bottom"/>
          </w:tcPr>
          <w:p>
            <w:pPr>
              <w:spacing w:after="0" w:line="20" w:lineRule="exact"/>
              <w:rPr>
                <w:color w:val="auto"/>
                <w:sz w:val="1"/>
                <w:szCs w:val="1"/>
              </w:rPr>
            </w:pPr>
          </w:p>
        </w:tc>
        <w:tc>
          <w:tcPr>
            <w:tcW w:w="62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00" w:type="dxa"/>
            <w:gridSpan w:val="2"/>
            <w:vAlign w:val="bottom"/>
          </w:tcPr>
          <w:p>
            <w:pPr>
              <w:spacing w:after="0" w:line="133" w:lineRule="exact"/>
              <w:rPr>
                <w:color w:val="auto"/>
                <w:sz w:val="20"/>
                <w:szCs w:val="20"/>
              </w:rPr>
            </w:pPr>
            <w:r>
              <w:rPr>
                <w:rFonts w:ascii="Calibri" w:eastAsia="Calibri" w:hAnsi="Calibri" w:cs="Calibri"/>
                <w:color w:val="0000FF"/>
                <w:w w:val="88"/>
                <w:sz w:val="12"/>
                <w:szCs w:val="12"/>
              </w:rPr>
              <w:t>Item 11.</w:t>
            </w:r>
          </w:p>
        </w:tc>
        <w:tc>
          <w:tcPr>
            <w:tcW w:w="540" w:type="dxa"/>
            <w:gridSpan w:val="2"/>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EXECUTIVE COMPENSATION</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107</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400" w:type="dxa"/>
            <w:gridSpan w:val="2"/>
            <w:tcBorders>
              <w:right w:val="single" w:sz="8" w:space="0" w:color="0000FF"/>
            </w:tcBorders>
            <w:shd w:val="clear" w:color="auto" w:fill="0000FF"/>
            <w:vAlign w:val="bottom"/>
          </w:tcPr>
          <w:p>
            <w:pPr>
              <w:spacing w:after="0" w:line="20" w:lineRule="exact"/>
              <w:rPr>
                <w:color w:val="auto"/>
                <w:sz w:val="1"/>
                <w:szCs w:val="1"/>
              </w:rPr>
            </w:pPr>
          </w:p>
        </w:tc>
        <w:tc>
          <w:tcPr>
            <w:tcW w:w="540" w:type="dxa"/>
            <w:gridSpan w:val="2"/>
            <w:tcBorders>
              <w:left w:val="single" w:sz="8" w:space="0" w:color="0000FF"/>
            </w:tcBorders>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420" w:type="dxa"/>
            <w:gridSpan w:val="4"/>
            <w:shd w:val="clear" w:color="auto" w:fill="0000FF"/>
            <w:vAlign w:val="bottom"/>
          </w:tcPr>
          <w:p>
            <w:pPr>
              <w:spacing w:after="0" w:line="20" w:lineRule="exact"/>
              <w:rPr>
                <w:color w:val="auto"/>
                <w:sz w:val="1"/>
                <w:szCs w:val="1"/>
              </w:rPr>
            </w:pPr>
          </w:p>
        </w:tc>
        <w:tc>
          <w:tcPr>
            <w:tcW w:w="240" w:type="dxa"/>
            <w:gridSpan w:val="2"/>
            <w:shd w:val="clear" w:color="auto" w:fill="0000FF"/>
            <w:vAlign w:val="bottom"/>
          </w:tcPr>
          <w:p>
            <w:pPr>
              <w:spacing w:after="0" w:line="20" w:lineRule="exact"/>
              <w:rPr>
                <w:color w:val="auto"/>
                <w:sz w:val="1"/>
                <w:szCs w:val="1"/>
              </w:rPr>
            </w:pPr>
          </w:p>
        </w:tc>
        <w:tc>
          <w:tcPr>
            <w:tcW w:w="800" w:type="dxa"/>
            <w:gridSpan w:val="3"/>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2000" w:type="dxa"/>
            <w:gridSpan w:val="6"/>
            <w:vAlign w:val="bottom"/>
          </w:tcPr>
          <w:p>
            <w:pPr>
              <w:spacing w:after="0" w:line="20" w:lineRule="exact"/>
              <w:rPr>
                <w:color w:val="auto"/>
                <w:sz w:val="1"/>
                <w:szCs w:val="1"/>
              </w:rPr>
            </w:pPr>
          </w:p>
        </w:tc>
        <w:tc>
          <w:tcPr>
            <w:tcW w:w="1400" w:type="dxa"/>
            <w:gridSpan w:val="3"/>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00" w:type="dxa"/>
            <w:gridSpan w:val="2"/>
            <w:vAlign w:val="bottom"/>
          </w:tcPr>
          <w:p>
            <w:pPr>
              <w:spacing w:after="0" w:line="133" w:lineRule="exact"/>
              <w:rPr>
                <w:color w:val="auto"/>
                <w:sz w:val="20"/>
                <w:szCs w:val="20"/>
              </w:rPr>
            </w:pPr>
            <w:r>
              <w:rPr>
                <w:rFonts w:ascii="Calibri" w:eastAsia="Calibri" w:hAnsi="Calibri" w:cs="Calibri"/>
                <w:color w:val="0000FF"/>
                <w:w w:val="88"/>
                <w:sz w:val="12"/>
                <w:szCs w:val="12"/>
              </w:rPr>
              <w:t>Item 12.</w:t>
            </w:r>
          </w:p>
        </w:tc>
        <w:tc>
          <w:tcPr>
            <w:tcW w:w="540" w:type="dxa"/>
            <w:gridSpan w:val="2"/>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SECURITY OWNERSHIP OF CERTAIN BENEFICIAL OWNERS AND MANAGEMENT AND RELATED STOCKHOLDER MATTERS</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108</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400" w:type="dxa"/>
            <w:gridSpan w:val="2"/>
            <w:tcBorders>
              <w:right w:val="single" w:sz="8" w:space="0" w:color="0000FF"/>
            </w:tcBorders>
            <w:shd w:val="clear" w:color="auto" w:fill="0000FF"/>
            <w:vAlign w:val="bottom"/>
          </w:tcPr>
          <w:p>
            <w:pPr>
              <w:spacing w:after="0" w:line="20" w:lineRule="exact"/>
              <w:rPr>
                <w:color w:val="auto"/>
                <w:sz w:val="1"/>
                <w:szCs w:val="1"/>
              </w:rPr>
            </w:pPr>
          </w:p>
        </w:tc>
        <w:tc>
          <w:tcPr>
            <w:tcW w:w="540" w:type="dxa"/>
            <w:gridSpan w:val="2"/>
            <w:tcBorders>
              <w:left w:val="single" w:sz="8" w:space="0" w:color="0000FF"/>
            </w:tcBorders>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420" w:type="dxa"/>
            <w:gridSpan w:val="4"/>
            <w:shd w:val="clear" w:color="auto" w:fill="0000FF"/>
            <w:vAlign w:val="bottom"/>
          </w:tcPr>
          <w:p>
            <w:pPr>
              <w:spacing w:after="0" w:line="20" w:lineRule="exact"/>
              <w:rPr>
                <w:color w:val="auto"/>
                <w:sz w:val="1"/>
                <w:szCs w:val="1"/>
              </w:rPr>
            </w:pPr>
          </w:p>
        </w:tc>
        <w:tc>
          <w:tcPr>
            <w:tcW w:w="1040" w:type="dxa"/>
            <w:gridSpan w:val="5"/>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000" w:type="dxa"/>
            <w:gridSpan w:val="6"/>
            <w:shd w:val="clear" w:color="auto" w:fill="0000FF"/>
            <w:vAlign w:val="bottom"/>
          </w:tcPr>
          <w:p>
            <w:pPr>
              <w:spacing w:after="0" w:line="20" w:lineRule="exact"/>
              <w:rPr>
                <w:color w:val="auto"/>
                <w:sz w:val="1"/>
                <w:szCs w:val="1"/>
              </w:rPr>
            </w:pPr>
          </w:p>
        </w:tc>
        <w:tc>
          <w:tcPr>
            <w:tcW w:w="1400" w:type="dxa"/>
            <w:gridSpan w:val="3"/>
            <w:shd w:val="clear" w:color="auto" w:fill="0000FF"/>
            <w:vAlign w:val="bottom"/>
          </w:tcPr>
          <w:p>
            <w:pPr>
              <w:spacing w:after="0" w:line="20" w:lineRule="exact"/>
              <w:rPr>
                <w:color w:val="auto"/>
                <w:sz w:val="1"/>
                <w:szCs w:val="1"/>
              </w:rPr>
            </w:pPr>
          </w:p>
        </w:tc>
        <w:tc>
          <w:tcPr>
            <w:tcW w:w="1600" w:type="dxa"/>
            <w:gridSpan w:val="2"/>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00" w:type="dxa"/>
            <w:gridSpan w:val="2"/>
            <w:vAlign w:val="bottom"/>
          </w:tcPr>
          <w:p>
            <w:pPr>
              <w:spacing w:after="0" w:line="133" w:lineRule="exact"/>
              <w:rPr>
                <w:color w:val="auto"/>
                <w:sz w:val="20"/>
                <w:szCs w:val="20"/>
              </w:rPr>
            </w:pPr>
            <w:r>
              <w:rPr>
                <w:rFonts w:ascii="Calibri" w:eastAsia="Calibri" w:hAnsi="Calibri" w:cs="Calibri"/>
                <w:color w:val="0000FF"/>
                <w:w w:val="88"/>
                <w:sz w:val="12"/>
                <w:szCs w:val="12"/>
              </w:rPr>
              <w:t>Item 13.</w:t>
            </w:r>
          </w:p>
        </w:tc>
        <w:tc>
          <w:tcPr>
            <w:tcW w:w="540" w:type="dxa"/>
            <w:gridSpan w:val="2"/>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CERTAIN RELATIONSHIPS AND RELATED TRANSACTIONS, AND DIRECTOR INDEPENDENCE</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108</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400" w:type="dxa"/>
            <w:gridSpan w:val="2"/>
            <w:tcBorders>
              <w:right w:val="single" w:sz="8" w:space="0" w:color="0000FF"/>
            </w:tcBorders>
            <w:shd w:val="clear" w:color="auto" w:fill="0000FF"/>
            <w:vAlign w:val="bottom"/>
          </w:tcPr>
          <w:p>
            <w:pPr>
              <w:spacing w:after="0" w:line="20" w:lineRule="exact"/>
              <w:rPr>
                <w:color w:val="auto"/>
                <w:sz w:val="1"/>
                <w:szCs w:val="1"/>
              </w:rPr>
            </w:pPr>
          </w:p>
        </w:tc>
        <w:tc>
          <w:tcPr>
            <w:tcW w:w="540" w:type="dxa"/>
            <w:gridSpan w:val="2"/>
            <w:tcBorders>
              <w:left w:val="single" w:sz="8" w:space="0" w:color="0000FF"/>
            </w:tcBorders>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420" w:type="dxa"/>
            <w:gridSpan w:val="4"/>
            <w:shd w:val="clear" w:color="auto" w:fill="0000FF"/>
            <w:vAlign w:val="bottom"/>
          </w:tcPr>
          <w:p>
            <w:pPr>
              <w:spacing w:after="0" w:line="20" w:lineRule="exact"/>
              <w:rPr>
                <w:color w:val="auto"/>
                <w:sz w:val="1"/>
                <w:szCs w:val="1"/>
              </w:rPr>
            </w:pPr>
          </w:p>
        </w:tc>
        <w:tc>
          <w:tcPr>
            <w:tcW w:w="1040" w:type="dxa"/>
            <w:gridSpan w:val="5"/>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2000" w:type="dxa"/>
            <w:gridSpan w:val="6"/>
            <w:shd w:val="clear" w:color="auto" w:fill="0000FF"/>
            <w:vAlign w:val="bottom"/>
          </w:tcPr>
          <w:p>
            <w:pPr>
              <w:spacing w:after="0" w:line="20" w:lineRule="exact"/>
              <w:rPr>
                <w:color w:val="auto"/>
                <w:sz w:val="1"/>
                <w:szCs w:val="1"/>
              </w:rPr>
            </w:pPr>
          </w:p>
        </w:tc>
        <w:tc>
          <w:tcPr>
            <w:tcW w:w="3000" w:type="dxa"/>
            <w:gridSpan w:val="5"/>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00" w:type="dxa"/>
            <w:gridSpan w:val="2"/>
            <w:vAlign w:val="bottom"/>
          </w:tcPr>
          <w:p>
            <w:pPr>
              <w:spacing w:after="0" w:line="133" w:lineRule="exact"/>
              <w:rPr>
                <w:color w:val="auto"/>
                <w:sz w:val="20"/>
                <w:szCs w:val="20"/>
              </w:rPr>
            </w:pPr>
            <w:r>
              <w:rPr>
                <w:rFonts w:ascii="Calibri" w:eastAsia="Calibri" w:hAnsi="Calibri" w:cs="Calibri"/>
                <w:color w:val="0000FF"/>
                <w:w w:val="88"/>
                <w:sz w:val="12"/>
                <w:szCs w:val="12"/>
              </w:rPr>
              <w:t>Item 14.</w:t>
            </w:r>
          </w:p>
        </w:tc>
        <w:tc>
          <w:tcPr>
            <w:tcW w:w="540" w:type="dxa"/>
            <w:gridSpan w:val="2"/>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PRINCIPAL ACCOUNTING FEES AND SERVICES</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108</w:t>
            </w:r>
          </w:p>
        </w:tc>
      </w:tr>
      <w:tr>
        <w:tblPrEx>
          <w:tblInd w:w="0" w:type="dxa"/>
          <w:tblLayout w:type="fixed"/>
        </w:tblPrEx>
        <w:trPr>
          <w:trHeight w:val="304"/>
        </w:trPr>
        <w:tc>
          <w:tcPr>
            <w:tcW w:w="480" w:type="dxa"/>
            <w:vAlign w:val="bottom"/>
          </w:tcPr>
          <w:p>
            <w:pPr>
              <w:spacing w:after="0"/>
              <w:rPr>
                <w:color w:val="auto"/>
                <w:sz w:val="24"/>
                <w:szCs w:val="24"/>
              </w:rPr>
            </w:pPr>
          </w:p>
        </w:tc>
        <w:tc>
          <w:tcPr>
            <w:tcW w:w="400" w:type="dxa"/>
            <w:gridSpan w:val="2"/>
            <w:tcBorders>
              <w:top w:val="single" w:sz="8" w:space="0" w:color="0000FF"/>
              <w:bottom w:val="single" w:sz="8" w:space="0" w:color="0000FF"/>
            </w:tcBorders>
            <w:vAlign w:val="bottom"/>
          </w:tcPr>
          <w:p>
            <w:pPr>
              <w:spacing w:after="0"/>
              <w:rPr>
                <w:color w:val="auto"/>
                <w:sz w:val="20"/>
                <w:szCs w:val="20"/>
              </w:rPr>
            </w:pPr>
            <w:r>
              <w:rPr>
                <w:rFonts w:ascii="Calibri" w:eastAsia="Calibri" w:hAnsi="Calibri" w:cs="Calibri"/>
                <w:b/>
                <w:bCs/>
                <w:color w:val="0000FF"/>
                <w:w w:val="91"/>
                <w:sz w:val="12"/>
                <w:szCs w:val="12"/>
              </w:rPr>
              <w:t>PART IV</w:t>
            </w:r>
          </w:p>
        </w:tc>
        <w:tc>
          <w:tcPr>
            <w:tcW w:w="540" w:type="dxa"/>
            <w:gridSpan w:val="2"/>
            <w:vAlign w:val="bottom"/>
          </w:tcPr>
          <w:p>
            <w:pPr>
              <w:spacing w:after="0"/>
              <w:rPr>
                <w:color w:val="auto"/>
                <w:sz w:val="24"/>
                <w:szCs w:val="24"/>
              </w:rPr>
            </w:pPr>
          </w:p>
        </w:tc>
        <w:tc>
          <w:tcPr>
            <w:tcW w:w="560" w:type="dxa"/>
            <w:vAlign w:val="bottom"/>
          </w:tcPr>
          <w:p>
            <w:pPr>
              <w:spacing w:after="0"/>
              <w:rPr>
                <w:color w:val="auto"/>
                <w:sz w:val="24"/>
                <w:szCs w:val="24"/>
              </w:rPr>
            </w:pPr>
          </w:p>
        </w:tc>
        <w:tc>
          <w:tcPr>
            <w:tcW w:w="46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240" w:type="dxa"/>
            <w:tcBorders>
              <w:top w:val="single" w:sz="8" w:space="0" w:color="0000FF"/>
            </w:tcBorders>
            <w:vAlign w:val="bottom"/>
          </w:tcPr>
          <w:p>
            <w:pPr>
              <w:spacing w:after="0"/>
              <w:rPr>
                <w:color w:val="auto"/>
                <w:sz w:val="24"/>
                <w:szCs w:val="24"/>
              </w:rPr>
            </w:pPr>
          </w:p>
        </w:tc>
        <w:tc>
          <w:tcPr>
            <w:tcW w:w="40" w:type="dxa"/>
            <w:tcBorders>
              <w:top w:val="single" w:sz="8" w:space="0" w:color="0000FF"/>
            </w:tcBorders>
            <w:vAlign w:val="bottom"/>
          </w:tcPr>
          <w:p>
            <w:pPr>
              <w:spacing w:after="0"/>
              <w:rPr>
                <w:color w:val="auto"/>
                <w:sz w:val="24"/>
                <w:szCs w:val="24"/>
              </w:rPr>
            </w:pPr>
          </w:p>
        </w:tc>
        <w:tc>
          <w:tcPr>
            <w:tcW w:w="40" w:type="dxa"/>
            <w:tcBorders>
              <w:top w:val="single" w:sz="8" w:space="0" w:color="0000FF"/>
            </w:tcBorders>
            <w:vAlign w:val="bottom"/>
          </w:tcPr>
          <w:p>
            <w:pPr>
              <w:spacing w:after="0"/>
              <w:rPr>
                <w:color w:val="auto"/>
                <w:sz w:val="24"/>
                <w:szCs w:val="24"/>
              </w:rPr>
            </w:pPr>
          </w:p>
        </w:tc>
        <w:tc>
          <w:tcPr>
            <w:tcW w:w="220" w:type="dxa"/>
            <w:tcBorders>
              <w:top w:val="single" w:sz="8" w:space="0" w:color="0000FF"/>
            </w:tcBorders>
            <w:vAlign w:val="bottom"/>
          </w:tcPr>
          <w:p>
            <w:pPr>
              <w:spacing w:after="0"/>
              <w:rPr>
                <w:color w:val="auto"/>
                <w:sz w:val="24"/>
                <w:szCs w:val="24"/>
              </w:rPr>
            </w:pPr>
          </w:p>
        </w:tc>
        <w:tc>
          <w:tcPr>
            <w:tcW w:w="20" w:type="dxa"/>
            <w:tcBorders>
              <w:top w:val="single" w:sz="8" w:space="0" w:color="0000FF"/>
            </w:tcBorders>
            <w:vAlign w:val="bottom"/>
          </w:tcPr>
          <w:p>
            <w:pPr>
              <w:spacing w:after="0"/>
              <w:rPr>
                <w:color w:val="auto"/>
                <w:sz w:val="24"/>
                <w:szCs w:val="24"/>
              </w:rPr>
            </w:pPr>
          </w:p>
        </w:tc>
        <w:tc>
          <w:tcPr>
            <w:tcW w:w="100" w:type="dxa"/>
            <w:tcBorders>
              <w:top w:val="single" w:sz="8" w:space="0" w:color="0000FF"/>
            </w:tcBorders>
            <w:vAlign w:val="bottom"/>
          </w:tcPr>
          <w:p>
            <w:pPr>
              <w:spacing w:after="0"/>
              <w:rPr>
                <w:color w:val="auto"/>
                <w:sz w:val="24"/>
                <w:szCs w:val="24"/>
              </w:rPr>
            </w:pPr>
          </w:p>
        </w:tc>
        <w:tc>
          <w:tcPr>
            <w:tcW w:w="120" w:type="dxa"/>
            <w:tcBorders>
              <w:top w:val="single" w:sz="8" w:space="0" w:color="0000FF"/>
            </w:tcBorders>
            <w:vAlign w:val="bottom"/>
          </w:tcPr>
          <w:p>
            <w:pPr>
              <w:spacing w:after="0"/>
              <w:rPr>
                <w:color w:val="auto"/>
                <w:sz w:val="24"/>
                <w:szCs w:val="24"/>
              </w:rPr>
            </w:pPr>
          </w:p>
        </w:tc>
        <w:tc>
          <w:tcPr>
            <w:tcW w:w="580" w:type="dxa"/>
            <w:tcBorders>
              <w:top w:val="single" w:sz="8" w:space="0" w:color="0000FF"/>
            </w:tcBorders>
            <w:vAlign w:val="bottom"/>
          </w:tcPr>
          <w:p>
            <w:pPr>
              <w:spacing w:after="0"/>
              <w:rPr>
                <w:color w:val="auto"/>
                <w:sz w:val="24"/>
                <w:szCs w:val="24"/>
              </w:rPr>
            </w:pPr>
          </w:p>
        </w:tc>
        <w:tc>
          <w:tcPr>
            <w:tcW w:w="40" w:type="dxa"/>
            <w:vAlign w:val="bottom"/>
          </w:tcPr>
          <w:p>
            <w:pPr>
              <w:spacing w:after="0"/>
              <w:rPr>
                <w:color w:val="auto"/>
                <w:sz w:val="24"/>
                <w:szCs w:val="24"/>
              </w:rPr>
            </w:pPr>
          </w:p>
        </w:tc>
        <w:tc>
          <w:tcPr>
            <w:tcW w:w="160" w:type="dxa"/>
            <w:vAlign w:val="bottom"/>
          </w:tcPr>
          <w:p>
            <w:pPr>
              <w:spacing w:after="0"/>
              <w:rPr>
                <w:color w:val="auto"/>
                <w:sz w:val="24"/>
                <w:szCs w:val="24"/>
              </w:rPr>
            </w:pPr>
          </w:p>
        </w:tc>
        <w:tc>
          <w:tcPr>
            <w:tcW w:w="200" w:type="dxa"/>
            <w:vAlign w:val="bottom"/>
          </w:tcPr>
          <w:p>
            <w:pPr>
              <w:spacing w:after="0"/>
              <w:rPr>
                <w:color w:val="auto"/>
                <w:sz w:val="24"/>
                <w:szCs w:val="24"/>
              </w:rPr>
            </w:pPr>
          </w:p>
        </w:tc>
        <w:tc>
          <w:tcPr>
            <w:tcW w:w="600" w:type="dxa"/>
            <w:vAlign w:val="bottom"/>
          </w:tcPr>
          <w:p>
            <w:pPr>
              <w:spacing w:after="0"/>
              <w:rPr>
                <w:color w:val="auto"/>
                <w:sz w:val="24"/>
                <w:szCs w:val="24"/>
              </w:rPr>
            </w:pPr>
          </w:p>
        </w:tc>
        <w:tc>
          <w:tcPr>
            <w:tcW w:w="160" w:type="dxa"/>
            <w:vAlign w:val="bottom"/>
          </w:tcPr>
          <w:p>
            <w:pPr>
              <w:spacing w:after="0"/>
              <w:rPr>
                <w:color w:val="auto"/>
                <w:sz w:val="24"/>
                <w:szCs w:val="24"/>
              </w:rPr>
            </w:pPr>
          </w:p>
        </w:tc>
        <w:tc>
          <w:tcPr>
            <w:tcW w:w="500" w:type="dxa"/>
            <w:vAlign w:val="bottom"/>
          </w:tcPr>
          <w:p>
            <w:pPr>
              <w:spacing w:after="0"/>
              <w:rPr>
                <w:color w:val="auto"/>
                <w:sz w:val="24"/>
                <w:szCs w:val="24"/>
              </w:rPr>
            </w:pPr>
          </w:p>
        </w:tc>
        <w:tc>
          <w:tcPr>
            <w:tcW w:w="380" w:type="dxa"/>
            <w:vAlign w:val="bottom"/>
          </w:tcPr>
          <w:p>
            <w:pPr>
              <w:spacing w:after="0"/>
              <w:rPr>
                <w:color w:val="auto"/>
                <w:sz w:val="24"/>
                <w:szCs w:val="24"/>
              </w:rPr>
            </w:pPr>
          </w:p>
        </w:tc>
        <w:tc>
          <w:tcPr>
            <w:tcW w:w="720" w:type="dxa"/>
            <w:vAlign w:val="bottom"/>
          </w:tcPr>
          <w:p>
            <w:pPr>
              <w:spacing w:after="0"/>
              <w:rPr>
                <w:color w:val="auto"/>
                <w:sz w:val="24"/>
                <w:szCs w:val="24"/>
              </w:rPr>
            </w:pPr>
          </w:p>
        </w:tc>
        <w:tc>
          <w:tcPr>
            <w:tcW w:w="80" w:type="dxa"/>
            <w:vAlign w:val="bottom"/>
          </w:tcPr>
          <w:p>
            <w:pPr>
              <w:spacing w:after="0"/>
              <w:rPr>
                <w:color w:val="auto"/>
                <w:sz w:val="24"/>
                <w:szCs w:val="24"/>
              </w:rPr>
            </w:pPr>
          </w:p>
        </w:tc>
        <w:tc>
          <w:tcPr>
            <w:tcW w:w="600" w:type="dxa"/>
            <w:vAlign w:val="bottom"/>
          </w:tcPr>
          <w:p>
            <w:pPr>
              <w:spacing w:after="0"/>
              <w:rPr>
                <w:color w:val="auto"/>
                <w:sz w:val="24"/>
                <w:szCs w:val="24"/>
              </w:rPr>
            </w:pPr>
          </w:p>
        </w:tc>
        <w:tc>
          <w:tcPr>
            <w:tcW w:w="620" w:type="dxa"/>
            <w:vAlign w:val="bottom"/>
          </w:tcPr>
          <w:p>
            <w:pPr>
              <w:spacing w:after="0"/>
              <w:rPr>
                <w:color w:val="auto"/>
                <w:sz w:val="24"/>
                <w:szCs w:val="24"/>
              </w:rPr>
            </w:pPr>
          </w:p>
        </w:tc>
        <w:tc>
          <w:tcPr>
            <w:tcW w:w="980" w:type="dxa"/>
            <w:vAlign w:val="bottom"/>
          </w:tcPr>
          <w:p>
            <w:pPr>
              <w:spacing w:after="0"/>
              <w:rPr>
                <w:color w:val="auto"/>
                <w:sz w:val="24"/>
                <w:szCs w:val="24"/>
              </w:rPr>
            </w:pPr>
          </w:p>
        </w:tc>
        <w:tc>
          <w:tcPr>
            <w:tcW w:w="980" w:type="dxa"/>
            <w:vAlign w:val="bottom"/>
          </w:tcPr>
          <w:p>
            <w:pPr>
              <w:spacing w:after="0"/>
              <w:rPr>
                <w:color w:val="auto"/>
                <w:sz w:val="24"/>
                <w:szCs w:val="24"/>
              </w:rPr>
            </w:pPr>
          </w:p>
        </w:tc>
        <w:tc>
          <w:tcPr>
            <w:tcW w:w="120" w:type="dxa"/>
            <w:tcBorders>
              <w:top w:val="single" w:sz="8" w:space="0" w:color="0000FF"/>
            </w:tcBorders>
            <w:vAlign w:val="bottom"/>
          </w:tcPr>
          <w:p>
            <w:pPr>
              <w:spacing w:after="0"/>
              <w:rPr>
                <w:color w:val="auto"/>
                <w:sz w:val="24"/>
                <w:szCs w:val="24"/>
              </w:rPr>
            </w:pPr>
          </w:p>
        </w:tc>
        <w:tc>
          <w:tcPr>
            <w:tcW w:w="1060" w:type="dxa"/>
            <w:vAlign w:val="bottom"/>
          </w:tcPr>
          <w:p>
            <w:pPr>
              <w:spacing w:after="0"/>
              <w:rPr>
                <w:color w:val="auto"/>
                <w:sz w:val="24"/>
                <w:szCs w:val="24"/>
              </w:rPr>
            </w:pPr>
          </w:p>
        </w:tc>
      </w:tr>
      <w:tr>
        <w:tblPrEx>
          <w:tblInd w:w="0" w:type="dxa"/>
          <w:tblLayout w:type="fixed"/>
        </w:tblPrEx>
        <w:trPr>
          <w:trHeight w:val="133"/>
        </w:trPr>
        <w:tc>
          <w:tcPr>
            <w:tcW w:w="480" w:type="dxa"/>
            <w:vAlign w:val="bottom"/>
          </w:tcPr>
          <w:p>
            <w:pPr>
              <w:spacing w:after="0"/>
              <w:rPr>
                <w:color w:val="auto"/>
                <w:sz w:val="11"/>
                <w:szCs w:val="11"/>
              </w:rPr>
            </w:pPr>
          </w:p>
        </w:tc>
        <w:tc>
          <w:tcPr>
            <w:tcW w:w="400" w:type="dxa"/>
            <w:gridSpan w:val="2"/>
            <w:vAlign w:val="bottom"/>
          </w:tcPr>
          <w:p>
            <w:pPr>
              <w:spacing w:after="0" w:line="133" w:lineRule="exact"/>
              <w:rPr>
                <w:color w:val="auto"/>
                <w:sz w:val="20"/>
                <w:szCs w:val="20"/>
              </w:rPr>
            </w:pPr>
            <w:r>
              <w:rPr>
                <w:rFonts w:ascii="Calibri" w:eastAsia="Calibri" w:hAnsi="Calibri" w:cs="Calibri"/>
                <w:color w:val="0000FF"/>
                <w:w w:val="88"/>
                <w:sz w:val="12"/>
                <w:szCs w:val="12"/>
              </w:rPr>
              <w:t>Item 15.</w:t>
            </w:r>
          </w:p>
        </w:tc>
        <w:tc>
          <w:tcPr>
            <w:tcW w:w="540" w:type="dxa"/>
            <w:gridSpan w:val="2"/>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EXHIBITS, FINANCIAL STATEMENT SCHEDULES</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109</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400" w:type="dxa"/>
            <w:gridSpan w:val="2"/>
            <w:tcBorders>
              <w:right w:val="single" w:sz="8" w:space="0" w:color="0000FF"/>
            </w:tcBorders>
            <w:shd w:val="clear" w:color="auto" w:fill="0000FF"/>
            <w:vAlign w:val="bottom"/>
          </w:tcPr>
          <w:p>
            <w:pPr>
              <w:spacing w:after="0" w:line="20" w:lineRule="exact"/>
              <w:rPr>
                <w:color w:val="auto"/>
                <w:sz w:val="1"/>
                <w:szCs w:val="1"/>
              </w:rPr>
            </w:pPr>
          </w:p>
        </w:tc>
        <w:tc>
          <w:tcPr>
            <w:tcW w:w="540" w:type="dxa"/>
            <w:gridSpan w:val="2"/>
            <w:tcBorders>
              <w:left w:val="single" w:sz="8" w:space="0" w:color="0000FF"/>
            </w:tcBorders>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420" w:type="dxa"/>
            <w:gridSpan w:val="4"/>
            <w:shd w:val="clear" w:color="auto" w:fill="0000FF"/>
            <w:vAlign w:val="bottom"/>
          </w:tcPr>
          <w:p>
            <w:pPr>
              <w:spacing w:after="0" w:line="20" w:lineRule="exact"/>
              <w:rPr>
                <w:color w:val="auto"/>
                <w:sz w:val="1"/>
                <w:szCs w:val="1"/>
              </w:rPr>
            </w:pPr>
          </w:p>
        </w:tc>
        <w:tc>
          <w:tcPr>
            <w:tcW w:w="1080" w:type="dxa"/>
            <w:gridSpan w:val="6"/>
            <w:shd w:val="clear" w:color="auto" w:fill="0000FF"/>
            <w:vAlign w:val="bottom"/>
          </w:tcPr>
          <w:p>
            <w:pPr>
              <w:spacing w:after="0" w:line="20" w:lineRule="exact"/>
              <w:rPr>
                <w:color w:val="auto"/>
                <w:sz w:val="1"/>
                <w:szCs w:val="1"/>
              </w:rPr>
            </w:pPr>
          </w:p>
        </w:tc>
        <w:tc>
          <w:tcPr>
            <w:tcW w:w="5000" w:type="dxa"/>
            <w:gridSpan w:val="11"/>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400" w:type="dxa"/>
            <w:gridSpan w:val="2"/>
            <w:vAlign w:val="bottom"/>
          </w:tcPr>
          <w:p>
            <w:pPr>
              <w:spacing w:after="0" w:line="133" w:lineRule="exact"/>
              <w:rPr>
                <w:color w:val="auto"/>
                <w:sz w:val="20"/>
                <w:szCs w:val="20"/>
              </w:rPr>
            </w:pPr>
            <w:r>
              <w:rPr>
                <w:rFonts w:ascii="Calibri" w:eastAsia="Calibri" w:hAnsi="Calibri" w:cs="Calibri"/>
                <w:color w:val="0000FF"/>
                <w:w w:val="88"/>
                <w:sz w:val="12"/>
                <w:szCs w:val="12"/>
              </w:rPr>
              <w:t>Item 16.</w:t>
            </w:r>
          </w:p>
        </w:tc>
        <w:tc>
          <w:tcPr>
            <w:tcW w:w="540" w:type="dxa"/>
            <w:gridSpan w:val="2"/>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FORM 10-K SUMMARY</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113</w:t>
            </w:r>
          </w:p>
        </w:tc>
      </w:tr>
      <w:tr>
        <w:tblPrEx>
          <w:tblInd w:w="0" w:type="dxa"/>
          <w:tblLayout w:type="fixed"/>
        </w:tblPrEx>
        <w:trPr>
          <w:trHeight w:val="20"/>
        </w:trPr>
        <w:tc>
          <w:tcPr>
            <w:tcW w:w="480" w:type="dxa"/>
            <w:vAlign w:val="bottom"/>
          </w:tcPr>
          <w:p>
            <w:pPr>
              <w:spacing w:after="0" w:line="20" w:lineRule="exact"/>
              <w:rPr>
                <w:color w:val="auto"/>
                <w:sz w:val="1"/>
                <w:szCs w:val="1"/>
              </w:rPr>
            </w:pPr>
          </w:p>
        </w:tc>
        <w:tc>
          <w:tcPr>
            <w:tcW w:w="300" w:type="dxa"/>
            <w:shd w:val="clear" w:color="auto" w:fill="0000FF"/>
            <w:vAlign w:val="bottom"/>
          </w:tcPr>
          <w:p>
            <w:pPr>
              <w:spacing w:after="0" w:line="20" w:lineRule="exact"/>
              <w:rPr>
                <w:color w:val="auto"/>
                <w:sz w:val="1"/>
                <w:szCs w:val="1"/>
              </w:rPr>
            </w:pPr>
          </w:p>
        </w:tc>
        <w:tc>
          <w:tcPr>
            <w:tcW w:w="100" w:type="dxa"/>
            <w:tcBorders>
              <w:left w:val="single" w:sz="8" w:space="0" w:color="0000FF"/>
              <w:right w:val="single" w:sz="8" w:space="0" w:color="0000FF"/>
            </w:tcBorders>
            <w:shd w:val="clear" w:color="auto" w:fill="0000FF"/>
            <w:vAlign w:val="bottom"/>
          </w:tcPr>
          <w:p>
            <w:pPr>
              <w:spacing w:after="0" w:line="20" w:lineRule="exact"/>
              <w:rPr>
                <w:color w:val="auto"/>
                <w:sz w:val="1"/>
                <w:szCs w:val="1"/>
              </w:rPr>
            </w:pPr>
          </w:p>
        </w:tc>
        <w:tc>
          <w:tcPr>
            <w:tcW w:w="60" w:type="dxa"/>
            <w:vAlign w:val="bottom"/>
          </w:tcPr>
          <w:p>
            <w:pPr>
              <w:spacing w:after="0" w:line="20" w:lineRule="exact"/>
              <w:rPr>
                <w:color w:val="auto"/>
                <w:sz w:val="1"/>
                <w:szCs w:val="1"/>
              </w:rPr>
            </w:pPr>
          </w:p>
        </w:tc>
        <w:tc>
          <w:tcPr>
            <w:tcW w:w="480" w:type="dxa"/>
            <w:vAlign w:val="bottom"/>
          </w:tcPr>
          <w:p>
            <w:pPr>
              <w:spacing w:after="0" w:line="20" w:lineRule="exact"/>
              <w:rPr>
                <w:color w:val="auto"/>
                <w:sz w:val="1"/>
                <w:szCs w:val="1"/>
              </w:rPr>
            </w:pPr>
          </w:p>
        </w:tc>
        <w:tc>
          <w:tcPr>
            <w:tcW w:w="560" w:type="dxa"/>
            <w:vAlign w:val="bottom"/>
          </w:tcPr>
          <w:p>
            <w:pPr>
              <w:spacing w:after="0" w:line="20" w:lineRule="exact"/>
              <w:rPr>
                <w:color w:val="auto"/>
                <w:sz w:val="1"/>
                <w:szCs w:val="1"/>
              </w:rPr>
            </w:pPr>
          </w:p>
        </w:tc>
        <w:tc>
          <w:tcPr>
            <w:tcW w:w="660" w:type="dxa"/>
            <w:gridSpan w:val="3"/>
            <w:tcBorders>
              <w:right w:val="single" w:sz="8" w:space="0" w:color="0000FF"/>
            </w:tcBorders>
            <w:shd w:val="clear" w:color="auto" w:fill="0000FF"/>
            <w:vAlign w:val="bottom"/>
          </w:tcPr>
          <w:p>
            <w:pPr>
              <w:spacing w:after="0" w:line="20" w:lineRule="exact"/>
              <w:rPr>
                <w:color w:val="auto"/>
                <w:sz w:val="1"/>
                <w:szCs w:val="1"/>
              </w:rPr>
            </w:pPr>
          </w:p>
        </w:tc>
        <w:tc>
          <w:tcPr>
            <w:tcW w:w="420" w:type="dxa"/>
            <w:gridSpan w:val="4"/>
            <w:shd w:val="clear" w:color="auto" w:fill="0000FF"/>
            <w:vAlign w:val="bottom"/>
          </w:tcPr>
          <w:p>
            <w:pPr>
              <w:spacing w:after="0" w:line="20" w:lineRule="exact"/>
              <w:rPr>
                <w:color w:val="auto"/>
                <w:sz w:val="1"/>
                <w:szCs w:val="1"/>
              </w:rPr>
            </w:pPr>
          </w:p>
        </w:tc>
        <w:tc>
          <w:tcPr>
            <w:tcW w:w="6080" w:type="dxa"/>
            <w:gridSpan w:val="17"/>
            <w:vAlign w:val="bottom"/>
          </w:tcPr>
          <w:p>
            <w:pPr>
              <w:spacing w:after="0" w:line="20" w:lineRule="exact"/>
              <w:rPr>
                <w:color w:val="auto"/>
                <w:sz w:val="1"/>
                <w:szCs w:val="1"/>
              </w:rPr>
            </w:pPr>
          </w:p>
        </w:tc>
        <w:tc>
          <w:tcPr>
            <w:tcW w:w="980" w:type="dxa"/>
            <w:vAlign w:val="bottom"/>
          </w:tcPr>
          <w:p>
            <w:pPr>
              <w:spacing w:after="0" w:line="20" w:lineRule="exact"/>
              <w:rPr>
                <w:color w:val="auto"/>
                <w:sz w:val="1"/>
                <w:szCs w:val="1"/>
              </w:rPr>
            </w:pPr>
          </w:p>
        </w:tc>
        <w:tc>
          <w:tcPr>
            <w:tcW w:w="120" w:type="dxa"/>
            <w:shd w:val="clear" w:color="auto" w:fill="0000FF"/>
            <w:vAlign w:val="bottom"/>
          </w:tcPr>
          <w:p>
            <w:pPr>
              <w:spacing w:after="0" w:line="20" w:lineRule="exact"/>
              <w:rPr>
                <w:color w:val="auto"/>
                <w:sz w:val="1"/>
                <w:szCs w:val="1"/>
              </w:rPr>
            </w:pPr>
          </w:p>
        </w:tc>
        <w:tc>
          <w:tcPr>
            <w:tcW w:w="1060" w:type="dxa"/>
            <w:tcBorders>
              <w:left w:val="single" w:sz="8" w:space="0" w:color="0000FF"/>
            </w:tcBorders>
            <w:vAlign w:val="bottom"/>
          </w:tcPr>
          <w:p>
            <w:pPr>
              <w:spacing w:after="0" w:line="20" w:lineRule="exact"/>
              <w:rPr>
                <w:color w:val="auto"/>
                <w:sz w:val="1"/>
                <w:szCs w:val="1"/>
              </w:rPr>
            </w:pPr>
          </w:p>
        </w:tc>
      </w:tr>
      <w:tr>
        <w:tblPrEx>
          <w:tblInd w:w="0" w:type="dxa"/>
          <w:tblLayout w:type="fixed"/>
        </w:tblPrEx>
        <w:trPr>
          <w:trHeight w:val="133"/>
        </w:trPr>
        <w:tc>
          <w:tcPr>
            <w:tcW w:w="480" w:type="dxa"/>
            <w:vAlign w:val="bottom"/>
          </w:tcPr>
          <w:p>
            <w:pPr>
              <w:spacing w:after="0"/>
              <w:rPr>
                <w:color w:val="auto"/>
                <w:sz w:val="11"/>
                <w:szCs w:val="11"/>
              </w:rPr>
            </w:pPr>
          </w:p>
        </w:tc>
        <w:tc>
          <w:tcPr>
            <w:tcW w:w="30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60" w:type="dxa"/>
            <w:vAlign w:val="bottom"/>
          </w:tcPr>
          <w:p>
            <w:pPr>
              <w:spacing w:after="0"/>
              <w:rPr>
                <w:color w:val="auto"/>
                <w:sz w:val="11"/>
                <w:szCs w:val="11"/>
              </w:rPr>
            </w:pPr>
          </w:p>
        </w:tc>
        <w:tc>
          <w:tcPr>
            <w:tcW w:w="480" w:type="dxa"/>
            <w:vAlign w:val="bottom"/>
          </w:tcPr>
          <w:p>
            <w:pPr>
              <w:spacing w:after="0"/>
              <w:rPr>
                <w:color w:val="auto"/>
                <w:sz w:val="11"/>
                <w:szCs w:val="11"/>
              </w:rPr>
            </w:pPr>
          </w:p>
        </w:tc>
        <w:tc>
          <w:tcPr>
            <w:tcW w:w="7720" w:type="dxa"/>
            <w:gridSpan w:val="25"/>
            <w:vAlign w:val="bottom"/>
          </w:tcPr>
          <w:p>
            <w:pPr>
              <w:spacing w:after="0" w:line="133" w:lineRule="exact"/>
              <w:ind w:left="560"/>
              <w:rPr>
                <w:color w:val="auto"/>
                <w:sz w:val="20"/>
                <w:szCs w:val="20"/>
              </w:rPr>
            </w:pPr>
            <w:r>
              <w:rPr>
                <w:rFonts w:ascii="Calibri" w:eastAsia="Calibri" w:hAnsi="Calibri" w:cs="Calibri"/>
                <w:color w:val="0000FF"/>
                <w:sz w:val="12"/>
                <w:szCs w:val="12"/>
              </w:rPr>
              <w:t>SIGNATURES</w:t>
            </w:r>
          </w:p>
        </w:tc>
        <w:tc>
          <w:tcPr>
            <w:tcW w:w="2160" w:type="dxa"/>
            <w:gridSpan w:val="3"/>
            <w:vAlign w:val="bottom"/>
          </w:tcPr>
          <w:p>
            <w:pPr>
              <w:spacing w:after="0" w:line="133" w:lineRule="exact"/>
              <w:ind w:left="980"/>
              <w:rPr>
                <w:color w:val="auto"/>
                <w:sz w:val="20"/>
                <w:szCs w:val="20"/>
              </w:rPr>
            </w:pPr>
            <w:r>
              <w:rPr>
                <w:rFonts w:ascii="Calibri" w:eastAsia="Calibri" w:hAnsi="Calibri" w:cs="Calibri"/>
                <w:color w:val="0000FF"/>
                <w:sz w:val="12"/>
                <w:szCs w:val="12"/>
              </w:rPr>
              <w:t>114</w:t>
            </w:r>
          </w:p>
        </w:tc>
      </w:tr>
      <w:tr>
        <w:tblPrEx>
          <w:tblInd w:w="0" w:type="dxa"/>
          <w:tblLayout w:type="fixed"/>
        </w:tblPrEx>
        <w:trPr>
          <w:trHeight w:val="1132"/>
        </w:trPr>
        <w:tc>
          <w:tcPr>
            <w:tcW w:w="480" w:type="dxa"/>
            <w:tcBorders>
              <w:bottom w:val="single" w:sz="8" w:space="0" w:color="9A9A9A"/>
            </w:tcBorders>
            <w:vAlign w:val="bottom"/>
          </w:tcPr>
          <w:p>
            <w:pPr>
              <w:spacing w:after="0"/>
              <w:rPr>
                <w:color w:val="auto"/>
                <w:sz w:val="24"/>
                <w:szCs w:val="24"/>
              </w:rPr>
            </w:pPr>
          </w:p>
        </w:tc>
        <w:tc>
          <w:tcPr>
            <w:tcW w:w="300" w:type="dxa"/>
            <w:tcBorders>
              <w:bottom w:val="single" w:sz="8" w:space="0" w:color="9A9A9A"/>
            </w:tcBorders>
            <w:vAlign w:val="bottom"/>
          </w:tcPr>
          <w:p>
            <w:pPr>
              <w:spacing w:after="0"/>
              <w:rPr>
                <w:color w:val="auto"/>
                <w:sz w:val="24"/>
                <w:szCs w:val="24"/>
              </w:rPr>
            </w:pPr>
          </w:p>
        </w:tc>
        <w:tc>
          <w:tcPr>
            <w:tcW w:w="100" w:type="dxa"/>
            <w:tcBorders>
              <w:bottom w:val="single" w:sz="8" w:space="0" w:color="9A9A9A"/>
            </w:tcBorders>
            <w:vAlign w:val="bottom"/>
          </w:tcPr>
          <w:p>
            <w:pPr>
              <w:spacing w:after="0"/>
              <w:rPr>
                <w:color w:val="auto"/>
                <w:sz w:val="24"/>
                <w:szCs w:val="24"/>
              </w:rPr>
            </w:pPr>
          </w:p>
        </w:tc>
        <w:tc>
          <w:tcPr>
            <w:tcW w:w="60" w:type="dxa"/>
            <w:tcBorders>
              <w:bottom w:val="single" w:sz="8" w:space="0" w:color="9A9A9A"/>
            </w:tcBorders>
            <w:vAlign w:val="bottom"/>
          </w:tcPr>
          <w:p>
            <w:pPr>
              <w:spacing w:after="0"/>
              <w:rPr>
                <w:color w:val="auto"/>
                <w:sz w:val="24"/>
                <w:szCs w:val="24"/>
              </w:rPr>
            </w:pPr>
          </w:p>
        </w:tc>
        <w:tc>
          <w:tcPr>
            <w:tcW w:w="480" w:type="dxa"/>
            <w:tcBorders>
              <w:bottom w:val="single" w:sz="8" w:space="0" w:color="9A9A9A"/>
            </w:tcBorders>
            <w:vAlign w:val="bottom"/>
          </w:tcPr>
          <w:p>
            <w:pPr>
              <w:spacing w:after="0"/>
              <w:rPr>
                <w:color w:val="auto"/>
                <w:sz w:val="24"/>
                <w:szCs w:val="24"/>
              </w:rPr>
            </w:pPr>
          </w:p>
        </w:tc>
        <w:tc>
          <w:tcPr>
            <w:tcW w:w="560" w:type="dxa"/>
            <w:tcBorders>
              <w:bottom w:val="single" w:sz="8" w:space="0" w:color="9A9A9A"/>
            </w:tcBorders>
            <w:vAlign w:val="bottom"/>
          </w:tcPr>
          <w:p>
            <w:pPr>
              <w:spacing w:after="0"/>
              <w:rPr>
                <w:color w:val="auto"/>
                <w:sz w:val="24"/>
                <w:szCs w:val="24"/>
              </w:rPr>
            </w:pPr>
          </w:p>
        </w:tc>
        <w:tc>
          <w:tcPr>
            <w:tcW w:w="460" w:type="dxa"/>
            <w:tcBorders>
              <w:top w:val="single" w:sz="8" w:space="0" w:color="0000FF"/>
              <w:bottom w:val="single" w:sz="8" w:space="0" w:color="9A9A9A"/>
            </w:tcBorders>
            <w:vAlign w:val="bottom"/>
          </w:tcPr>
          <w:p>
            <w:pPr>
              <w:spacing w:after="0"/>
              <w:rPr>
                <w:color w:val="auto"/>
                <w:sz w:val="24"/>
                <w:szCs w:val="24"/>
              </w:rPr>
            </w:pPr>
          </w:p>
        </w:tc>
        <w:tc>
          <w:tcPr>
            <w:tcW w:w="100" w:type="dxa"/>
            <w:tcBorders>
              <w:top w:val="single" w:sz="8" w:space="0" w:color="0000FF"/>
              <w:bottom w:val="single" w:sz="8" w:space="0" w:color="9A9A9A"/>
            </w:tcBorders>
            <w:vAlign w:val="bottom"/>
          </w:tcPr>
          <w:p>
            <w:pPr>
              <w:spacing w:after="0"/>
              <w:rPr>
                <w:color w:val="auto"/>
                <w:sz w:val="24"/>
                <w:szCs w:val="24"/>
              </w:rPr>
            </w:pPr>
          </w:p>
        </w:tc>
        <w:tc>
          <w:tcPr>
            <w:tcW w:w="100" w:type="dxa"/>
            <w:tcBorders>
              <w:top w:val="single" w:sz="8" w:space="0" w:color="0000FF"/>
              <w:bottom w:val="single" w:sz="8" w:space="0" w:color="9A9A9A"/>
            </w:tcBorders>
            <w:vAlign w:val="bottom"/>
          </w:tcPr>
          <w:p>
            <w:pPr>
              <w:spacing w:after="0"/>
              <w:rPr>
                <w:color w:val="auto"/>
                <w:sz w:val="24"/>
                <w:szCs w:val="24"/>
              </w:rPr>
            </w:pPr>
          </w:p>
        </w:tc>
        <w:tc>
          <w:tcPr>
            <w:tcW w:w="100" w:type="dxa"/>
            <w:tcBorders>
              <w:bottom w:val="single" w:sz="8" w:space="0" w:color="9A9A9A"/>
            </w:tcBorders>
            <w:vAlign w:val="bottom"/>
          </w:tcPr>
          <w:p>
            <w:pPr>
              <w:spacing w:after="0"/>
              <w:rPr>
                <w:color w:val="auto"/>
                <w:sz w:val="24"/>
                <w:szCs w:val="24"/>
              </w:rPr>
            </w:pPr>
          </w:p>
        </w:tc>
        <w:tc>
          <w:tcPr>
            <w:tcW w:w="240" w:type="dxa"/>
            <w:tcBorders>
              <w:bottom w:val="single" w:sz="8" w:space="0" w:color="9A9A9A"/>
            </w:tcBorders>
            <w:vAlign w:val="bottom"/>
          </w:tcPr>
          <w:p>
            <w:pPr>
              <w:spacing w:after="0"/>
              <w:rPr>
                <w:color w:val="auto"/>
                <w:sz w:val="24"/>
                <w:szCs w:val="24"/>
              </w:rPr>
            </w:pPr>
          </w:p>
        </w:tc>
        <w:tc>
          <w:tcPr>
            <w:tcW w:w="40" w:type="dxa"/>
            <w:tcBorders>
              <w:bottom w:val="single" w:sz="8" w:space="0" w:color="9A9A9A"/>
            </w:tcBorders>
            <w:vAlign w:val="bottom"/>
          </w:tcPr>
          <w:p>
            <w:pPr>
              <w:spacing w:after="0"/>
              <w:rPr>
                <w:color w:val="auto"/>
                <w:sz w:val="24"/>
                <w:szCs w:val="24"/>
              </w:rPr>
            </w:pPr>
          </w:p>
        </w:tc>
        <w:tc>
          <w:tcPr>
            <w:tcW w:w="40" w:type="dxa"/>
            <w:tcBorders>
              <w:bottom w:val="single" w:sz="8" w:space="0" w:color="9A9A9A"/>
            </w:tcBorders>
            <w:vAlign w:val="bottom"/>
          </w:tcPr>
          <w:p>
            <w:pPr>
              <w:spacing w:after="0"/>
              <w:rPr>
                <w:color w:val="auto"/>
                <w:sz w:val="24"/>
                <w:szCs w:val="24"/>
              </w:rPr>
            </w:pPr>
          </w:p>
        </w:tc>
        <w:tc>
          <w:tcPr>
            <w:tcW w:w="220" w:type="dxa"/>
            <w:tcBorders>
              <w:bottom w:val="single" w:sz="8" w:space="0" w:color="9A9A9A"/>
            </w:tcBorders>
            <w:vAlign w:val="bottom"/>
          </w:tcPr>
          <w:p>
            <w:pPr>
              <w:spacing w:after="0"/>
              <w:rPr>
                <w:color w:val="auto"/>
                <w:sz w:val="24"/>
                <w:szCs w:val="24"/>
              </w:rPr>
            </w:pPr>
          </w:p>
        </w:tc>
        <w:tc>
          <w:tcPr>
            <w:tcW w:w="20" w:type="dxa"/>
            <w:tcBorders>
              <w:bottom w:val="single" w:sz="8" w:space="0" w:color="9A9A9A"/>
            </w:tcBorders>
            <w:vAlign w:val="bottom"/>
          </w:tcPr>
          <w:p>
            <w:pPr>
              <w:spacing w:after="0"/>
              <w:rPr>
                <w:color w:val="auto"/>
                <w:sz w:val="24"/>
                <w:szCs w:val="24"/>
              </w:rPr>
            </w:pPr>
          </w:p>
        </w:tc>
        <w:tc>
          <w:tcPr>
            <w:tcW w:w="100" w:type="dxa"/>
            <w:tcBorders>
              <w:bottom w:val="single" w:sz="8" w:space="0" w:color="9A9A9A"/>
            </w:tcBorders>
            <w:vAlign w:val="bottom"/>
          </w:tcPr>
          <w:p>
            <w:pPr>
              <w:spacing w:after="0"/>
              <w:rPr>
                <w:color w:val="auto"/>
                <w:sz w:val="24"/>
                <w:szCs w:val="24"/>
              </w:rPr>
            </w:pPr>
          </w:p>
        </w:tc>
        <w:tc>
          <w:tcPr>
            <w:tcW w:w="120" w:type="dxa"/>
            <w:tcBorders>
              <w:bottom w:val="single" w:sz="8" w:space="0" w:color="9A9A9A"/>
            </w:tcBorders>
            <w:vAlign w:val="bottom"/>
          </w:tcPr>
          <w:p>
            <w:pPr>
              <w:spacing w:after="0"/>
              <w:rPr>
                <w:color w:val="auto"/>
                <w:sz w:val="24"/>
                <w:szCs w:val="24"/>
              </w:rPr>
            </w:pPr>
          </w:p>
        </w:tc>
        <w:tc>
          <w:tcPr>
            <w:tcW w:w="580" w:type="dxa"/>
            <w:tcBorders>
              <w:bottom w:val="single" w:sz="8" w:space="0" w:color="9A9A9A"/>
            </w:tcBorders>
            <w:vAlign w:val="bottom"/>
          </w:tcPr>
          <w:p>
            <w:pPr>
              <w:spacing w:after="0"/>
              <w:rPr>
                <w:color w:val="auto"/>
                <w:sz w:val="24"/>
                <w:szCs w:val="24"/>
              </w:rPr>
            </w:pPr>
          </w:p>
        </w:tc>
        <w:tc>
          <w:tcPr>
            <w:tcW w:w="40" w:type="dxa"/>
            <w:tcBorders>
              <w:bottom w:val="single" w:sz="8" w:space="0" w:color="9A9A9A"/>
            </w:tcBorders>
            <w:vAlign w:val="bottom"/>
          </w:tcPr>
          <w:p>
            <w:pPr>
              <w:spacing w:after="0"/>
              <w:rPr>
                <w:color w:val="auto"/>
                <w:sz w:val="24"/>
                <w:szCs w:val="24"/>
              </w:rPr>
            </w:pPr>
          </w:p>
        </w:tc>
        <w:tc>
          <w:tcPr>
            <w:tcW w:w="160" w:type="dxa"/>
            <w:tcBorders>
              <w:bottom w:val="single" w:sz="8" w:space="0" w:color="9A9A9A"/>
            </w:tcBorders>
            <w:vAlign w:val="bottom"/>
          </w:tcPr>
          <w:p>
            <w:pPr>
              <w:spacing w:after="0"/>
              <w:rPr>
                <w:color w:val="auto"/>
                <w:sz w:val="24"/>
                <w:szCs w:val="24"/>
              </w:rPr>
            </w:pPr>
          </w:p>
        </w:tc>
        <w:tc>
          <w:tcPr>
            <w:tcW w:w="200" w:type="dxa"/>
            <w:tcBorders>
              <w:bottom w:val="single" w:sz="8" w:space="0" w:color="9A9A9A"/>
            </w:tcBorders>
            <w:vAlign w:val="bottom"/>
          </w:tcPr>
          <w:p>
            <w:pPr>
              <w:spacing w:after="0"/>
              <w:rPr>
                <w:color w:val="auto"/>
                <w:sz w:val="24"/>
                <w:szCs w:val="24"/>
              </w:rPr>
            </w:pPr>
          </w:p>
        </w:tc>
        <w:tc>
          <w:tcPr>
            <w:tcW w:w="600" w:type="dxa"/>
            <w:tcBorders>
              <w:bottom w:val="single" w:sz="8" w:space="0" w:color="9A9A9A"/>
            </w:tcBorders>
            <w:vAlign w:val="bottom"/>
          </w:tcPr>
          <w:p>
            <w:pPr>
              <w:spacing w:after="0"/>
              <w:rPr>
                <w:color w:val="auto"/>
                <w:sz w:val="24"/>
                <w:szCs w:val="24"/>
              </w:rPr>
            </w:pPr>
          </w:p>
        </w:tc>
        <w:tc>
          <w:tcPr>
            <w:tcW w:w="160" w:type="dxa"/>
            <w:tcBorders>
              <w:bottom w:val="single" w:sz="8" w:space="0" w:color="9A9A9A"/>
            </w:tcBorders>
            <w:vAlign w:val="bottom"/>
          </w:tcPr>
          <w:p>
            <w:pPr>
              <w:spacing w:after="0"/>
              <w:rPr>
                <w:color w:val="auto"/>
                <w:sz w:val="24"/>
                <w:szCs w:val="24"/>
              </w:rPr>
            </w:pPr>
          </w:p>
        </w:tc>
        <w:tc>
          <w:tcPr>
            <w:tcW w:w="500" w:type="dxa"/>
            <w:tcBorders>
              <w:bottom w:val="single" w:sz="8" w:space="0" w:color="9A9A9A"/>
            </w:tcBorders>
            <w:vAlign w:val="bottom"/>
          </w:tcPr>
          <w:p>
            <w:pPr>
              <w:spacing w:after="0"/>
              <w:rPr>
                <w:color w:val="auto"/>
                <w:sz w:val="24"/>
                <w:szCs w:val="24"/>
              </w:rPr>
            </w:pPr>
          </w:p>
        </w:tc>
        <w:tc>
          <w:tcPr>
            <w:tcW w:w="380" w:type="dxa"/>
            <w:tcBorders>
              <w:bottom w:val="single" w:sz="8" w:space="0" w:color="9A9A9A"/>
            </w:tcBorders>
            <w:vAlign w:val="bottom"/>
          </w:tcPr>
          <w:p>
            <w:pPr>
              <w:spacing w:after="0"/>
              <w:rPr>
                <w:color w:val="auto"/>
                <w:sz w:val="24"/>
                <w:szCs w:val="24"/>
              </w:rPr>
            </w:pPr>
          </w:p>
        </w:tc>
        <w:tc>
          <w:tcPr>
            <w:tcW w:w="720" w:type="dxa"/>
            <w:tcBorders>
              <w:bottom w:val="single" w:sz="8" w:space="0" w:color="9A9A9A"/>
            </w:tcBorders>
            <w:vAlign w:val="bottom"/>
          </w:tcPr>
          <w:p>
            <w:pPr>
              <w:spacing w:after="0"/>
              <w:rPr>
                <w:color w:val="auto"/>
                <w:sz w:val="24"/>
                <w:szCs w:val="24"/>
              </w:rPr>
            </w:pPr>
          </w:p>
        </w:tc>
        <w:tc>
          <w:tcPr>
            <w:tcW w:w="80" w:type="dxa"/>
            <w:tcBorders>
              <w:bottom w:val="single" w:sz="8" w:space="0" w:color="9A9A9A"/>
            </w:tcBorders>
            <w:vAlign w:val="bottom"/>
          </w:tcPr>
          <w:p>
            <w:pPr>
              <w:spacing w:after="0"/>
              <w:rPr>
                <w:color w:val="auto"/>
                <w:sz w:val="24"/>
                <w:szCs w:val="24"/>
              </w:rPr>
            </w:pPr>
          </w:p>
        </w:tc>
        <w:tc>
          <w:tcPr>
            <w:tcW w:w="600" w:type="dxa"/>
            <w:tcBorders>
              <w:bottom w:val="single" w:sz="8" w:space="0" w:color="9A9A9A"/>
            </w:tcBorders>
            <w:vAlign w:val="bottom"/>
          </w:tcPr>
          <w:p>
            <w:pPr>
              <w:spacing w:after="0"/>
              <w:rPr>
                <w:color w:val="auto"/>
                <w:sz w:val="24"/>
                <w:szCs w:val="24"/>
              </w:rPr>
            </w:pPr>
          </w:p>
        </w:tc>
        <w:tc>
          <w:tcPr>
            <w:tcW w:w="620" w:type="dxa"/>
            <w:tcBorders>
              <w:bottom w:val="single" w:sz="8" w:space="0" w:color="9A9A9A"/>
            </w:tcBorders>
            <w:vAlign w:val="bottom"/>
          </w:tcPr>
          <w:p>
            <w:pPr>
              <w:spacing w:after="0"/>
              <w:rPr>
                <w:color w:val="auto"/>
                <w:sz w:val="24"/>
                <w:szCs w:val="24"/>
              </w:rPr>
            </w:pPr>
          </w:p>
        </w:tc>
        <w:tc>
          <w:tcPr>
            <w:tcW w:w="980" w:type="dxa"/>
            <w:tcBorders>
              <w:bottom w:val="single" w:sz="8" w:space="0" w:color="9A9A9A"/>
            </w:tcBorders>
            <w:vAlign w:val="bottom"/>
          </w:tcPr>
          <w:p>
            <w:pPr>
              <w:spacing w:after="0"/>
              <w:rPr>
                <w:color w:val="auto"/>
                <w:sz w:val="24"/>
                <w:szCs w:val="24"/>
              </w:rPr>
            </w:pPr>
          </w:p>
        </w:tc>
        <w:tc>
          <w:tcPr>
            <w:tcW w:w="980" w:type="dxa"/>
            <w:tcBorders>
              <w:bottom w:val="single" w:sz="8" w:space="0" w:color="9A9A9A"/>
            </w:tcBorders>
            <w:vAlign w:val="bottom"/>
          </w:tcPr>
          <w:p>
            <w:pPr>
              <w:spacing w:after="0"/>
              <w:rPr>
                <w:color w:val="auto"/>
                <w:sz w:val="24"/>
                <w:szCs w:val="24"/>
              </w:rPr>
            </w:pPr>
          </w:p>
        </w:tc>
        <w:tc>
          <w:tcPr>
            <w:tcW w:w="120" w:type="dxa"/>
            <w:tcBorders>
              <w:top w:val="single" w:sz="8" w:space="0" w:color="0000FF"/>
              <w:bottom w:val="single" w:sz="8" w:space="0" w:color="9A9A9A"/>
            </w:tcBorders>
            <w:vAlign w:val="bottom"/>
          </w:tcPr>
          <w:p>
            <w:pPr>
              <w:spacing w:after="0"/>
              <w:rPr>
                <w:color w:val="auto"/>
                <w:sz w:val="24"/>
                <w:szCs w:val="24"/>
              </w:rPr>
            </w:pPr>
          </w:p>
        </w:tc>
        <w:tc>
          <w:tcPr>
            <w:tcW w:w="1060" w:type="dxa"/>
            <w:tcBorders>
              <w:bottom w:val="single" w:sz="8" w:space="0" w:color="9A9A9A"/>
            </w:tcBorders>
            <w:vAlign w:val="bottom"/>
          </w:tcPr>
          <w:p>
            <w:pPr>
              <w:spacing w:after="0"/>
              <w:rPr>
                <w:color w:val="auto"/>
                <w:sz w:val="24"/>
                <w:szCs w:val="24"/>
              </w:rPr>
            </w:pPr>
          </w:p>
        </w:tc>
      </w:tr>
    </w:tbl>
    <w:p>
      <w:pPr>
        <w:spacing w:after="0" w:line="20" w:lineRule="exact"/>
        <w:rPr>
          <w:color w:val="auto"/>
          <w:sz w:val="20"/>
          <w:szCs w:val="20"/>
        </w:rPr>
      </w:pPr>
      <w:r>
        <w:rPr>
          <w:color w:val="auto"/>
          <w:sz w:val="20"/>
          <w:szCs w:val="20"/>
        </w:rPr>
        <w:drawing>
          <wp:anchor simplePos="0" relativeHeight="251662336" behindDoc="1" locked="0" layoutInCell="0" allowOverlap="1">
            <wp:simplePos x="0" y="0"/>
            <wp:positionH relativeFrom="column">
              <wp:posOffset>7154545</wp:posOffset>
            </wp:positionH>
            <wp:positionV relativeFrom="paragraph">
              <wp:posOffset>-23495</wp:posOffset>
            </wp:positionV>
            <wp:extent cx="31115" cy="3683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63360" behindDoc="1" locked="0" layoutInCell="0" allowOverlap="1">
            <wp:simplePos x="0" y="0"/>
            <wp:positionH relativeFrom="column">
              <wp:posOffset>-17145</wp:posOffset>
            </wp:positionH>
            <wp:positionV relativeFrom="paragraph">
              <wp:posOffset>-23495</wp:posOffset>
            </wp:positionV>
            <wp:extent cx="31115" cy="3683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2" w:name="page3"/>
    <w:bookmarkEnd w:id="2"/>
    <w:p>
      <w:pPr>
        <w:spacing w:after="0"/>
        <w:jc w:val="center"/>
        <w:rPr>
          <w:color w:val="auto"/>
          <w:sz w:val="20"/>
          <w:szCs w:val="20"/>
        </w:rPr>
      </w:pPr>
      <w:r>
        <w:rPr>
          <w:rFonts w:ascii="Calibri" w:eastAsia="Calibri" w:hAnsi="Calibri" w:cs="Calibri"/>
          <w:b/>
          <w:bCs/>
          <w:color w:val="444867"/>
          <w:sz w:val="14"/>
          <w:szCs w:val="14"/>
        </w:rPr>
        <w:t>PART I</w:t>
      </w:r>
    </w:p>
    <w:p>
      <w:pPr>
        <w:spacing w:after="0" w:line="36"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1. BUSINESS</w:t>
      </w:r>
    </w:p>
    <w:p>
      <w:pPr>
        <w:spacing w:after="0" w:line="20" w:lineRule="exact"/>
        <w:rPr>
          <w:color w:val="auto"/>
          <w:sz w:val="20"/>
          <w:szCs w:val="20"/>
        </w:rPr>
      </w:pPr>
      <w:r>
        <w:rPr>
          <w:color w:val="auto"/>
          <w:sz w:val="20"/>
          <w:szCs w:val="20"/>
        </w:rPr>
        <w:drawing>
          <wp:anchor simplePos="0" relativeHeight="251664384" behindDoc="1" locked="0" layoutInCell="0" allowOverlap="1">
            <wp:simplePos x="0" y="0"/>
            <wp:positionH relativeFrom="column">
              <wp:posOffset>-4445</wp:posOffset>
            </wp:positionH>
            <wp:positionV relativeFrom="paragraph">
              <wp:posOffset>24130</wp:posOffset>
            </wp:positionV>
            <wp:extent cx="7166610" cy="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Overview</w:t>
      </w:r>
    </w:p>
    <w:p>
      <w:pPr>
        <w:spacing w:after="0" w:line="101" w:lineRule="exact"/>
        <w:rPr>
          <w:color w:val="auto"/>
          <w:sz w:val="20"/>
          <w:szCs w:val="20"/>
        </w:rPr>
      </w:pPr>
    </w:p>
    <w:p>
      <w:pPr>
        <w:spacing w:after="0" w:line="238" w:lineRule="auto"/>
        <w:ind w:right="40" w:firstLine="297"/>
        <w:rPr>
          <w:color w:val="auto"/>
          <w:sz w:val="20"/>
          <w:szCs w:val="20"/>
        </w:rPr>
      </w:pPr>
      <w:r>
        <w:rPr>
          <w:rFonts w:ascii="Calibri" w:eastAsia="Calibri" w:hAnsi="Calibri" w:cs="Calibri"/>
          <w:color w:val="auto"/>
          <w:sz w:val="12"/>
          <w:szCs w:val="12"/>
        </w:rPr>
        <w:t>AbbVie or "the company" refer to AbbVie Inc., or AbbVie Inc. and its consolidated subsidiaries, as the context requires. AbbVie is a global, diversifed research-based biopharmaceutcal company positoned for success with a comprehensive product portolio that has leadership positons across immunology, oncology, aesthetcs, neuroscience and eye care. AbbVie uses its expertse, dedicated people and unique approach to innovaton to develop and market advanced therapies that address some of the world’s most complex and serious diseases. AbbVie was incorporated in Delaware on April 10, 2012. On January 1, 2013, AbbVie became an independent, publicly-traded company as a result of the distributon by Abbot Laboratories (Abbot) of 100% of the outstanding common stock of AbbVie to Abbot's shareholders.</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Segments</w:t>
      </w:r>
    </w:p>
    <w:p>
      <w:pPr>
        <w:spacing w:after="0" w:line="92"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AbbVie operates as a single global business segment dedicated to the research and development, manufacturing, commercializaton and sale of innovatve medicines and therapies. This operatng structure enables the Chief Executve Ofcer, as Chief Operatng Decision Maker (CODM), to allocate resources and assess business performance on a global basis in order to achieve established long-term strategic goals. Consistent with this structure, a global research and development and supply chain organizaton is responsible for the discovery, development, manufacturing and supply of products. Commercial eforts that coordinate the marketng, sales and distributon of these products are organized by geographic region or therapeutc area. All of these actvites are supported by a global corporate administratve staf. The determinaton of a single business segment is consistent with the consolidated fnancial informaton regularly reviewed by the CODM for purposes of assessing performance, allocatng resources and planning and forecastng future periods. See Note 16, "Segment and Geographic Area Informaton" to the Consolidated Financial Statements included under Item 8, "Financial Statements and Supplementary Data" and the sales informaton related to AbbVie's key products and geographies included under Item 7, "Management's Discussion and Analysis of Financial Conditon and Results of Operatons."</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Products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AbbVie's portolio of products includes a broad line of therapies that address some of the world's most complex and serious diseases.</w:t>
      </w:r>
    </w:p>
    <w:p>
      <w:pPr>
        <w:spacing w:after="0" w:line="88" w:lineRule="exact"/>
        <w:rPr>
          <w:color w:val="auto"/>
          <w:sz w:val="20"/>
          <w:szCs w:val="20"/>
        </w:rPr>
      </w:pPr>
    </w:p>
    <w:p>
      <w:pPr>
        <w:spacing w:after="0"/>
        <w:ind w:left="200"/>
        <w:rPr>
          <w:color w:val="auto"/>
          <w:sz w:val="20"/>
          <w:szCs w:val="20"/>
        </w:rPr>
      </w:pPr>
      <w:r>
        <w:rPr>
          <w:rFonts w:ascii="Calibri" w:eastAsia="Calibri" w:hAnsi="Calibri" w:cs="Calibri"/>
          <w:b/>
          <w:bCs/>
          <w:i/>
          <w:iCs/>
          <w:color w:val="444867"/>
          <w:sz w:val="12"/>
          <w:szCs w:val="12"/>
        </w:rPr>
        <w:t xml:space="preserve">Immunology products. </w:t>
      </w:r>
      <w:r>
        <w:rPr>
          <w:rFonts w:ascii="Calibri" w:eastAsia="Calibri" w:hAnsi="Calibri" w:cs="Calibri"/>
          <w:color w:val="000000"/>
          <w:sz w:val="12"/>
          <w:szCs w:val="12"/>
        </w:rPr>
        <w:t>AbbVie maintains an extensive immunology portolio across rheumatology, dermatology and gastroenterology. AbbVie's immunology products address unmet needs for patents with autoimmune diseases.</w:t>
      </w:r>
    </w:p>
    <w:p>
      <w:pPr>
        <w:spacing w:after="0" w:line="235" w:lineRule="auto"/>
        <w:ind w:left="200"/>
        <w:rPr>
          <w:color w:val="auto"/>
          <w:sz w:val="20"/>
          <w:szCs w:val="20"/>
        </w:rPr>
      </w:pPr>
      <w:r>
        <w:rPr>
          <w:rFonts w:ascii="Calibri" w:eastAsia="Calibri" w:hAnsi="Calibri" w:cs="Calibri"/>
          <w:color w:val="auto"/>
          <w:sz w:val="12"/>
          <w:szCs w:val="12"/>
        </w:rPr>
        <w:t>These products are:</w:t>
      </w:r>
    </w:p>
    <w:p>
      <w:pPr>
        <w:spacing w:after="0" w:line="102" w:lineRule="exact"/>
        <w:rPr>
          <w:color w:val="auto"/>
          <w:sz w:val="20"/>
          <w:szCs w:val="20"/>
        </w:rPr>
      </w:pPr>
    </w:p>
    <w:p>
      <w:pPr>
        <w:spacing w:after="0" w:line="234" w:lineRule="auto"/>
        <w:ind w:left="160" w:right="100" w:firstLine="297"/>
        <w:rPr>
          <w:color w:val="auto"/>
          <w:sz w:val="20"/>
          <w:szCs w:val="20"/>
        </w:rPr>
      </w:pPr>
      <w:r>
        <w:rPr>
          <w:rFonts w:ascii="Calibri" w:eastAsia="Calibri" w:hAnsi="Calibri" w:cs="Calibri"/>
          <w:i/>
          <w:iCs/>
          <w:color w:val="auto"/>
          <w:sz w:val="12"/>
          <w:szCs w:val="12"/>
        </w:rPr>
        <w:t xml:space="preserve">Humira. </w:t>
      </w:r>
      <w:r>
        <w:rPr>
          <w:rFonts w:ascii="Calibri" w:eastAsia="Calibri" w:hAnsi="Calibri" w:cs="Calibri"/>
          <w:color w:val="auto"/>
          <w:sz w:val="12"/>
          <w:szCs w:val="12"/>
        </w:rPr>
        <w:t>Humira (adalimumab) is a biologic therapy administered as a subcutaneous injecton. It is approved to treat the following autoimmune diseases in the United States, Canada and Mexico (collectvely, North America) and</w:t>
      </w:r>
      <w:r>
        <w:rPr>
          <w:rFonts w:ascii="Calibri" w:eastAsia="Calibri" w:hAnsi="Calibri" w:cs="Calibri"/>
          <w:i/>
          <w:iCs/>
          <w:color w:val="auto"/>
          <w:sz w:val="12"/>
          <w:szCs w:val="12"/>
        </w:rPr>
        <w:t xml:space="preserve"> </w:t>
      </w:r>
      <w:r>
        <w:rPr>
          <w:rFonts w:ascii="Calibri" w:eastAsia="Calibri" w:hAnsi="Calibri" w:cs="Calibri"/>
          <w:color w:val="auto"/>
          <w:sz w:val="12"/>
          <w:szCs w:val="12"/>
        </w:rPr>
        <w:t>in the European Union:</w:t>
      </w:r>
    </w:p>
    <w:p>
      <w:pPr>
        <w:spacing w:after="0" w:line="115" w:lineRule="exact"/>
        <w:rPr>
          <w:color w:val="auto"/>
          <w:sz w:val="20"/>
          <w:szCs w:val="20"/>
        </w:rPr>
      </w:pPr>
    </w:p>
    <w:tbl>
      <w:tblPr>
        <w:tblInd w:w="0" w:type="dxa"/>
        <w:tblLayout w:type="fixed"/>
        <w:tblCellMar>
          <w:top w:w="0" w:type="dxa"/>
          <w:left w:w="0" w:type="dxa"/>
          <w:bottom w:w="0" w:type="dxa"/>
          <w:right w:w="0" w:type="dxa"/>
        </w:tblCellMar>
      </w:tblPr>
      <w:tblGrid>
        <w:gridCol w:w="160"/>
        <w:gridCol w:w="4500"/>
        <w:gridCol w:w="6440"/>
        <w:gridCol w:w="200"/>
      </w:tblGrid>
      <w:tr>
        <w:tblPrEx>
          <w:tblInd w:w="0" w:type="dxa"/>
          <w:tblLayout w:type="fixed"/>
        </w:tblPrEx>
        <w:trPr>
          <w:trHeight w:val="122"/>
        </w:trPr>
        <w:tc>
          <w:tcPr>
            <w:tcW w:w="160" w:type="dxa"/>
            <w:vAlign w:val="bottom"/>
          </w:tcPr>
          <w:p>
            <w:pPr>
              <w:spacing w:after="0"/>
              <w:rPr>
                <w:color w:val="auto"/>
                <w:sz w:val="10"/>
                <w:szCs w:val="10"/>
              </w:rPr>
            </w:pPr>
          </w:p>
        </w:tc>
        <w:tc>
          <w:tcPr>
            <w:tcW w:w="4500" w:type="dxa"/>
            <w:vAlign w:val="bottom"/>
          </w:tcPr>
          <w:p>
            <w:pPr>
              <w:spacing w:after="0"/>
              <w:rPr>
                <w:color w:val="auto"/>
                <w:sz w:val="20"/>
                <w:szCs w:val="20"/>
              </w:rPr>
            </w:pPr>
            <w:r>
              <w:rPr>
                <w:rFonts w:ascii="Calibri" w:eastAsia="Calibri" w:hAnsi="Calibri" w:cs="Calibri"/>
                <w:b/>
                <w:bCs/>
                <w:color w:val="auto"/>
                <w:sz w:val="10"/>
                <w:szCs w:val="10"/>
              </w:rPr>
              <w:t>Conditon</w:t>
            </w:r>
          </w:p>
        </w:tc>
        <w:tc>
          <w:tcPr>
            <w:tcW w:w="6640" w:type="dxa"/>
            <w:gridSpan w:val="2"/>
            <w:vAlign w:val="bottom"/>
          </w:tcPr>
          <w:p>
            <w:pPr>
              <w:spacing w:after="0"/>
              <w:ind w:left="1560"/>
              <w:rPr>
                <w:color w:val="auto"/>
                <w:sz w:val="20"/>
                <w:szCs w:val="20"/>
              </w:rPr>
            </w:pPr>
            <w:r>
              <w:rPr>
                <w:rFonts w:ascii="Calibri" w:eastAsia="Calibri" w:hAnsi="Calibri" w:cs="Calibri"/>
                <w:b/>
                <w:bCs/>
                <w:color w:val="auto"/>
                <w:sz w:val="10"/>
                <w:szCs w:val="10"/>
              </w:rPr>
              <w:t>Principal Markets</w:t>
            </w:r>
          </w:p>
        </w:tc>
      </w:tr>
      <w:tr>
        <w:tblPrEx>
          <w:tblInd w:w="0" w:type="dxa"/>
          <w:tblLayout w:type="fixed"/>
        </w:tblPrEx>
        <w:trPr>
          <w:trHeight w:val="32"/>
        </w:trPr>
        <w:tc>
          <w:tcPr>
            <w:tcW w:w="160" w:type="dxa"/>
            <w:vAlign w:val="bottom"/>
          </w:tcPr>
          <w:p>
            <w:pPr>
              <w:spacing w:after="0"/>
              <w:rPr>
                <w:color w:val="auto"/>
                <w:sz w:val="2"/>
                <w:szCs w:val="2"/>
              </w:rPr>
            </w:pPr>
          </w:p>
        </w:tc>
        <w:tc>
          <w:tcPr>
            <w:tcW w:w="4500" w:type="dxa"/>
            <w:vAlign w:val="bottom"/>
          </w:tcPr>
          <w:p>
            <w:pPr>
              <w:spacing w:after="0"/>
              <w:rPr>
                <w:color w:val="auto"/>
                <w:sz w:val="2"/>
                <w:szCs w:val="2"/>
              </w:rPr>
            </w:pPr>
          </w:p>
        </w:tc>
        <w:tc>
          <w:tcPr>
            <w:tcW w:w="6640" w:type="dxa"/>
            <w:gridSpan w:val="2"/>
            <w:vAlign w:val="bottom"/>
          </w:tcPr>
          <w:p>
            <w:pPr>
              <w:spacing w:after="0"/>
              <w:rPr>
                <w:color w:val="auto"/>
                <w:sz w:val="2"/>
                <w:szCs w:val="2"/>
              </w:rPr>
            </w:pPr>
          </w:p>
        </w:tc>
      </w:tr>
      <w:tr>
        <w:tblPrEx>
          <w:tblInd w:w="0" w:type="dxa"/>
          <w:tblLayout w:type="fixed"/>
        </w:tblPrEx>
        <w:trPr>
          <w:trHeight w:val="131"/>
        </w:trPr>
        <w:tc>
          <w:tcPr>
            <w:tcW w:w="160" w:type="dxa"/>
            <w:vAlign w:val="bottom"/>
          </w:tcPr>
          <w:p>
            <w:pPr>
              <w:spacing w:after="0"/>
              <w:rPr>
                <w:color w:val="auto"/>
                <w:sz w:val="11"/>
                <w:szCs w:val="11"/>
              </w:rPr>
            </w:pPr>
          </w:p>
        </w:tc>
        <w:tc>
          <w:tcPr>
            <w:tcW w:w="4500" w:type="dxa"/>
            <w:tcBorders>
              <w:top w:val="single" w:sz="8" w:space="0" w:color="auto"/>
            </w:tcBorders>
            <w:vAlign w:val="bottom"/>
          </w:tcPr>
          <w:p>
            <w:pPr>
              <w:spacing w:after="0" w:line="131" w:lineRule="exact"/>
              <w:rPr>
                <w:color w:val="auto"/>
                <w:sz w:val="20"/>
                <w:szCs w:val="20"/>
              </w:rPr>
            </w:pPr>
            <w:r>
              <w:rPr>
                <w:rFonts w:ascii="Calibri" w:eastAsia="Calibri" w:hAnsi="Calibri" w:cs="Calibri"/>
                <w:color w:val="auto"/>
                <w:sz w:val="12"/>
                <w:szCs w:val="12"/>
              </w:rPr>
              <w:t>Rheumatoid arthrits (moderate to severe)</w:t>
            </w:r>
          </w:p>
        </w:tc>
        <w:tc>
          <w:tcPr>
            <w:tcW w:w="6440" w:type="dxa"/>
            <w:tcBorders>
              <w:top w:val="single" w:sz="8" w:space="0" w:color="auto"/>
            </w:tcBorders>
            <w:vAlign w:val="bottom"/>
          </w:tcPr>
          <w:p>
            <w:pPr>
              <w:spacing w:after="0" w:line="131" w:lineRule="exact"/>
              <w:ind w:left="1560"/>
              <w:rPr>
                <w:color w:val="auto"/>
                <w:sz w:val="20"/>
                <w:szCs w:val="20"/>
              </w:rPr>
            </w:pPr>
            <w:r>
              <w:rPr>
                <w:rFonts w:ascii="Calibri" w:eastAsia="Calibri" w:hAnsi="Calibri" w:cs="Calibri"/>
                <w:color w:val="auto"/>
                <w:sz w:val="12"/>
                <w:szCs w:val="12"/>
              </w:rPr>
              <w:t>North America, European Union</w:t>
            </w:r>
          </w:p>
        </w:tc>
        <w:tc>
          <w:tcPr>
            <w:tcW w:w="200" w:type="dxa"/>
            <w:vAlign w:val="bottom"/>
          </w:tcPr>
          <w:p>
            <w:pPr>
              <w:spacing w:after="0"/>
              <w:rPr>
                <w:color w:val="auto"/>
                <w:sz w:val="11"/>
                <w:szCs w:val="11"/>
              </w:rPr>
            </w:pPr>
          </w:p>
        </w:tc>
      </w:tr>
      <w:tr>
        <w:tblPrEx>
          <w:tblInd w:w="0" w:type="dxa"/>
          <w:tblLayout w:type="fixed"/>
        </w:tblPrEx>
        <w:trPr>
          <w:trHeight w:val="147"/>
        </w:trPr>
        <w:tc>
          <w:tcPr>
            <w:tcW w:w="160" w:type="dxa"/>
            <w:vAlign w:val="bottom"/>
          </w:tcPr>
          <w:p>
            <w:pPr>
              <w:spacing w:after="0"/>
              <w:rPr>
                <w:color w:val="auto"/>
                <w:sz w:val="12"/>
                <w:szCs w:val="12"/>
              </w:rPr>
            </w:pPr>
          </w:p>
        </w:tc>
        <w:tc>
          <w:tcPr>
            <w:tcW w:w="4500" w:type="dxa"/>
            <w:vAlign w:val="bottom"/>
          </w:tcPr>
          <w:p>
            <w:pPr>
              <w:spacing w:after="0"/>
              <w:rPr>
                <w:color w:val="auto"/>
                <w:sz w:val="20"/>
                <w:szCs w:val="20"/>
              </w:rPr>
            </w:pPr>
            <w:r>
              <w:rPr>
                <w:rFonts w:ascii="Calibri" w:eastAsia="Calibri" w:hAnsi="Calibri" w:cs="Calibri"/>
                <w:color w:val="auto"/>
                <w:sz w:val="12"/>
                <w:szCs w:val="12"/>
              </w:rPr>
              <w:t>Psoriatc arthrits</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Ankylosing spondylits</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Crohn's disease (moderate to severe)</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Plaque psoriasis (moderate to severe chronic)</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Juvenile idiopathic arthrits (moderate to severe polyartcular)</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Ulceratve colits (moderate to severe)</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Non-radiographic axial spondyloarthrits</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Pediatric Crohn's disease (moderate to severe)</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Hidradenits suppuratva (moderate to severe)</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Pediatric enthesits-related arthrits</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Non-infectous intermediate, posterior and panuveits</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Pediatric ulceratve colits (moderate to severe)</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153"/>
        </w:trPr>
        <w:tc>
          <w:tcPr>
            <w:tcW w:w="160" w:type="dxa"/>
            <w:vAlign w:val="bottom"/>
          </w:tcPr>
          <w:p>
            <w:pPr>
              <w:spacing w:after="0"/>
              <w:rPr>
                <w:color w:val="auto"/>
                <w:sz w:val="13"/>
                <w:szCs w:val="13"/>
              </w:rPr>
            </w:pPr>
          </w:p>
        </w:tc>
        <w:tc>
          <w:tcPr>
            <w:tcW w:w="4500" w:type="dxa"/>
            <w:vAlign w:val="bottom"/>
          </w:tcPr>
          <w:p>
            <w:pPr>
              <w:spacing w:after="0"/>
              <w:rPr>
                <w:color w:val="auto"/>
                <w:sz w:val="20"/>
                <w:szCs w:val="20"/>
              </w:rPr>
            </w:pPr>
            <w:r>
              <w:rPr>
                <w:rFonts w:ascii="Calibri" w:eastAsia="Calibri" w:hAnsi="Calibri" w:cs="Calibri"/>
                <w:color w:val="auto"/>
                <w:sz w:val="12"/>
                <w:szCs w:val="12"/>
              </w:rPr>
              <w:t>Pediatric uveits</w:t>
            </w:r>
          </w:p>
        </w:tc>
        <w:tc>
          <w:tcPr>
            <w:tcW w:w="6640" w:type="dxa"/>
            <w:gridSpan w:val="2"/>
            <w:vAlign w:val="bottom"/>
          </w:tcPr>
          <w:p>
            <w:pPr>
              <w:spacing w:after="0"/>
              <w:ind w:left="1560"/>
              <w:rPr>
                <w:color w:val="auto"/>
                <w:sz w:val="20"/>
                <w:szCs w:val="20"/>
              </w:rPr>
            </w:pPr>
            <w:r>
              <w:rPr>
                <w:rFonts w:ascii="Calibri" w:eastAsia="Calibri" w:hAnsi="Calibri" w:cs="Calibri"/>
                <w:color w:val="auto"/>
                <w:sz w:val="12"/>
                <w:szCs w:val="12"/>
              </w:rPr>
              <w:t>North America, European Union</w:t>
            </w:r>
          </w:p>
        </w:tc>
      </w:tr>
      <w:tr>
        <w:tblPrEx>
          <w:tblInd w:w="0" w:type="dxa"/>
          <w:tblLayout w:type="fixed"/>
        </w:tblPrEx>
        <w:trPr>
          <w:trHeight w:val="630"/>
        </w:trPr>
        <w:tc>
          <w:tcPr>
            <w:tcW w:w="160" w:type="dxa"/>
            <w:vAlign w:val="bottom"/>
          </w:tcPr>
          <w:p>
            <w:pPr>
              <w:spacing w:after="0"/>
              <w:ind w:right="46"/>
              <w:jc w:val="right"/>
              <w:rPr>
                <w:color w:val="auto"/>
                <w:sz w:val="20"/>
                <w:szCs w:val="20"/>
              </w:rPr>
            </w:pPr>
            <w:r>
              <w:rPr>
                <w:rFonts w:ascii="Calibri" w:eastAsia="Calibri" w:hAnsi="Calibri" w:cs="Calibri"/>
                <w:b/>
                <w:bCs/>
                <w:i/>
                <w:iCs/>
                <w:color w:val="auto"/>
                <w:w w:val="70"/>
                <w:sz w:val="11"/>
                <w:szCs w:val="11"/>
              </w:rPr>
              <w:t>1</w:t>
            </w:r>
          </w:p>
        </w:tc>
        <w:tc>
          <w:tcPr>
            <w:tcW w:w="4500" w:type="dxa"/>
            <w:vAlign w:val="bottom"/>
          </w:tcPr>
          <w:p>
            <w:pPr>
              <w:spacing w:after="0"/>
              <w:ind w:left="960"/>
              <w:rPr>
                <w:color w:val="auto"/>
                <w:sz w:val="20"/>
                <w:szCs w:val="20"/>
              </w:rPr>
            </w:pP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tc>
        <w:tc>
          <w:tcPr>
            <w:tcW w:w="6440" w:type="dxa"/>
            <w:vAlign w:val="bottom"/>
          </w:tcPr>
          <w:p>
            <w:pPr>
              <w:spacing w:after="0"/>
              <w:rPr>
                <w:color w:val="auto"/>
                <w:sz w:val="24"/>
                <w:szCs w:val="24"/>
              </w:rPr>
            </w:pPr>
          </w:p>
        </w:tc>
        <w:tc>
          <w:tcPr>
            <w:tcW w:w="200" w:type="dxa"/>
            <w:vAlign w:val="bottom"/>
          </w:tcPr>
          <w:p>
            <w:pPr>
              <w:spacing w:after="0"/>
              <w:rPr>
                <w:color w:val="auto"/>
                <w:sz w:val="24"/>
                <w:szCs w:val="24"/>
              </w:rPr>
            </w:pPr>
          </w:p>
        </w:tc>
      </w:tr>
      <w:tr>
        <w:tblPrEx>
          <w:tblInd w:w="0" w:type="dxa"/>
          <w:tblLayout w:type="fixed"/>
        </w:tblPrEx>
        <w:trPr>
          <w:trHeight w:val="152"/>
        </w:trPr>
        <w:tc>
          <w:tcPr>
            <w:tcW w:w="160" w:type="dxa"/>
            <w:tcBorders>
              <w:bottom w:val="single" w:sz="8" w:space="0" w:color="9A9A9A"/>
            </w:tcBorders>
            <w:vAlign w:val="bottom"/>
          </w:tcPr>
          <w:p>
            <w:pPr>
              <w:spacing w:after="0"/>
              <w:rPr>
                <w:color w:val="auto"/>
                <w:sz w:val="13"/>
                <w:szCs w:val="13"/>
              </w:rPr>
            </w:pPr>
          </w:p>
        </w:tc>
        <w:tc>
          <w:tcPr>
            <w:tcW w:w="4500" w:type="dxa"/>
            <w:tcBorders>
              <w:bottom w:val="single" w:sz="8" w:space="0" w:color="9A9A9A"/>
            </w:tcBorders>
            <w:vAlign w:val="bottom"/>
          </w:tcPr>
          <w:p>
            <w:pPr>
              <w:spacing w:after="0"/>
              <w:rPr>
                <w:color w:val="auto"/>
                <w:sz w:val="13"/>
                <w:szCs w:val="13"/>
              </w:rPr>
            </w:pPr>
          </w:p>
        </w:tc>
        <w:tc>
          <w:tcPr>
            <w:tcW w:w="6440" w:type="dxa"/>
            <w:tcBorders>
              <w:bottom w:val="single" w:sz="8" w:space="0" w:color="9A9A9A"/>
            </w:tcBorders>
            <w:vAlign w:val="bottom"/>
          </w:tcPr>
          <w:p>
            <w:pPr>
              <w:spacing w:after="0"/>
              <w:rPr>
                <w:color w:val="auto"/>
                <w:sz w:val="13"/>
                <w:szCs w:val="13"/>
              </w:rPr>
            </w:pPr>
          </w:p>
        </w:tc>
        <w:tc>
          <w:tcPr>
            <w:tcW w:w="20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665408" behindDoc="1" locked="0" layoutInCell="0" allowOverlap="1">
            <wp:simplePos x="0" y="0"/>
            <wp:positionH relativeFrom="column">
              <wp:posOffset>7154545</wp:posOffset>
            </wp:positionH>
            <wp:positionV relativeFrom="paragraph">
              <wp:posOffset>-23495</wp:posOffset>
            </wp:positionV>
            <wp:extent cx="31115" cy="3683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66432" behindDoc="1" locked="0" layoutInCell="0" allowOverlap="1">
            <wp:simplePos x="0" y="0"/>
            <wp:positionH relativeFrom="column">
              <wp:posOffset>-17145</wp:posOffset>
            </wp:positionH>
            <wp:positionV relativeFrom="paragraph">
              <wp:posOffset>-23495</wp:posOffset>
            </wp:positionV>
            <wp:extent cx="31115" cy="3683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67456" behindDoc="1" locked="0" layoutInCell="0" allowOverlap="1">
            <wp:simplePos x="0" y="0"/>
            <wp:positionH relativeFrom="column">
              <wp:posOffset>292100</wp:posOffset>
            </wp:positionH>
            <wp:positionV relativeFrom="paragraph">
              <wp:posOffset>-233680</wp:posOffset>
            </wp:positionV>
            <wp:extent cx="400050" cy="7429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3" w:name="page4"/>
    <w:bookmarkEnd w:id="3"/>
    <w:p>
      <w:pPr>
        <w:spacing w:after="0"/>
        <w:ind w:left="460"/>
        <w:rPr>
          <w:color w:val="auto"/>
          <w:sz w:val="20"/>
          <w:szCs w:val="20"/>
        </w:rPr>
      </w:pPr>
      <w:r>
        <w:rPr>
          <w:rFonts w:ascii="Calibri" w:eastAsia="Calibri" w:hAnsi="Calibri" w:cs="Calibri"/>
          <w:color w:val="auto"/>
          <w:sz w:val="12"/>
          <w:szCs w:val="12"/>
        </w:rPr>
        <w:t>Humira is also approved in Japan for the treatment of intestnal Behçet's disease, generalized pustular psoriasis, and pyoderma gangrenosum.</w:t>
      </w:r>
    </w:p>
    <w:p>
      <w:pPr>
        <w:spacing w:after="0" w:line="88" w:lineRule="exact"/>
        <w:rPr>
          <w:color w:val="auto"/>
          <w:sz w:val="20"/>
          <w:szCs w:val="20"/>
        </w:rPr>
      </w:pPr>
    </w:p>
    <w:p>
      <w:pPr>
        <w:spacing w:after="0"/>
        <w:ind w:left="460"/>
        <w:rPr>
          <w:color w:val="auto"/>
          <w:sz w:val="20"/>
          <w:szCs w:val="20"/>
        </w:rPr>
      </w:pPr>
      <w:r>
        <w:rPr>
          <w:rFonts w:ascii="Calibri" w:eastAsia="Calibri" w:hAnsi="Calibri" w:cs="Calibri"/>
          <w:color w:val="auto"/>
          <w:sz w:val="12"/>
          <w:szCs w:val="12"/>
        </w:rPr>
        <w:t>Humira is sold in numerous other markets worldwide, including Japan, China, Brazil and Australia.</w:t>
      </w:r>
    </w:p>
    <w:p>
      <w:pPr>
        <w:spacing w:after="0" w:line="97" w:lineRule="exact"/>
        <w:rPr>
          <w:color w:val="auto"/>
          <w:sz w:val="20"/>
          <w:szCs w:val="20"/>
        </w:rPr>
      </w:pPr>
    </w:p>
    <w:p>
      <w:pPr>
        <w:spacing w:after="0"/>
        <w:ind w:left="460"/>
        <w:rPr>
          <w:color w:val="auto"/>
          <w:sz w:val="20"/>
          <w:szCs w:val="20"/>
        </w:rPr>
      </w:pPr>
      <w:r>
        <w:rPr>
          <w:rFonts w:ascii="Calibri" w:eastAsia="Calibri" w:hAnsi="Calibri" w:cs="Calibri"/>
          <w:i/>
          <w:iCs/>
          <w:color w:val="auto"/>
          <w:sz w:val="12"/>
          <w:szCs w:val="12"/>
        </w:rPr>
        <w:t xml:space="preserve">Skyrizi. </w:t>
      </w:r>
      <w:r>
        <w:rPr>
          <w:rFonts w:ascii="Calibri" w:eastAsia="Calibri" w:hAnsi="Calibri" w:cs="Calibri"/>
          <w:color w:val="auto"/>
          <w:sz w:val="12"/>
          <w:szCs w:val="12"/>
        </w:rPr>
        <w:t>Skyrizi (risankizumab) is an interleukin-23 (IL-23) inhibitor that selectvely blocks IL-23 by binding to its p19 subunit. It is a biologic therapy approved to treat the following autoimmune diseases in North America, the</w:t>
      </w:r>
    </w:p>
    <w:p>
      <w:pPr>
        <w:spacing w:after="0" w:line="235" w:lineRule="auto"/>
        <w:ind w:left="160"/>
        <w:rPr>
          <w:color w:val="auto"/>
          <w:sz w:val="20"/>
          <w:szCs w:val="20"/>
        </w:rPr>
      </w:pPr>
      <w:r>
        <w:rPr>
          <w:rFonts w:ascii="Calibri" w:eastAsia="Calibri" w:hAnsi="Calibri" w:cs="Calibri"/>
          <w:color w:val="auto"/>
          <w:sz w:val="12"/>
          <w:szCs w:val="12"/>
        </w:rPr>
        <w:t>European Union and Japan:</w:t>
      </w:r>
    </w:p>
    <w:p>
      <w:pPr>
        <w:spacing w:after="0" w:line="25" w:lineRule="exact"/>
        <w:rPr>
          <w:color w:val="auto"/>
          <w:sz w:val="20"/>
          <w:szCs w:val="20"/>
        </w:rPr>
      </w:pPr>
    </w:p>
    <w:tbl>
      <w:tblPr>
        <w:tblInd w:w="160" w:type="dxa"/>
        <w:tblLayout w:type="fixed"/>
        <w:tblCellMar>
          <w:top w:w="0" w:type="dxa"/>
          <w:left w:w="0" w:type="dxa"/>
          <w:bottom w:w="0" w:type="dxa"/>
          <w:right w:w="0" w:type="dxa"/>
        </w:tblCellMar>
      </w:tblPr>
      <w:tblGrid>
        <w:gridCol w:w="3940"/>
        <w:gridCol w:w="6980"/>
      </w:tblGrid>
      <w:tr>
        <w:tblPrEx>
          <w:tblInd w:w="160" w:type="dxa"/>
          <w:tblLayout w:type="fixed"/>
        </w:tblPrEx>
        <w:trPr>
          <w:trHeight w:val="122"/>
        </w:trPr>
        <w:tc>
          <w:tcPr>
            <w:tcW w:w="3940" w:type="dxa"/>
            <w:vAlign w:val="bottom"/>
          </w:tcPr>
          <w:p>
            <w:pPr>
              <w:spacing w:after="0"/>
              <w:rPr>
                <w:color w:val="auto"/>
                <w:sz w:val="20"/>
                <w:szCs w:val="20"/>
              </w:rPr>
            </w:pPr>
            <w:r>
              <w:rPr>
                <w:rFonts w:ascii="Calibri" w:eastAsia="Calibri" w:hAnsi="Calibri" w:cs="Calibri"/>
                <w:b/>
                <w:bCs/>
                <w:color w:val="auto"/>
                <w:sz w:val="10"/>
                <w:szCs w:val="10"/>
              </w:rPr>
              <w:t>Conditon</w:t>
            </w:r>
          </w:p>
        </w:tc>
        <w:tc>
          <w:tcPr>
            <w:tcW w:w="6980" w:type="dxa"/>
            <w:vAlign w:val="bottom"/>
          </w:tcPr>
          <w:p>
            <w:pPr>
              <w:spacing w:after="0"/>
              <w:ind w:left="2120"/>
              <w:rPr>
                <w:color w:val="auto"/>
                <w:sz w:val="20"/>
                <w:szCs w:val="20"/>
              </w:rPr>
            </w:pPr>
            <w:r>
              <w:rPr>
                <w:rFonts w:ascii="Calibri" w:eastAsia="Calibri" w:hAnsi="Calibri" w:cs="Calibri"/>
                <w:b/>
                <w:bCs/>
                <w:color w:val="auto"/>
                <w:sz w:val="10"/>
                <w:szCs w:val="10"/>
              </w:rPr>
              <w:t>Principal Markets</w:t>
            </w:r>
          </w:p>
        </w:tc>
      </w:tr>
      <w:tr>
        <w:tblPrEx>
          <w:tblInd w:w="160" w:type="dxa"/>
          <w:tblLayout w:type="fixed"/>
        </w:tblPrEx>
        <w:trPr>
          <w:trHeight w:val="23"/>
        </w:trPr>
        <w:tc>
          <w:tcPr>
            <w:tcW w:w="3940" w:type="dxa"/>
            <w:tcBorders>
              <w:bottom w:val="single" w:sz="8" w:space="0" w:color="auto"/>
            </w:tcBorders>
            <w:vAlign w:val="bottom"/>
          </w:tcPr>
          <w:p>
            <w:pPr>
              <w:spacing w:after="0"/>
              <w:rPr>
                <w:color w:val="auto"/>
                <w:sz w:val="2"/>
                <w:szCs w:val="2"/>
              </w:rPr>
            </w:pPr>
          </w:p>
        </w:tc>
        <w:tc>
          <w:tcPr>
            <w:tcW w:w="6980" w:type="dxa"/>
            <w:tcBorders>
              <w:bottom w:val="single" w:sz="8" w:space="0" w:color="auto"/>
            </w:tcBorders>
            <w:vAlign w:val="bottom"/>
          </w:tcPr>
          <w:p>
            <w:pPr>
              <w:spacing w:after="0"/>
              <w:rPr>
                <w:color w:val="auto"/>
                <w:sz w:val="2"/>
                <w:szCs w:val="2"/>
              </w:rPr>
            </w:pPr>
          </w:p>
        </w:tc>
      </w:tr>
      <w:tr>
        <w:tblPrEx>
          <w:tblInd w:w="160" w:type="dxa"/>
          <w:tblLayout w:type="fixed"/>
        </w:tblPrEx>
        <w:trPr>
          <w:trHeight w:val="131"/>
        </w:trPr>
        <w:tc>
          <w:tcPr>
            <w:tcW w:w="3940" w:type="dxa"/>
            <w:vAlign w:val="bottom"/>
          </w:tcPr>
          <w:p>
            <w:pPr>
              <w:spacing w:after="0" w:line="131" w:lineRule="exact"/>
              <w:rPr>
                <w:color w:val="auto"/>
                <w:sz w:val="20"/>
                <w:szCs w:val="20"/>
              </w:rPr>
            </w:pPr>
            <w:r>
              <w:rPr>
                <w:rFonts w:ascii="Calibri" w:eastAsia="Calibri" w:hAnsi="Calibri" w:cs="Calibri"/>
                <w:color w:val="auto"/>
                <w:sz w:val="12"/>
                <w:szCs w:val="12"/>
              </w:rPr>
              <w:t>Plaque psoriasis (moderate to severe)</w:t>
            </w:r>
          </w:p>
        </w:tc>
        <w:tc>
          <w:tcPr>
            <w:tcW w:w="6980" w:type="dxa"/>
            <w:vAlign w:val="bottom"/>
          </w:tcPr>
          <w:p>
            <w:pPr>
              <w:spacing w:after="0" w:line="131" w:lineRule="exact"/>
              <w:ind w:left="2120"/>
              <w:rPr>
                <w:color w:val="auto"/>
                <w:sz w:val="20"/>
                <w:szCs w:val="20"/>
              </w:rPr>
            </w:pPr>
            <w:r>
              <w:rPr>
                <w:rFonts w:ascii="Calibri" w:eastAsia="Calibri" w:hAnsi="Calibri" w:cs="Calibri"/>
                <w:color w:val="auto"/>
                <w:sz w:val="12"/>
                <w:szCs w:val="12"/>
              </w:rPr>
              <w:t>North America, European Union, Japan</w:t>
            </w:r>
          </w:p>
        </w:tc>
      </w:tr>
      <w:tr>
        <w:tblPrEx>
          <w:tblInd w:w="160" w:type="dxa"/>
          <w:tblLayout w:type="fixed"/>
        </w:tblPrEx>
        <w:trPr>
          <w:trHeight w:val="156"/>
        </w:trPr>
        <w:tc>
          <w:tcPr>
            <w:tcW w:w="3940" w:type="dxa"/>
            <w:vAlign w:val="bottom"/>
          </w:tcPr>
          <w:p>
            <w:pPr>
              <w:spacing w:after="0"/>
              <w:rPr>
                <w:color w:val="auto"/>
                <w:sz w:val="20"/>
                <w:szCs w:val="20"/>
              </w:rPr>
            </w:pPr>
            <w:r>
              <w:rPr>
                <w:rFonts w:ascii="Calibri" w:eastAsia="Calibri" w:hAnsi="Calibri" w:cs="Calibri"/>
                <w:color w:val="auto"/>
                <w:sz w:val="12"/>
                <w:szCs w:val="12"/>
              </w:rPr>
              <w:t>Psoriatc arthrits</w:t>
            </w:r>
          </w:p>
        </w:tc>
        <w:tc>
          <w:tcPr>
            <w:tcW w:w="6980" w:type="dxa"/>
            <w:vAlign w:val="bottom"/>
          </w:tcPr>
          <w:p>
            <w:pPr>
              <w:spacing w:after="0"/>
              <w:ind w:left="2120"/>
              <w:rPr>
                <w:color w:val="auto"/>
                <w:sz w:val="20"/>
                <w:szCs w:val="20"/>
              </w:rPr>
            </w:pPr>
            <w:r>
              <w:rPr>
                <w:rFonts w:ascii="Calibri" w:eastAsia="Calibri" w:hAnsi="Calibri" w:cs="Calibri"/>
                <w:color w:val="auto"/>
                <w:sz w:val="12"/>
                <w:szCs w:val="12"/>
              </w:rPr>
              <w:t>North America, European Union, Japan</w:t>
            </w:r>
          </w:p>
        </w:tc>
      </w:tr>
      <w:tr>
        <w:tblPrEx>
          <w:tblInd w:w="160" w:type="dxa"/>
          <w:tblLayout w:type="fixed"/>
        </w:tblPrEx>
        <w:trPr>
          <w:trHeight w:val="162"/>
        </w:trPr>
        <w:tc>
          <w:tcPr>
            <w:tcW w:w="3940" w:type="dxa"/>
            <w:vAlign w:val="bottom"/>
          </w:tcPr>
          <w:p>
            <w:pPr>
              <w:spacing w:after="0"/>
              <w:rPr>
                <w:color w:val="auto"/>
                <w:sz w:val="20"/>
                <w:szCs w:val="20"/>
              </w:rPr>
            </w:pPr>
            <w:r>
              <w:rPr>
                <w:rFonts w:ascii="Calibri" w:eastAsia="Calibri" w:hAnsi="Calibri" w:cs="Calibri"/>
                <w:color w:val="auto"/>
                <w:sz w:val="12"/>
                <w:szCs w:val="12"/>
              </w:rPr>
              <w:t>Crohn's disease (moderate to severe)</w:t>
            </w:r>
          </w:p>
        </w:tc>
        <w:tc>
          <w:tcPr>
            <w:tcW w:w="6980" w:type="dxa"/>
            <w:vAlign w:val="bottom"/>
          </w:tcPr>
          <w:p>
            <w:pPr>
              <w:spacing w:after="0"/>
              <w:ind w:left="2120"/>
              <w:rPr>
                <w:color w:val="auto"/>
                <w:sz w:val="20"/>
                <w:szCs w:val="20"/>
              </w:rPr>
            </w:pPr>
            <w:r>
              <w:rPr>
                <w:rFonts w:ascii="Calibri" w:eastAsia="Calibri" w:hAnsi="Calibri" w:cs="Calibri"/>
                <w:color w:val="auto"/>
                <w:sz w:val="12"/>
                <w:szCs w:val="12"/>
              </w:rPr>
              <w:t>North America, European Union, Japan</w:t>
            </w:r>
          </w:p>
        </w:tc>
      </w:tr>
      <w:tr>
        <w:tblPrEx>
          <w:tblInd w:w="160" w:type="dxa"/>
          <w:tblLayout w:type="fixed"/>
        </w:tblPrEx>
        <w:trPr>
          <w:trHeight w:val="162"/>
        </w:trPr>
        <w:tc>
          <w:tcPr>
            <w:tcW w:w="3940" w:type="dxa"/>
            <w:vAlign w:val="bottom"/>
          </w:tcPr>
          <w:p>
            <w:pPr>
              <w:spacing w:after="0"/>
              <w:rPr>
                <w:color w:val="auto"/>
                <w:sz w:val="20"/>
                <w:szCs w:val="20"/>
              </w:rPr>
            </w:pPr>
            <w:r>
              <w:rPr>
                <w:rFonts w:ascii="Calibri" w:eastAsia="Calibri" w:hAnsi="Calibri" w:cs="Calibri"/>
                <w:color w:val="auto"/>
                <w:sz w:val="12"/>
                <w:szCs w:val="12"/>
              </w:rPr>
              <w:t>Ulceratve colits (moderate to severe)</w:t>
            </w:r>
          </w:p>
        </w:tc>
        <w:tc>
          <w:tcPr>
            <w:tcW w:w="6980" w:type="dxa"/>
            <w:vAlign w:val="bottom"/>
          </w:tcPr>
          <w:p>
            <w:pPr>
              <w:spacing w:after="0"/>
              <w:ind w:left="2120"/>
              <w:rPr>
                <w:color w:val="auto"/>
                <w:sz w:val="20"/>
                <w:szCs w:val="20"/>
              </w:rPr>
            </w:pPr>
            <w:r>
              <w:rPr>
                <w:rFonts w:ascii="Calibri" w:eastAsia="Calibri" w:hAnsi="Calibri" w:cs="Calibri"/>
                <w:color w:val="auto"/>
                <w:sz w:val="12"/>
                <w:szCs w:val="12"/>
              </w:rPr>
              <w:t>U.S., Canada, European Union, Japan</w:t>
            </w:r>
          </w:p>
        </w:tc>
      </w:tr>
    </w:tbl>
    <w:p>
      <w:pPr>
        <w:spacing w:after="0" w:line="155" w:lineRule="exact"/>
        <w:rPr>
          <w:color w:val="auto"/>
          <w:sz w:val="20"/>
          <w:szCs w:val="20"/>
        </w:rPr>
      </w:pPr>
    </w:p>
    <w:p>
      <w:pPr>
        <w:spacing w:after="0" w:line="234" w:lineRule="auto"/>
        <w:ind w:left="160" w:right="100" w:firstLine="297"/>
        <w:rPr>
          <w:color w:val="auto"/>
          <w:sz w:val="20"/>
          <w:szCs w:val="20"/>
        </w:rPr>
      </w:pPr>
      <w:r>
        <w:rPr>
          <w:rFonts w:ascii="Calibri" w:eastAsia="Calibri" w:hAnsi="Calibri" w:cs="Calibri"/>
          <w:color w:val="auto"/>
          <w:sz w:val="12"/>
          <w:szCs w:val="12"/>
        </w:rPr>
        <w:t>Skyrizi is also approved in Japan for the treatment of erythrodermic psoriasis in patents who have an inadequate response to conventonal therapies, for generalized pustular psoriasis, and for palmoplantar pustulosis in patents who have an inadequate response to conventonal therapies.</w:t>
      </w:r>
    </w:p>
    <w:p>
      <w:pPr>
        <w:spacing w:after="0" w:line="101" w:lineRule="exact"/>
        <w:rPr>
          <w:color w:val="auto"/>
          <w:sz w:val="20"/>
          <w:szCs w:val="20"/>
        </w:rPr>
      </w:pPr>
    </w:p>
    <w:p>
      <w:pPr>
        <w:spacing w:after="0" w:line="234" w:lineRule="auto"/>
        <w:ind w:left="160" w:right="60" w:firstLine="297"/>
        <w:rPr>
          <w:color w:val="auto"/>
          <w:sz w:val="20"/>
          <w:szCs w:val="20"/>
        </w:rPr>
      </w:pPr>
      <w:r>
        <w:rPr>
          <w:rFonts w:ascii="Calibri" w:eastAsia="Calibri" w:hAnsi="Calibri" w:cs="Calibri"/>
          <w:color w:val="auto"/>
          <w:sz w:val="12"/>
          <w:szCs w:val="12"/>
        </w:rPr>
        <w:t>Skyrizi is approved in multple countries globally, including the United States, Canada and the European Union, for the treatment of moderate to severe plaque psoriasis in adults who are candidates for systemic therapy or phototherapy. In psoriatc disease (psoriasis or psoriatc arthrits), Skyrizi is administered as a quarterly subcutaneous injecton following two inducton doses. When administered for Crohn’s disease and ulceratve colits, Skyrizi is given in three inducton doses via IV infusion, followed by subcutaneous injecton via an on-body injector every eight weeks.</w:t>
      </w:r>
    </w:p>
    <w:p>
      <w:pPr>
        <w:spacing w:after="0" w:line="98" w:lineRule="exact"/>
        <w:rPr>
          <w:color w:val="auto"/>
          <w:sz w:val="20"/>
          <w:szCs w:val="20"/>
        </w:rPr>
      </w:pPr>
    </w:p>
    <w:p>
      <w:pPr>
        <w:spacing w:after="0"/>
        <w:ind w:left="460"/>
        <w:rPr>
          <w:color w:val="auto"/>
          <w:sz w:val="20"/>
          <w:szCs w:val="20"/>
        </w:rPr>
      </w:pPr>
      <w:r>
        <w:rPr>
          <w:rFonts w:ascii="Calibri" w:eastAsia="Calibri" w:hAnsi="Calibri" w:cs="Calibri"/>
          <w:i/>
          <w:iCs/>
          <w:color w:val="auto"/>
          <w:sz w:val="12"/>
          <w:szCs w:val="12"/>
        </w:rPr>
        <w:t>Rinvoq</w:t>
      </w:r>
      <w:r>
        <w:rPr>
          <w:rFonts w:ascii="Calibri" w:eastAsia="Calibri" w:hAnsi="Calibri" w:cs="Calibri"/>
          <w:color w:val="auto"/>
          <w:sz w:val="12"/>
          <w:szCs w:val="12"/>
        </w:rPr>
        <w:t>. Rinvoq (upadacitnib) is an oral, once-daily selectve and reversible JAK inhibitor that is approved to treat the following infammatory diseases in North America, the European Union and Japan:</w:t>
      </w:r>
    </w:p>
    <w:p>
      <w:pPr>
        <w:spacing w:after="0" w:line="106" w:lineRule="exact"/>
        <w:rPr>
          <w:color w:val="auto"/>
          <w:sz w:val="20"/>
          <w:szCs w:val="20"/>
        </w:rPr>
      </w:pPr>
    </w:p>
    <w:p>
      <w:pPr>
        <w:tabs>
          <w:tab w:val="left" w:pos="6200"/>
        </w:tabs>
        <w:spacing w:after="0"/>
        <w:ind w:left="160"/>
        <w:rPr>
          <w:color w:val="auto"/>
          <w:sz w:val="20"/>
          <w:szCs w:val="20"/>
        </w:rPr>
      </w:pPr>
      <w:r>
        <w:rPr>
          <w:rFonts w:ascii="Calibri" w:eastAsia="Calibri" w:hAnsi="Calibri" w:cs="Calibri"/>
          <w:b/>
          <w:bCs/>
          <w:color w:val="auto"/>
          <w:sz w:val="10"/>
          <w:szCs w:val="10"/>
        </w:rPr>
        <w:t>Conditon</w:t>
      </w:r>
      <w:r>
        <w:rPr>
          <w:color w:val="auto"/>
          <w:sz w:val="20"/>
          <w:szCs w:val="20"/>
        </w:rPr>
        <w:tab/>
      </w:r>
      <w:r>
        <w:rPr>
          <w:rFonts w:ascii="Calibri" w:eastAsia="Calibri" w:hAnsi="Calibri" w:cs="Calibri"/>
          <w:b/>
          <w:bCs/>
          <w:color w:val="auto"/>
          <w:sz w:val="10"/>
          <w:szCs w:val="10"/>
        </w:rPr>
        <w:t>Principal Markets</w:t>
      </w:r>
    </w:p>
    <w:p>
      <w:pPr>
        <w:spacing w:after="0" w:line="20" w:lineRule="exact"/>
        <w:rPr>
          <w:color w:val="auto"/>
          <w:sz w:val="20"/>
          <w:szCs w:val="20"/>
        </w:rPr>
      </w:pPr>
      <w:r>
        <w:rPr>
          <w:color w:val="auto"/>
          <w:sz w:val="20"/>
          <w:szCs w:val="20"/>
        </w:rPr>
        <w:drawing>
          <wp:anchor simplePos="0" relativeHeight="251668480" behindDoc="1" locked="0" layoutInCell="0" allowOverlap="1">
            <wp:simplePos x="0" y="0"/>
            <wp:positionH relativeFrom="column">
              <wp:posOffset>97790</wp:posOffset>
            </wp:positionH>
            <wp:positionV relativeFrom="paragraph">
              <wp:posOffset>20320</wp:posOffset>
            </wp:positionV>
            <wp:extent cx="6949440" cy="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949440" cy="571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p>
      <w:pPr>
        <w:spacing w:after="0" w:line="31" w:lineRule="exact"/>
        <w:rPr>
          <w:color w:val="auto"/>
          <w:sz w:val="20"/>
          <w:szCs w:val="20"/>
        </w:rPr>
      </w:pPr>
    </w:p>
    <w:p>
      <w:pPr>
        <w:spacing w:after="0"/>
        <w:ind w:left="160"/>
        <w:rPr>
          <w:color w:val="auto"/>
          <w:sz w:val="20"/>
          <w:szCs w:val="20"/>
        </w:rPr>
      </w:pPr>
      <w:r>
        <w:rPr>
          <w:rFonts w:ascii="Calibri" w:eastAsia="Calibri" w:hAnsi="Calibri" w:cs="Calibri"/>
          <w:color w:val="auto"/>
          <w:sz w:val="12"/>
          <w:szCs w:val="12"/>
        </w:rPr>
        <w:t>Rheumatoid arthrits (moderate to severe)</w:t>
      </w:r>
    </w:p>
    <w:p>
      <w:pPr>
        <w:spacing w:after="0" w:line="7" w:lineRule="exact"/>
        <w:rPr>
          <w:color w:val="auto"/>
          <w:sz w:val="20"/>
          <w:szCs w:val="20"/>
        </w:rPr>
      </w:pPr>
    </w:p>
    <w:p>
      <w:pPr>
        <w:spacing w:after="0"/>
        <w:ind w:left="160"/>
        <w:rPr>
          <w:color w:val="auto"/>
          <w:sz w:val="20"/>
          <w:szCs w:val="20"/>
        </w:rPr>
      </w:pPr>
      <w:r>
        <w:rPr>
          <w:rFonts w:ascii="Calibri" w:eastAsia="Calibri" w:hAnsi="Calibri" w:cs="Calibri"/>
          <w:color w:val="auto"/>
          <w:sz w:val="12"/>
          <w:szCs w:val="12"/>
        </w:rPr>
        <w:t>Psoriatc arthrits</w:t>
      </w:r>
    </w:p>
    <w:p>
      <w:pPr>
        <w:spacing w:after="0" w:line="7" w:lineRule="exact"/>
        <w:rPr>
          <w:color w:val="auto"/>
          <w:sz w:val="20"/>
          <w:szCs w:val="20"/>
        </w:rPr>
      </w:pPr>
    </w:p>
    <w:p>
      <w:pPr>
        <w:spacing w:after="0"/>
        <w:ind w:left="160"/>
        <w:rPr>
          <w:color w:val="auto"/>
          <w:sz w:val="20"/>
          <w:szCs w:val="20"/>
        </w:rPr>
      </w:pPr>
      <w:r>
        <w:rPr>
          <w:rFonts w:ascii="Calibri" w:eastAsia="Calibri" w:hAnsi="Calibri" w:cs="Calibri"/>
          <w:color w:val="auto"/>
          <w:sz w:val="12"/>
          <w:szCs w:val="12"/>
        </w:rPr>
        <w:t>Ankylosing spondylits</w:t>
      </w:r>
    </w:p>
    <w:p>
      <w:pPr>
        <w:spacing w:after="0" w:line="7" w:lineRule="exact"/>
        <w:rPr>
          <w:color w:val="auto"/>
          <w:sz w:val="20"/>
          <w:szCs w:val="20"/>
        </w:rPr>
      </w:pPr>
    </w:p>
    <w:p>
      <w:pPr>
        <w:spacing w:after="0"/>
        <w:ind w:left="160"/>
        <w:rPr>
          <w:color w:val="auto"/>
          <w:sz w:val="20"/>
          <w:szCs w:val="20"/>
        </w:rPr>
      </w:pPr>
      <w:r>
        <w:rPr>
          <w:rFonts w:ascii="Calibri" w:eastAsia="Calibri" w:hAnsi="Calibri" w:cs="Calibri"/>
          <w:color w:val="auto"/>
          <w:sz w:val="12"/>
          <w:szCs w:val="12"/>
        </w:rPr>
        <w:t>Atopic dermatts (moderate to severe)</w:t>
      </w:r>
    </w:p>
    <w:p>
      <w:pPr>
        <w:spacing w:after="0" w:line="7" w:lineRule="exact"/>
        <w:rPr>
          <w:color w:val="auto"/>
          <w:sz w:val="20"/>
          <w:szCs w:val="20"/>
        </w:rPr>
      </w:pPr>
    </w:p>
    <w:p>
      <w:pPr>
        <w:spacing w:after="0"/>
        <w:ind w:left="160"/>
        <w:rPr>
          <w:color w:val="auto"/>
          <w:sz w:val="20"/>
          <w:szCs w:val="20"/>
        </w:rPr>
      </w:pPr>
      <w:r>
        <w:rPr>
          <w:rFonts w:ascii="Calibri" w:eastAsia="Calibri" w:hAnsi="Calibri" w:cs="Calibri"/>
          <w:color w:val="auto"/>
          <w:sz w:val="12"/>
          <w:szCs w:val="12"/>
        </w:rPr>
        <w:t>Non-radiographic axial spondyloarthrits</w:t>
      </w:r>
    </w:p>
    <w:p>
      <w:pPr>
        <w:spacing w:after="0" w:line="7" w:lineRule="exact"/>
        <w:rPr>
          <w:color w:val="auto"/>
          <w:sz w:val="20"/>
          <w:szCs w:val="20"/>
        </w:rPr>
      </w:pPr>
    </w:p>
    <w:p>
      <w:pPr>
        <w:spacing w:after="0"/>
        <w:ind w:left="160"/>
        <w:rPr>
          <w:color w:val="auto"/>
          <w:sz w:val="20"/>
          <w:szCs w:val="20"/>
        </w:rPr>
      </w:pPr>
      <w:r>
        <w:rPr>
          <w:rFonts w:ascii="Calibri" w:eastAsia="Calibri" w:hAnsi="Calibri" w:cs="Calibri"/>
          <w:color w:val="auto"/>
          <w:sz w:val="12"/>
          <w:szCs w:val="12"/>
        </w:rPr>
        <w:t>Ulceratve colits (moderate to severe)</w:t>
      </w:r>
    </w:p>
    <w:p>
      <w:pPr>
        <w:spacing w:after="0" w:line="7" w:lineRule="exact"/>
        <w:rPr>
          <w:color w:val="auto"/>
          <w:sz w:val="20"/>
          <w:szCs w:val="20"/>
        </w:rPr>
      </w:pPr>
    </w:p>
    <w:p>
      <w:pPr>
        <w:spacing w:after="0"/>
        <w:ind w:left="160"/>
        <w:rPr>
          <w:color w:val="auto"/>
          <w:sz w:val="20"/>
          <w:szCs w:val="20"/>
        </w:rPr>
      </w:pPr>
      <w:r>
        <w:rPr>
          <w:rFonts w:ascii="Calibri" w:eastAsia="Calibri" w:hAnsi="Calibri" w:cs="Calibri"/>
          <w:color w:val="auto"/>
          <w:sz w:val="12"/>
          <w:szCs w:val="12"/>
        </w:rPr>
        <w:t>Crohn's disease (moderate to severe)</w:t>
      </w:r>
    </w:p>
    <w:p>
      <w:pPr>
        <w:spacing w:after="0" w:line="16" w:lineRule="exact"/>
        <w:rPr>
          <w:color w:val="auto"/>
          <w:sz w:val="20"/>
          <w:szCs w:val="20"/>
        </w:rPr>
      </w:pPr>
    </w:p>
    <w:p>
      <w:pPr>
        <w:spacing w:after="0"/>
        <w:ind w:left="160"/>
        <w:rPr>
          <w:color w:val="auto"/>
          <w:sz w:val="20"/>
          <w:szCs w:val="20"/>
        </w:rPr>
      </w:pPr>
      <w:r>
        <w:rPr>
          <w:rFonts w:ascii="Calibri" w:eastAsia="Calibri" w:hAnsi="Calibri" w:cs="Calibri"/>
          <w:color w:val="auto"/>
          <w:sz w:val="12"/>
          <w:szCs w:val="12"/>
        </w:rPr>
        <w:t>Actve polyartcular juvenile idiopathic arthrits</w:t>
      </w:r>
    </w:p>
    <w:p>
      <w:pPr>
        <w:spacing w:after="0" w:line="20" w:lineRule="exact"/>
        <w:rPr>
          <w:color w:val="auto"/>
          <w:sz w:val="20"/>
          <w:szCs w:val="20"/>
        </w:rPr>
      </w:pPr>
      <w:r>
        <w:rPr>
          <w:color w:val="auto"/>
          <w:sz w:val="20"/>
          <w:szCs w:val="20"/>
        </w:rPr>
        <w:br w:type="column"/>
      </w:r>
    </w:p>
    <w:p>
      <w:pPr>
        <w:spacing w:after="0" w:line="15" w:lineRule="exact"/>
        <w:rPr>
          <w:color w:val="auto"/>
          <w:sz w:val="20"/>
          <w:szCs w:val="20"/>
        </w:rPr>
      </w:pPr>
    </w:p>
    <w:p>
      <w:pPr>
        <w:spacing w:after="0"/>
        <w:rPr>
          <w:color w:val="auto"/>
          <w:sz w:val="20"/>
          <w:szCs w:val="20"/>
        </w:rPr>
      </w:pPr>
      <w:r>
        <w:rPr>
          <w:rFonts w:ascii="Calibri" w:eastAsia="Calibri" w:hAnsi="Calibri" w:cs="Calibri"/>
          <w:color w:val="auto"/>
          <w:sz w:val="11"/>
          <w:szCs w:val="11"/>
        </w:rPr>
        <w:t>North America, European Union, Japan</w:t>
      </w:r>
    </w:p>
    <w:p>
      <w:pPr>
        <w:spacing w:after="0" w:line="19" w:lineRule="exact"/>
        <w:rPr>
          <w:color w:val="auto"/>
          <w:sz w:val="20"/>
          <w:szCs w:val="20"/>
        </w:rPr>
      </w:pPr>
    </w:p>
    <w:p>
      <w:pPr>
        <w:spacing w:after="0"/>
        <w:rPr>
          <w:color w:val="auto"/>
          <w:sz w:val="20"/>
          <w:szCs w:val="20"/>
        </w:rPr>
      </w:pPr>
      <w:r>
        <w:rPr>
          <w:rFonts w:ascii="Calibri" w:eastAsia="Calibri" w:hAnsi="Calibri" w:cs="Calibri"/>
          <w:color w:val="auto"/>
          <w:sz w:val="11"/>
          <w:szCs w:val="11"/>
        </w:rPr>
        <w:t>North America, European Union, Japan</w:t>
      </w:r>
    </w:p>
    <w:p>
      <w:pPr>
        <w:spacing w:after="0" w:line="19" w:lineRule="exact"/>
        <w:rPr>
          <w:color w:val="auto"/>
          <w:sz w:val="20"/>
          <w:szCs w:val="20"/>
        </w:rPr>
      </w:pPr>
    </w:p>
    <w:p>
      <w:pPr>
        <w:spacing w:after="0"/>
        <w:rPr>
          <w:color w:val="auto"/>
          <w:sz w:val="20"/>
          <w:szCs w:val="20"/>
        </w:rPr>
      </w:pPr>
      <w:r>
        <w:rPr>
          <w:rFonts w:ascii="Calibri" w:eastAsia="Calibri" w:hAnsi="Calibri" w:cs="Calibri"/>
          <w:color w:val="auto"/>
          <w:sz w:val="11"/>
          <w:szCs w:val="11"/>
        </w:rPr>
        <w:t>North America, European Union, Japan</w:t>
      </w:r>
    </w:p>
    <w:p>
      <w:pPr>
        <w:spacing w:after="0" w:line="19" w:lineRule="exact"/>
        <w:rPr>
          <w:color w:val="auto"/>
          <w:sz w:val="20"/>
          <w:szCs w:val="20"/>
        </w:rPr>
      </w:pPr>
    </w:p>
    <w:p>
      <w:pPr>
        <w:spacing w:after="0"/>
        <w:rPr>
          <w:color w:val="auto"/>
          <w:sz w:val="20"/>
          <w:szCs w:val="20"/>
        </w:rPr>
      </w:pPr>
      <w:r>
        <w:rPr>
          <w:rFonts w:ascii="Calibri" w:eastAsia="Calibri" w:hAnsi="Calibri" w:cs="Calibri"/>
          <w:color w:val="auto"/>
          <w:sz w:val="11"/>
          <w:szCs w:val="11"/>
        </w:rPr>
        <w:t>North America, European Union, Japan</w:t>
      </w:r>
    </w:p>
    <w:p>
      <w:pPr>
        <w:spacing w:after="0" w:line="14" w:lineRule="exact"/>
        <w:rPr>
          <w:color w:val="auto"/>
          <w:sz w:val="20"/>
          <w:szCs w:val="20"/>
        </w:rPr>
      </w:pPr>
    </w:p>
    <w:p>
      <w:pPr>
        <w:spacing w:after="0"/>
        <w:rPr>
          <w:color w:val="auto"/>
          <w:sz w:val="20"/>
          <w:szCs w:val="20"/>
        </w:rPr>
      </w:pPr>
      <w:r>
        <w:rPr>
          <w:rFonts w:ascii="Calibri" w:eastAsia="Calibri" w:hAnsi="Calibri" w:cs="Calibri"/>
          <w:color w:val="auto"/>
          <w:sz w:val="12"/>
          <w:szCs w:val="12"/>
        </w:rPr>
        <w:t>U.S., Canada, European Union, Japan</w:t>
      </w:r>
    </w:p>
    <w:p>
      <w:pPr>
        <w:spacing w:after="0" w:line="11" w:lineRule="exact"/>
        <w:rPr>
          <w:color w:val="auto"/>
          <w:sz w:val="20"/>
          <w:szCs w:val="20"/>
        </w:rPr>
      </w:pPr>
    </w:p>
    <w:p>
      <w:pPr>
        <w:spacing w:after="0"/>
        <w:rPr>
          <w:color w:val="auto"/>
          <w:sz w:val="20"/>
          <w:szCs w:val="20"/>
        </w:rPr>
      </w:pPr>
      <w:r>
        <w:rPr>
          <w:rFonts w:ascii="Calibri" w:eastAsia="Calibri" w:hAnsi="Calibri" w:cs="Calibri"/>
          <w:color w:val="auto"/>
          <w:sz w:val="11"/>
          <w:szCs w:val="11"/>
        </w:rPr>
        <w:t>North America, European Union, Japan</w:t>
      </w:r>
    </w:p>
    <w:p>
      <w:pPr>
        <w:spacing w:after="0" w:line="14" w:lineRule="exact"/>
        <w:rPr>
          <w:color w:val="auto"/>
          <w:sz w:val="20"/>
          <w:szCs w:val="20"/>
        </w:rPr>
      </w:pPr>
    </w:p>
    <w:p>
      <w:pPr>
        <w:spacing w:after="0"/>
        <w:rPr>
          <w:color w:val="auto"/>
          <w:sz w:val="20"/>
          <w:szCs w:val="20"/>
        </w:rPr>
      </w:pPr>
      <w:r>
        <w:rPr>
          <w:rFonts w:ascii="Calibri" w:eastAsia="Calibri" w:hAnsi="Calibri" w:cs="Calibri"/>
          <w:color w:val="auto"/>
          <w:sz w:val="12"/>
          <w:szCs w:val="12"/>
        </w:rPr>
        <w:t>U.S., Canada, European Union, Japan</w:t>
      </w:r>
    </w:p>
    <w:p>
      <w:pPr>
        <w:spacing w:after="0" w:line="16" w:lineRule="exact"/>
        <w:rPr>
          <w:color w:val="auto"/>
          <w:sz w:val="20"/>
          <w:szCs w:val="20"/>
        </w:rPr>
      </w:pPr>
    </w:p>
    <w:p>
      <w:pPr>
        <w:spacing w:after="0"/>
        <w:rPr>
          <w:color w:val="auto"/>
          <w:sz w:val="20"/>
          <w:szCs w:val="20"/>
        </w:rPr>
      </w:pPr>
      <w:r>
        <w:rPr>
          <w:rFonts w:ascii="Calibri" w:eastAsia="Calibri" w:hAnsi="Calibri" w:cs="Calibri"/>
          <w:color w:val="auto"/>
          <w:sz w:val="12"/>
          <w:szCs w:val="12"/>
        </w:rPr>
        <w:t>U.S.</w:t>
      </w:r>
    </w:p>
    <w:p>
      <w:pPr>
        <w:spacing w:after="0" w:line="173" w:lineRule="exact"/>
        <w:rPr>
          <w:color w:val="auto"/>
          <w:sz w:val="20"/>
          <w:szCs w:val="20"/>
        </w:rPr>
      </w:pPr>
    </w:p>
    <w:p>
      <w:pPr>
        <w:sectPr>
          <w:type w:val="continuous"/>
          <w:pgSz w:w="11900" w:h="16838" w:orient="portrait"/>
          <w:pgMar w:top="759" w:right="299" w:bottom="1440" w:left="300" w:header="0" w:footer="0" w:gutter="0"/>
          <w:cols w:num="2" w:space="720" w:equalWidth="0">
            <w:col w:w="5500" w:space="720"/>
            <w:col w:w="5080" w:space="0"/>
          </w:cols>
        </w:sectPr>
      </w:pPr>
    </w:p>
    <w:p>
      <w:pPr>
        <w:spacing w:after="0" w:line="235" w:lineRule="auto"/>
        <w:ind w:left="160" w:right="260" w:firstLine="297"/>
        <w:rPr>
          <w:color w:val="auto"/>
          <w:sz w:val="20"/>
          <w:szCs w:val="20"/>
        </w:rPr>
      </w:pPr>
      <w:r>
        <w:rPr>
          <w:rFonts w:ascii="Calibri" w:eastAsia="Calibri" w:hAnsi="Calibri" w:cs="Calibri"/>
          <w:color w:val="auto"/>
          <w:sz w:val="12"/>
          <w:szCs w:val="12"/>
        </w:rPr>
        <w:t>In the United States, Rinvoq is indicated for the treatment of moderate to severe actve rheumatoid arthrits, for actve psoriatc arthrits in adults and children 2 years of age and older, for moderate to severe actve ulceratve colits, for actve ankylosing spondylits and for actve non-radiographic axial spondyloarthrits in adult patents who have an inadequate response or intolerance to one or more TNF blockers. It is also indicated for the treatment of Crohn's disease in adult patents who have an inadequate response or intolerance to one or more TNF blockers and for moderate to severe atopic dermatts in adults and children 12 years of age and older whose disease is not adequately controlled with other systemic drug products, including biologics, or when use of those therapies are inadvisable.</w:t>
      </w:r>
    </w:p>
    <w:p>
      <w:pPr>
        <w:spacing w:after="0" w:line="92" w:lineRule="exact"/>
        <w:rPr>
          <w:color w:val="auto"/>
          <w:sz w:val="20"/>
          <w:szCs w:val="20"/>
        </w:rPr>
      </w:pPr>
    </w:p>
    <w:p>
      <w:pPr>
        <w:spacing w:after="0" w:line="234" w:lineRule="auto"/>
        <w:ind w:left="160" w:right="60" w:firstLine="297"/>
        <w:jc w:val="both"/>
        <w:rPr>
          <w:color w:val="auto"/>
          <w:sz w:val="20"/>
          <w:szCs w:val="20"/>
        </w:rPr>
      </w:pPr>
      <w:r>
        <w:rPr>
          <w:rFonts w:ascii="Calibri" w:eastAsia="Calibri" w:hAnsi="Calibri" w:cs="Calibri"/>
          <w:color w:val="auto"/>
          <w:sz w:val="12"/>
          <w:szCs w:val="12"/>
        </w:rPr>
        <w:t>In the European Union, Rinvoq is indicated for the treatment of moderate to severe rheumatoid arthrits in adults, for actve psoriatc arthrits in adults who have an inadequate response or intolerance to disease-modifying ant-rheumatc medicines (DMARDs), and for actve axial spondyloarthrits in adults. It is also indicated for the treatment of Crohn's disease in adult patents who have an inadequate response or intolerance to one or more TNF blockers and for moderate to severe atopic dermatts in adults and children 12 years of age and older, and for moderately to severely actve ulceratve colits in adults.</w:t>
      </w:r>
    </w:p>
    <w:p>
      <w:pPr>
        <w:spacing w:after="0" w:line="103" w:lineRule="exact"/>
        <w:rPr>
          <w:color w:val="auto"/>
          <w:sz w:val="20"/>
          <w:szCs w:val="20"/>
        </w:rPr>
      </w:pPr>
    </w:p>
    <w:p>
      <w:pPr>
        <w:spacing w:after="0" w:line="234" w:lineRule="auto"/>
        <w:ind w:left="160" w:right="500" w:firstLine="297"/>
        <w:rPr>
          <w:color w:val="auto"/>
          <w:sz w:val="20"/>
          <w:szCs w:val="20"/>
        </w:rPr>
      </w:pPr>
      <w:r>
        <w:rPr>
          <w:rFonts w:ascii="Calibri" w:eastAsia="Calibri" w:hAnsi="Calibri" w:cs="Calibri"/>
          <w:color w:val="auto"/>
          <w:sz w:val="12"/>
          <w:szCs w:val="12"/>
        </w:rPr>
        <w:t>RINVOQ is sold in numerous other markets worldwide, including China, Brazil, and Australia. In the United States, a liquid formulaton (RINVOQ LQ) is also approved for use in pediatric patents with psoriatc arthrits and polyartcular juvenile idiopathic arthrits.</w:t>
      </w:r>
    </w:p>
    <w:p>
      <w:pPr>
        <w:spacing w:after="0" w:line="20" w:lineRule="exact"/>
        <w:rPr>
          <w:color w:val="auto"/>
          <w:sz w:val="20"/>
          <w:szCs w:val="20"/>
        </w:rPr>
      </w:pPr>
      <w:r>
        <w:rPr>
          <w:color w:val="auto"/>
          <w:sz w:val="20"/>
          <w:szCs w:val="20"/>
        </w:rPr>
        <w:drawing>
          <wp:anchor simplePos="0" relativeHeight="251669504" behindDoc="1" locked="0" layoutInCell="0" allowOverlap="1">
            <wp:simplePos x="0" y="0"/>
            <wp:positionH relativeFrom="column">
              <wp:posOffset>6475730</wp:posOffset>
            </wp:positionH>
            <wp:positionV relativeFrom="paragraph">
              <wp:posOffset>576580</wp:posOffset>
            </wp:positionV>
            <wp:extent cx="400050" cy="7429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23" w:lineRule="exact"/>
        <w:rPr>
          <w:color w:val="auto"/>
          <w:sz w:val="20"/>
          <w:szCs w:val="20"/>
        </w:rPr>
      </w:pPr>
    </w:p>
    <w:tbl>
      <w:tblPr>
        <w:tblInd w:w="0" w:type="dxa"/>
        <w:tblLayout w:type="fixed"/>
        <w:tblCellMar>
          <w:top w:w="0" w:type="dxa"/>
          <w:left w:w="0" w:type="dxa"/>
          <w:bottom w:w="0" w:type="dxa"/>
          <w:right w:w="0" w:type="dxa"/>
        </w:tblCellMar>
      </w:tblPr>
      <w:tblGrid>
        <w:gridCol w:w="10700"/>
        <w:gridCol w:w="600"/>
      </w:tblGrid>
      <w:tr>
        <w:tblPrEx>
          <w:tblInd w:w="0" w:type="dxa"/>
          <w:tblLayout w:type="fixed"/>
        </w:tblPrEx>
        <w:trPr>
          <w:trHeight w:val="146"/>
        </w:trPr>
        <w:tc>
          <w:tcPr>
            <w:tcW w:w="1070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00" w:type="dxa"/>
            <w:vAlign w:val="bottom"/>
          </w:tcPr>
          <w:p>
            <w:pPr>
              <w:spacing w:after="0"/>
              <w:jc w:val="right"/>
              <w:rPr>
                <w:color w:val="auto"/>
                <w:sz w:val="20"/>
                <w:szCs w:val="20"/>
              </w:rPr>
            </w:pPr>
            <w:r>
              <w:rPr>
                <w:rFonts w:ascii="Calibri" w:eastAsia="Calibri" w:hAnsi="Calibri" w:cs="Calibri"/>
                <w:b/>
                <w:bCs/>
                <w:i/>
                <w:iCs/>
                <w:color w:val="auto"/>
                <w:sz w:val="12"/>
                <w:szCs w:val="12"/>
              </w:rPr>
              <w:t>2</w:t>
            </w:r>
          </w:p>
        </w:tc>
      </w:tr>
      <w:tr>
        <w:tblPrEx>
          <w:tblInd w:w="0" w:type="dxa"/>
          <w:tblLayout w:type="fixed"/>
        </w:tblPrEx>
        <w:trPr>
          <w:trHeight w:val="152"/>
        </w:trPr>
        <w:tc>
          <w:tcPr>
            <w:tcW w:w="10700" w:type="dxa"/>
            <w:tcBorders>
              <w:bottom w:val="single" w:sz="8" w:space="0" w:color="9A9A9A"/>
            </w:tcBorders>
            <w:vAlign w:val="bottom"/>
          </w:tcPr>
          <w:p>
            <w:pPr>
              <w:spacing w:after="0"/>
              <w:rPr>
                <w:color w:val="auto"/>
                <w:sz w:val="13"/>
                <w:szCs w:val="13"/>
              </w:rPr>
            </w:pPr>
          </w:p>
        </w:tc>
        <w:tc>
          <w:tcPr>
            <w:tcW w:w="60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670528" behindDoc="1" locked="0" layoutInCell="0" allowOverlap="1">
            <wp:simplePos x="0" y="0"/>
            <wp:positionH relativeFrom="column">
              <wp:posOffset>7154545</wp:posOffset>
            </wp:positionH>
            <wp:positionV relativeFrom="paragraph">
              <wp:posOffset>-23495</wp:posOffset>
            </wp:positionV>
            <wp:extent cx="31115" cy="3683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71552" behindDoc="1" locked="0" layoutInCell="0" allowOverlap="1">
            <wp:simplePos x="0" y="0"/>
            <wp:positionH relativeFrom="column">
              <wp:posOffset>-17145</wp:posOffset>
            </wp:positionH>
            <wp:positionV relativeFrom="paragraph">
              <wp:posOffset>-23495</wp:posOffset>
            </wp:positionV>
            <wp:extent cx="31115" cy="3683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type w:val="continuous"/>
          <w:pgSz w:w="11900" w:h="16838" w:orient="portrait"/>
          <w:pgMar w:top="759" w:right="299" w:bottom="1440" w:left="300" w:header="0" w:footer="0" w:gutter="0"/>
          <w:cols w:num="1" w:space="720" w:equalWidth="0">
            <w:col w:w="11300" w:space="0"/>
          </w:cols>
        </w:sectPr>
      </w:pPr>
    </w:p>
    <w:bookmarkStart w:id="4" w:name="page5"/>
    <w:bookmarkEnd w:id="4"/>
    <w:p>
      <w:pPr>
        <w:spacing w:after="0"/>
        <w:ind w:left="200"/>
        <w:rPr>
          <w:color w:val="auto"/>
          <w:sz w:val="20"/>
          <w:szCs w:val="20"/>
        </w:rPr>
      </w:pPr>
      <w:r>
        <w:rPr>
          <w:rFonts w:ascii="Calibri" w:eastAsia="Calibri" w:hAnsi="Calibri" w:cs="Calibri"/>
          <w:b/>
          <w:bCs/>
          <w:i/>
          <w:iCs/>
          <w:color w:val="444867"/>
          <w:sz w:val="12"/>
          <w:szCs w:val="12"/>
        </w:rPr>
        <w:t xml:space="preserve">Oncology products. </w:t>
      </w:r>
      <w:r>
        <w:rPr>
          <w:rFonts w:ascii="Calibri" w:eastAsia="Calibri" w:hAnsi="Calibri" w:cs="Calibri"/>
          <w:color w:val="000000"/>
          <w:sz w:val="12"/>
          <w:szCs w:val="12"/>
        </w:rPr>
        <w:t>AbbVie’s oncology products target some of the most complex and difcult-to-treat cancers. These products are:</w:t>
      </w:r>
    </w:p>
    <w:p>
      <w:pPr>
        <w:spacing w:after="0" w:line="92" w:lineRule="exact"/>
        <w:rPr>
          <w:color w:val="auto"/>
          <w:sz w:val="20"/>
          <w:szCs w:val="20"/>
        </w:rPr>
      </w:pPr>
    </w:p>
    <w:p>
      <w:pPr>
        <w:spacing w:after="0" w:line="235" w:lineRule="auto"/>
        <w:ind w:left="160" w:right="40" w:firstLine="297"/>
        <w:rPr>
          <w:color w:val="auto"/>
          <w:sz w:val="20"/>
          <w:szCs w:val="20"/>
        </w:rPr>
      </w:pPr>
      <w:r>
        <w:rPr>
          <w:rFonts w:ascii="Calibri" w:eastAsia="Calibri" w:hAnsi="Calibri" w:cs="Calibri"/>
          <w:i/>
          <w:iCs/>
          <w:color w:val="auto"/>
          <w:sz w:val="12"/>
          <w:szCs w:val="12"/>
        </w:rPr>
        <w:t xml:space="preserve">Imbruvica. </w:t>
      </w:r>
      <w:r>
        <w:rPr>
          <w:rFonts w:ascii="Calibri" w:eastAsia="Calibri" w:hAnsi="Calibri" w:cs="Calibri"/>
          <w:color w:val="auto"/>
          <w:sz w:val="12"/>
          <w:szCs w:val="12"/>
        </w:rPr>
        <w:t>Imbruvica (ibrutnib) is an oral, once-daily therapy that inhibits a protein called Bruton's tyrosine kinase. Imbruvica was one of the frst medicines to receive a United States Food and Drug Administraton (FDA) approval</w:t>
      </w:r>
      <w:r>
        <w:rPr>
          <w:rFonts w:ascii="Calibri" w:eastAsia="Calibri" w:hAnsi="Calibri" w:cs="Calibri"/>
          <w:i/>
          <w:iCs/>
          <w:color w:val="auto"/>
          <w:sz w:val="12"/>
          <w:szCs w:val="12"/>
        </w:rPr>
        <w:t xml:space="preserve"> </w:t>
      </w:r>
      <w:r>
        <w:rPr>
          <w:rFonts w:ascii="Calibri" w:eastAsia="Calibri" w:hAnsi="Calibri" w:cs="Calibri"/>
          <w:color w:val="auto"/>
          <w:sz w:val="12"/>
          <w:szCs w:val="12"/>
        </w:rPr>
        <w:t>afer being granted a Breakthrough Therapy Designaton and is one of the few therapies to receive four separate designatons. Imbruvica currently is approved for the treatment of adult patents with blood cancers such as chronic lymphocytc leukemia (CLL), as well as certain forms of non-Hodgkin lymphoma. Imbruvica is approved in adult and pediatric patents one year and older with chronic graf versus host disease afer failure of one or more lines of systemic therapy.</w:t>
      </w:r>
    </w:p>
    <w:p>
      <w:pPr>
        <w:spacing w:after="0" w:line="101" w:lineRule="exact"/>
        <w:rPr>
          <w:color w:val="auto"/>
          <w:sz w:val="20"/>
          <w:szCs w:val="20"/>
        </w:rPr>
      </w:pPr>
    </w:p>
    <w:p>
      <w:pPr>
        <w:spacing w:after="0" w:line="234" w:lineRule="auto"/>
        <w:ind w:left="160" w:right="180" w:firstLine="297"/>
        <w:rPr>
          <w:color w:val="auto"/>
          <w:sz w:val="20"/>
          <w:szCs w:val="20"/>
        </w:rPr>
      </w:pPr>
      <w:r>
        <w:rPr>
          <w:rFonts w:ascii="Calibri" w:eastAsia="Calibri" w:hAnsi="Calibri" w:cs="Calibri"/>
          <w:i/>
          <w:iCs/>
          <w:color w:val="auto"/>
          <w:sz w:val="12"/>
          <w:szCs w:val="12"/>
        </w:rPr>
        <w:t xml:space="preserve">Venclexta/Venclyxto. </w:t>
      </w:r>
      <w:r>
        <w:rPr>
          <w:rFonts w:ascii="Calibri" w:eastAsia="Calibri" w:hAnsi="Calibri" w:cs="Calibri"/>
          <w:color w:val="auto"/>
          <w:sz w:val="12"/>
          <w:szCs w:val="12"/>
        </w:rPr>
        <w:t>Venclexta (venetoclax) is a B-cell lymphoma 2 (BCL-2) inhibitor used to treat blood cancers. Venclexta is approved by the FDA for adults with CLL or small lymphocytc lymphoma. In additon, Venclexta is</w:t>
      </w:r>
      <w:r>
        <w:rPr>
          <w:rFonts w:ascii="Calibri" w:eastAsia="Calibri" w:hAnsi="Calibri" w:cs="Calibri"/>
          <w:i/>
          <w:iCs/>
          <w:color w:val="auto"/>
          <w:sz w:val="12"/>
          <w:szCs w:val="12"/>
        </w:rPr>
        <w:t xml:space="preserve"> </w:t>
      </w:r>
      <w:r>
        <w:rPr>
          <w:rFonts w:ascii="Calibri" w:eastAsia="Calibri" w:hAnsi="Calibri" w:cs="Calibri"/>
          <w:color w:val="auto"/>
          <w:sz w:val="12"/>
          <w:szCs w:val="12"/>
        </w:rPr>
        <w:t>approved in combinaton with azacitdine, or decitabine, or low-dose cytarabine to treat adults with newly-diagnosed acute myeloid leukemia who are 75 years of age or older or have other medical conditons that prevent the use of standard chemotherapy.</w:t>
      </w:r>
    </w:p>
    <w:p>
      <w:pPr>
        <w:spacing w:after="0" w:line="103" w:lineRule="exact"/>
        <w:rPr>
          <w:color w:val="auto"/>
          <w:sz w:val="20"/>
          <w:szCs w:val="20"/>
        </w:rPr>
      </w:pPr>
    </w:p>
    <w:p>
      <w:pPr>
        <w:spacing w:after="0" w:line="234" w:lineRule="auto"/>
        <w:ind w:left="160" w:firstLine="297"/>
        <w:rPr>
          <w:color w:val="auto"/>
          <w:sz w:val="20"/>
          <w:szCs w:val="20"/>
        </w:rPr>
      </w:pPr>
      <w:r>
        <w:rPr>
          <w:rFonts w:ascii="Calibri" w:eastAsia="Calibri" w:hAnsi="Calibri" w:cs="Calibri"/>
          <w:i/>
          <w:iCs/>
          <w:color w:val="auto"/>
          <w:sz w:val="12"/>
          <w:szCs w:val="12"/>
        </w:rPr>
        <w:t xml:space="preserve">Elahere. </w:t>
      </w:r>
      <w:r>
        <w:rPr>
          <w:rFonts w:ascii="Calibri" w:eastAsia="Calibri" w:hAnsi="Calibri" w:cs="Calibri"/>
          <w:color w:val="auto"/>
          <w:sz w:val="12"/>
          <w:szCs w:val="12"/>
        </w:rPr>
        <w:t>Elahere (mirvetuximab soravtansine-gynx) is an antbody-drug conjugate (ADC) used to treat certain types of cancer. Elahere is approved in both the United States and the European Union for the treatment of adult</w:t>
      </w:r>
      <w:r>
        <w:rPr>
          <w:rFonts w:ascii="Calibri" w:eastAsia="Calibri" w:hAnsi="Calibri" w:cs="Calibri"/>
          <w:i/>
          <w:iCs/>
          <w:color w:val="auto"/>
          <w:sz w:val="12"/>
          <w:szCs w:val="12"/>
        </w:rPr>
        <w:t xml:space="preserve"> </w:t>
      </w:r>
      <w:r>
        <w:rPr>
          <w:rFonts w:ascii="Calibri" w:eastAsia="Calibri" w:hAnsi="Calibri" w:cs="Calibri"/>
          <w:color w:val="auto"/>
          <w:sz w:val="12"/>
          <w:szCs w:val="12"/>
        </w:rPr>
        <w:t>patents with FRα positve, platnum-resistant epithelial ovarian, fallopian tube, or primary peritoneal cancer, who have received one to three prior systemic treatment regimens.</w:t>
      </w:r>
    </w:p>
    <w:p>
      <w:pPr>
        <w:spacing w:after="0" w:line="92" w:lineRule="exact"/>
        <w:rPr>
          <w:color w:val="auto"/>
          <w:sz w:val="20"/>
          <w:szCs w:val="20"/>
        </w:rPr>
      </w:pPr>
    </w:p>
    <w:p>
      <w:pPr>
        <w:spacing w:after="0" w:line="234" w:lineRule="auto"/>
        <w:ind w:left="160" w:right="20" w:firstLine="297"/>
        <w:rPr>
          <w:color w:val="auto"/>
          <w:sz w:val="20"/>
          <w:szCs w:val="20"/>
        </w:rPr>
      </w:pPr>
      <w:r>
        <w:rPr>
          <w:rFonts w:ascii="Calibri" w:eastAsia="Calibri" w:hAnsi="Calibri" w:cs="Calibri"/>
          <w:i/>
          <w:iCs/>
          <w:color w:val="auto"/>
          <w:sz w:val="12"/>
          <w:szCs w:val="12"/>
        </w:rPr>
        <w:t>Epkinly</w:t>
      </w:r>
      <w:r>
        <w:rPr>
          <w:rFonts w:ascii="Calibri" w:eastAsia="Calibri" w:hAnsi="Calibri" w:cs="Calibri"/>
          <w:color w:val="auto"/>
          <w:sz w:val="12"/>
          <w:szCs w:val="12"/>
        </w:rPr>
        <w:t>. Epkinly (epcoritamab) is a product used to treat adults with certain types of difuse large B-cell lymphoma (DLBCL) and high-grade B-cell lymphoma that has recurred or that does not respond to previous treatment afer</w:t>
      </w:r>
      <w:r>
        <w:rPr>
          <w:rFonts w:ascii="Calibri" w:eastAsia="Calibri" w:hAnsi="Calibri" w:cs="Calibri"/>
          <w:i/>
          <w:iCs/>
          <w:color w:val="auto"/>
          <w:sz w:val="12"/>
          <w:szCs w:val="12"/>
        </w:rPr>
        <w:t xml:space="preserve"> </w:t>
      </w:r>
      <w:r>
        <w:rPr>
          <w:rFonts w:ascii="Calibri" w:eastAsia="Calibri" w:hAnsi="Calibri" w:cs="Calibri"/>
          <w:color w:val="auto"/>
          <w:sz w:val="12"/>
          <w:szCs w:val="12"/>
        </w:rPr>
        <w:t>receiving two or more treatments. Epkinly is administered as a subcutaneous injecton. Epkinly is also approved to treat adults with relapsed or refractory follicular lymphoma.</w:t>
      </w:r>
    </w:p>
    <w:p>
      <w:pPr>
        <w:spacing w:after="0" w:line="101" w:lineRule="exact"/>
        <w:rPr>
          <w:color w:val="auto"/>
          <w:sz w:val="20"/>
          <w:szCs w:val="20"/>
        </w:rPr>
      </w:pPr>
    </w:p>
    <w:p>
      <w:pPr>
        <w:spacing w:after="0" w:line="234" w:lineRule="auto"/>
        <w:ind w:left="200" w:right="40"/>
        <w:rPr>
          <w:color w:val="auto"/>
          <w:sz w:val="20"/>
          <w:szCs w:val="20"/>
        </w:rPr>
      </w:pPr>
      <w:r>
        <w:rPr>
          <w:rFonts w:ascii="Calibri" w:eastAsia="Calibri" w:hAnsi="Calibri" w:cs="Calibri"/>
          <w:b/>
          <w:bCs/>
          <w:i/>
          <w:iCs/>
          <w:color w:val="444867"/>
          <w:sz w:val="12"/>
          <w:szCs w:val="12"/>
        </w:rPr>
        <w:t xml:space="preserve">Aesthetcs products. </w:t>
      </w:r>
      <w:r>
        <w:rPr>
          <w:rFonts w:ascii="Calibri" w:eastAsia="Calibri" w:hAnsi="Calibri" w:cs="Calibri"/>
          <w:color w:val="000000"/>
          <w:sz w:val="12"/>
          <w:szCs w:val="12"/>
        </w:rPr>
        <w:t>AbbVie’s Aesthetcs portolio consists of facial injectables, plastcs and regeneratve medicine, body contouring and skincare products, which hold market-leading positons in the U.S. and in key markets around the</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world. These products are:</w:t>
      </w:r>
    </w:p>
    <w:p>
      <w:pPr>
        <w:spacing w:after="0" w:line="101" w:lineRule="exact"/>
        <w:rPr>
          <w:color w:val="auto"/>
          <w:sz w:val="20"/>
          <w:szCs w:val="20"/>
        </w:rPr>
      </w:pPr>
    </w:p>
    <w:p>
      <w:pPr>
        <w:spacing w:after="0" w:line="234" w:lineRule="auto"/>
        <w:ind w:left="160" w:right="20" w:firstLine="297"/>
        <w:rPr>
          <w:color w:val="auto"/>
          <w:sz w:val="20"/>
          <w:szCs w:val="20"/>
        </w:rPr>
      </w:pPr>
      <w:r>
        <w:rPr>
          <w:rFonts w:ascii="Calibri" w:eastAsia="Calibri" w:hAnsi="Calibri" w:cs="Calibri"/>
          <w:i/>
          <w:iCs/>
          <w:color w:val="auto"/>
          <w:sz w:val="12"/>
          <w:szCs w:val="12"/>
        </w:rPr>
        <w:t xml:space="preserve">Botox Cosmetc. </w:t>
      </w:r>
      <w:r>
        <w:rPr>
          <w:rFonts w:ascii="Calibri" w:eastAsia="Calibri" w:hAnsi="Calibri" w:cs="Calibri"/>
          <w:color w:val="auto"/>
          <w:sz w:val="12"/>
          <w:szCs w:val="12"/>
        </w:rPr>
        <w:t>Botox Cosmetc is an acetylcholine release inhibitor and a neuromuscular blocking agent indicated for treatment in four areas: temporary improvement in the appearance of moderate to severe glabellar lines</w:t>
      </w:r>
      <w:r>
        <w:rPr>
          <w:rFonts w:ascii="Calibri" w:eastAsia="Calibri" w:hAnsi="Calibri" w:cs="Calibri"/>
          <w:i/>
          <w:iCs/>
          <w:color w:val="auto"/>
          <w:sz w:val="12"/>
          <w:szCs w:val="12"/>
        </w:rPr>
        <w:t xml:space="preserve"> </w:t>
      </w:r>
      <w:r>
        <w:rPr>
          <w:rFonts w:ascii="Calibri" w:eastAsia="Calibri" w:hAnsi="Calibri" w:cs="Calibri"/>
          <w:color w:val="auto"/>
          <w:sz w:val="12"/>
          <w:szCs w:val="12"/>
        </w:rPr>
        <w:t>(frown lines between the eyebrows), moderate to severe crow's feet, moderate to severe forehead lines in adults and moderate to severe platysma bands. Botox Cosmetc is approved for use in all major markets around the world and is approved for the treatment of masseter muscle prominence in China.</w:t>
      </w:r>
    </w:p>
    <w:p>
      <w:pPr>
        <w:spacing w:after="0" w:line="94" w:lineRule="exact"/>
        <w:rPr>
          <w:color w:val="auto"/>
          <w:sz w:val="20"/>
          <w:szCs w:val="20"/>
        </w:rPr>
      </w:pPr>
    </w:p>
    <w:p>
      <w:pPr>
        <w:spacing w:after="0" w:line="234" w:lineRule="auto"/>
        <w:ind w:left="160" w:right="100" w:firstLine="297"/>
        <w:rPr>
          <w:color w:val="auto"/>
          <w:sz w:val="20"/>
          <w:szCs w:val="20"/>
        </w:rPr>
      </w:pPr>
      <w:r>
        <w:rPr>
          <w:rFonts w:ascii="Calibri" w:eastAsia="Calibri" w:hAnsi="Calibri" w:cs="Calibri"/>
          <w:i/>
          <w:iCs/>
          <w:color w:val="auto"/>
          <w:sz w:val="12"/>
          <w:szCs w:val="12"/>
        </w:rPr>
        <w:t xml:space="preserve">The Juvederm Collecton of Fillers. </w:t>
      </w:r>
      <w:r>
        <w:rPr>
          <w:rFonts w:ascii="Calibri" w:eastAsia="Calibri" w:hAnsi="Calibri" w:cs="Calibri"/>
          <w:color w:val="auto"/>
          <w:sz w:val="12"/>
          <w:szCs w:val="12"/>
        </w:rPr>
        <w:t>The Juvederm Collecton of Fillers is a portolio of hyaluronic acid-based dermal fllers with a variety of approved indicatons in the U.S. and in other major markets around the world to augment</w:t>
      </w:r>
      <w:r>
        <w:rPr>
          <w:rFonts w:ascii="Calibri" w:eastAsia="Calibri" w:hAnsi="Calibri" w:cs="Calibri"/>
          <w:i/>
          <w:iCs/>
          <w:color w:val="auto"/>
          <w:sz w:val="12"/>
          <w:szCs w:val="12"/>
        </w:rPr>
        <w:t xml:space="preserve"> </w:t>
      </w:r>
      <w:r>
        <w:rPr>
          <w:rFonts w:ascii="Calibri" w:eastAsia="Calibri" w:hAnsi="Calibri" w:cs="Calibri"/>
          <w:color w:val="auto"/>
          <w:sz w:val="12"/>
          <w:szCs w:val="12"/>
        </w:rPr>
        <w:t>or treat volume loss in the temples, undereye, cheeks, chin, lips and lower face.</w:t>
      </w:r>
    </w:p>
    <w:p>
      <w:pPr>
        <w:spacing w:after="0" w:line="101" w:lineRule="exact"/>
        <w:rPr>
          <w:color w:val="auto"/>
          <w:sz w:val="20"/>
          <w:szCs w:val="20"/>
        </w:rPr>
      </w:pPr>
    </w:p>
    <w:p>
      <w:pPr>
        <w:spacing w:after="0" w:line="234" w:lineRule="auto"/>
        <w:ind w:left="160" w:right="160" w:firstLine="297"/>
        <w:rPr>
          <w:color w:val="auto"/>
          <w:sz w:val="20"/>
          <w:szCs w:val="20"/>
        </w:rPr>
      </w:pPr>
      <w:r>
        <w:rPr>
          <w:rFonts w:ascii="Calibri" w:eastAsia="Calibri" w:hAnsi="Calibri" w:cs="Calibri"/>
          <w:i/>
          <w:iCs/>
          <w:color w:val="auto"/>
          <w:sz w:val="12"/>
          <w:szCs w:val="12"/>
        </w:rPr>
        <w:t xml:space="preserve">Other aesthetcs. </w:t>
      </w:r>
      <w:r>
        <w:rPr>
          <w:rFonts w:ascii="Calibri" w:eastAsia="Calibri" w:hAnsi="Calibri" w:cs="Calibri"/>
          <w:color w:val="auto"/>
          <w:sz w:val="12"/>
          <w:szCs w:val="12"/>
        </w:rPr>
        <w:t>Other aesthetcs products include, but are not limited to, Alloderm regeneratve dermal tssue, CoolSculptng body contouring technology, Natrelle breast implants, the SkinMedica skincare line, Latsse eyelash</w:t>
      </w:r>
      <w:r>
        <w:rPr>
          <w:rFonts w:ascii="Calibri" w:eastAsia="Calibri" w:hAnsi="Calibri" w:cs="Calibri"/>
          <w:i/>
          <w:iCs/>
          <w:color w:val="auto"/>
          <w:sz w:val="12"/>
          <w:szCs w:val="12"/>
        </w:rPr>
        <w:t xml:space="preserve"> </w:t>
      </w:r>
      <w:r>
        <w:rPr>
          <w:rFonts w:ascii="Calibri" w:eastAsia="Calibri" w:hAnsi="Calibri" w:cs="Calibri"/>
          <w:color w:val="auto"/>
          <w:sz w:val="12"/>
          <w:szCs w:val="12"/>
        </w:rPr>
        <w:t>soluton and DiamondGlow dermabrasion technology.</w:t>
      </w:r>
    </w:p>
    <w:p>
      <w:pPr>
        <w:spacing w:after="0" w:line="97" w:lineRule="exact"/>
        <w:rPr>
          <w:color w:val="auto"/>
          <w:sz w:val="20"/>
          <w:szCs w:val="20"/>
        </w:rPr>
      </w:pPr>
    </w:p>
    <w:p>
      <w:pPr>
        <w:spacing w:after="0"/>
        <w:ind w:left="380"/>
        <w:rPr>
          <w:color w:val="auto"/>
          <w:sz w:val="20"/>
          <w:szCs w:val="20"/>
        </w:rPr>
      </w:pPr>
      <w:r>
        <w:rPr>
          <w:rFonts w:ascii="Calibri" w:eastAsia="Calibri" w:hAnsi="Calibri" w:cs="Calibri"/>
          <w:b/>
          <w:bCs/>
          <w:i/>
          <w:iCs/>
          <w:color w:val="444867"/>
          <w:sz w:val="12"/>
          <w:szCs w:val="12"/>
        </w:rPr>
        <w:t xml:space="preserve">Neuroscience products. </w:t>
      </w:r>
      <w:r>
        <w:rPr>
          <w:rFonts w:ascii="Calibri" w:eastAsia="Calibri" w:hAnsi="Calibri" w:cs="Calibri"/>
          <w:color w:val="000000"/>
          <w:sz w:val="12"/>
          <w:szCs w:val="12"/>
        </w:rPr>
        <w:t>AbbVie’s neuroscience products address some of the most difcult-to-treat neurologic diseases. These products are:</w:t>
      </w:r>
    </w:p>
    <w:p>
      <w:pPr>
        <w:spacing w:after="0" w:line="92" w:lineRule="exact"/>
        <w:rPr>
          <w:color w:val="auto"/>
          <w:sz w:val="20"/>
          <w:szCs w:val="20"/>
        </w:rPr>
      </w:pPr>
    </w:p>
    <w:p>
      <w:pPr>
        <w:spacing w:after="0" w:line="235" w:lineRule="auto"/>
        <w:ind w:left="160" w:right="260" w:firstLine="297"/>
        <w:rPr>
          <w:color w:val="auto"/>
          <w:sz w:val="20"/>
          <w:szCs w:val="20"/>
        </w:rPr>
      </w:pPr>
      <w:r>
        <w:rPr>
          <w:rFonts w:ascii="Calibri" w:eastAsia="Calibri" w:hAnsi="Calibri" w:cs="Calibri"/>
          <w:i/>
          <w:iCs/>
          <w:color w:val="auto"/>
          <w:sz w:val="12"/>
          <w:szCs w:val="12"/>
        </w:rPr>
        <w:t xml:space="preserve">Botox Therapeutc. </w:t>
      </w:r>
      <w:r>
        <w:rPr>
          <w:rFonts w:ascii="Calibri" w:eastAsia="Calibri" w:hAnsi="Calibri" w:cs="Calibri"/>
          <w:color w:val="auto"/>
          <w:sz w:val="12"/>
          <w:szCs w:val="12"/>
        </w:rPr>
        <w:t>Botox Therapeutc (onabotulinumtoxinA injecton) is an acetylcholine release inhibitor and a neuromuscular blocking agent that is injected into muscle tssue. In the United States, it is approved to treat</w:t>
      </w:r>
      <w:r>
        <w:rPr>
          <w:rFonts w:ascii="Calibri" w:eastAsia="Calibri" w:hAnsi="Calibri" w:cs="Calibri"/>
          <w:i/>
          <w:iCs/>
          <w:color w:val="auto"/>
          <w:sz w:val="12"/>
          <w:szCs w:val="12"/>
        </w:rPr>
        <w:t xml:space="preserve"> </w:t>
      </w:r>
      <w:r>
        <w:rPr>
          <w:rFonts w:ascii="Calibri" w:eastAsia="Calibri" w:hAnsi="Calibri" w:cs="Calibri"/>
          <w:color w:val="auto"/>
          <w:sz w:val="12"/>
          <w:szCs w:val="12"/>
        </w:rPr>
        <w:t>numerous indicatons, including chronic migraine, overactve bladder in adults who have an inadequate response to an antcholinergic medicaton, and urinary incontnence due to detrusor overactvity associated with a neurologic conditon in adults who have an inadequate response to an antcholinergic medicaton. In additon, Botox Therapeutc is approved to treat spastcity in patents two years of age and older, cervical dystonia in adults, as well as other conditons. Botox is marketed in other countries around the world and licenses will vary. Botox Therapeutc is marketed by GSK in Japan.</w:t>
      </w:r>
    </w:p>
    <w:p>
      <w:pPr>
        <w:spacing w:after="0" w:line="101" w:lineRule="exact"/>
        <w:rPr>
          <w:color w:val="auto"/>
          <w:sz w:val="20"/>
          <w:szCs w:val="20"/>
        </w:rPr>
      </w:pPr>
    </w:p>
    <w:p>
      <w:pPr>
        <w:spacing w:after="0" w:line="234" w:lineRule="auto"/>
        <w:ind w:left="160" w:right="80" w:firstLine="270"/>
        <w:rPr>
          <w:color w:val="auto"/>
          <w:sz w:val="20"/>
          <w:szCs w:val="20"/>
        </w:rPr>
      </w:pPr>
      <w:r>
        <w:rPr>
          <w:rFonts w:ascii="Calibri" w:eastAsia="Calibri" w:hAnsi="Calibri" w:cs="Calibri"/>
          <w:i/>
          <w:iCs/>
          <w:color w:val="auto"/>
          <w:sz w:val="12"/>
          <w:szCs w:val="12"/>
        </w:rPr>
        <w:t xml:space="preserve">Vraylar. </w:t>
      </w:r>
      <w:r>
        <w:rPr>
          <w:rFonts w:ascii="Calibri" w:eastAsia="Calibri" w:hAnsi="Calibri" w:cs="Calibri"/>
          <w:color w:val="auto"/>
          <w:sz w:val="12"/>
          <w:szCs w:val="12"/>
        </w:rPr>
        <w:t>Vraylar (cariprazine) is a dopamine D3-preferring D3/D2 receptor partal agonist and a 5-HT1A receptor partal agonist. Vraylar is indicated for acute and maintenance treatment of schizophrenia in adults, acute treatment</w:t>
      </w:r>
      <w:r>
        <w:rPr>
          <w:rFonts w:ascii="Calibri" w:eastAsia="Calibri" w:hAnsi="Calibri" w:cs="Calibri"/>
          <w:i/>
          <w:iCs/>
          <w:color w:val="auto"/>
          <w:sz w:val="12"/>
          <w:szCs w:val="12"/>
        </w:rPr>
        <w:t xml:space="preserve"> </w:t>
      </w:r>
      <w:r>
        <w:rPr>
          <w:rFonts w:ascii="Calibri" w:eastAsia="Calibri" w:hAnsi="Calibri" w:cs="Calibri"/>
          <w:color w:val="auto"/>
          <w:sz w:val="12"/>
          <w:szCs w:val="12"/>
        </w:rPr>
        <w:t>of manic or mixed episodes associated with bipolar disorder in adults, acute treatment of depressive episodes associated with bipolar I disorder in adults and as an adjunctve treatment in major depressive disorder.</w:t>
      </w:r>
    </w:p>
    <w:p>
      <w:pPr>
        <w:spacing w:after="0" w:line="101" w:lineRule="exact"/>
        <w:rPr>
          <w:color w:val="auto"/>
          <w:sz w:val="20"/>
          <w:szCs w:val="20"/>
        </w:rPr>
      </w:pPr>
    </w:p>
    <w:p>
      <w:pPr>
        <w:spacing w:after="0" w:line="234" w:lineRule="auto"/>
        <w:ind w:left="160" w:right="260" w:firstLine="270"/>
        <w:rPr>
          <w:color w:val="auto"/>
          <w:sz w:val="20"/>
          <w:szCs w:val="20"/>
        </w:rPr>
      </w:pPr>
      <w:r>
        <w:rPr>
          <w:rFonts w:ascii="Calibri" w:eastAsia="Calibri" w:hAnsi="Calibri" w:cs="Calibri"/>
          <w:i/>
          <w:iCs/>
          <w:color w:val="auto"/>
          <w:sz w:val="12"/>
          <w:szCs w:val="12"/>
        </w:rPr>
        <w:t xml:space="preserve">Duopa and Duodopa </w:t>
      </w:r>
      <w:r>
        <w:rPr>
          <w:rFonts w:ascii="Calibri" w:eastAsia="Calibri" w:hAnsi="Calibri" w:cs="Calibri"/>
          <w:color w:val="auto"/>
          <w:sz w:val="12"/>
          <w:szCs w:val="12"/>
        </w:rPr>
        <w:t>(carbidopa and levodopa). AbbVie's levodopa-carbidopa intestnal gel for the treatment of advanced Parkinson's disease is marketed as Duopa in the United States and as Duodopa outside of the United</w:t>
      </w:r>
      <w:r>
        <w:rPr>
          <w:rFonts w:ascii="Calibri" w:eastAsia="Calibri" w:hAnsi="Calibri" w:cs="Calibri"/>
          <w:i/>
          <w:iCs/>
          <w:color w:val="auto"/>
          <w:sz w:val="12"/>
          <w:szCs w:val="12"/>
        </w:rPr>
        <w:t xml:space="preserve"> </w:t>
      </w:r>
      <w:r>
        <w:rPr>
          <w:rFonts w:ascii="Calibri" w:eastAsia="Calibri" w:hAnsi="Calibri" w:cs="Calibri"/>
          <w:color w:val="auto"/>
          <w:sz w:val="12"/>
          <w:szCs w:val="12"/>
        </w:rPr>
        <w:t>States.</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3</w:t>
      </w:r>
      <w:r>
        <w:rPr>
          <w:color w:val="auto"/>
          <w:sz w:val="20"/>
          <w:szCs w:val="20"/>
        </w:rPr>
        <w:tab/>
      </w:r>
      <w:r>
        <w:rPr>
          <w:color w:val="auto"/>
          <w:sz w:val="1"/>
          <w:szCs w:val="1"/>
        </w:rPr>
        <w:drawing>
          <wp:inline distT="0" distB="0" distL="0" distR="0">
            <wp:extent cx="400050" cy="742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672576" behindDoc="1" locked="0" layoutInCell="0" allowOverlap="1">
            <wp:simplePos x="0" y="0"/>
            <wp:positionH relativeFrom="column">
              <wp:posOffset>-17145</wp:posOffset>
            </wp:positionH>
            <wp:positionV relativeFrom="paragraph">
              <wp:posOffset>128270</wp:posOffset>
            </wp:positionV>
            <wp:extent cx="7203440" cy="3683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5" w:name="page6"/>
    <w:bookmarkEnd w:id="5"/>
    <w:p>
      <w:pPr>
        <w:spacing w:after="0" w:line="234" w:lineRule="auto"/>
        <w:ind w:left="160" w:right="280" w:firstLine="297"/>
        <w:rPr>
          <w:color w:val="auto"/>
          <w:sz w:val="20"/>
          <w:szCs w:val="20"/>
        </w:rPr>
      </w:pPr>
      <w:r>
        <w:rPr>
          <w:rFonts w:ascii="Calibri" w:eastAsia="Calibri" w:hAnsi="Calibri" w:cs="Calibri"/>
          <w:i/>
          <w:iCs/>
          <w:color w:val="auto"/>
          <w:sz w:val="12"/>
          <w:szCs w:val="12"/>
        </w:rPr>
        <w:t xml:space="preserve">Ubrelvy. </w:t>
      </w:r>
      <w:r>
        <w:rPr>
          <w:rFonts w:ascii="MS PGothic" w:eastAsia="MS PGothic" w:hAnsi="MS PGothic" w:cs="MS PGothic"/>
          <w:color w:val="auto"/>
          <w:sz w:val="12"/>
          <w:szCs w:val="12"/>
        </w:rPr>
        <w:t>Ubrelvy (ubrogepant) is a calcitonin gene-related peptde receptor antagonist indicated for the acute treatment of migraine with or without aura in adults. Ubrelvy is commercialized in the United States, Israel, Saudi</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Arabia, United Arab Emirates and Canada.</w:t>
      </w:r>
    </w:p>
    <w:p>
      <w:pPr>
        <w:spacing w:after="0" w:line="92" w:lineRule="exact"/>
        <w:rPr>
          <w:color w:val="auto"/>
          <w:sz w:val="20"/>
          <w:szCs w:val="20"/>
        </w:rPr>
      </w:pPr>
    </w:p>
    <w:p>
      <w:pPr>
        <w:spacing w:after="0" w:line="234" w:lineRule="auto"/>
        <w:ind w:left="160" w:right="200" w:firstLine="297"/>
        <w:rPr>
          <w:color w:val="auto"/>
          <w:sz w:val="20"/>
          <w:szCs w:val="20"/>
        </w:rPr>
      </w:pPr>
      <w:r>
        <w:rPr>
          <w:rFonts w:ascii="Calibri" w:eastAsia="Calibri" w:hAnsi="Calibri" w:cs="Calibri"/>
          <w:i/>
          <w:iCs/>
          <w:color w:val="auto"/>
          <w:sz w:val="12"/>
          <w:szCs w:val="12"/>
        </w:rPr>
        <w:t xml:space="preserve">Qulipta. </w:t>
      </w:r>
      <w:r>
        <w:rPr>
          <w:rFonts w:ascii="MS PGothic" w:eastAsia="MS PGothic" w:hAnsi="MS PGothic" w:cs="MS PGothic"/>
          <w:color w:val="auto"/>
          <w:sz w:val="12"/>
          <w:szCs w:val="12"/>
        </w:rPr>
        <w:t>Qulipta (atogepant) is a calcitonin gene-related peptde receptor antagonist indicated for the preventve treatment of episodic and chronic migraine in adults. Qulipta is commercialized in the United States and Canada</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and is approved in the European Union under the brand name Aquipta.</w:t>
      </w:r>
    </w:p>
    <w:p>
      <w:pPr>
        <w:spacing w:after="0" w:line="101" w:lineRule="exact"/>
        <w:rPr>
          <w:color w:val="auto"/>
          <w:sz w:val="20"/>
          <w:szCs w:val="20"/>
        </w:rPr>
      </w:pPr>
    </w:p>
    <w:p>
      <w:pPr>
        <w:spacing w:after="0" w:line="234" w:lineRule="auto"/>
        <w:ind w:left="160" w:right="160" w:firstLine="297"/>
        <w:rPr>
          <w:color w:val="auto"/>
          <w:sz w:val="20"/>
          <w:szCs w:val="20"/>
        </w:rPr>
      </w:pPr>
      <w:r>
        <w:rPr>
          <w:rFonts w:ascii="Calibri" w:eastAsia="Calibri" w:hAnsi="Calibri" w:cs="Calibri"/>
          <w:i/>
          <w:iCs/>
          <w:color w:val="auto"/>
          <w:sz w:val="12"/>
          <w:szCs w:val="12"/>
        </w:rPr>
        <w:t xml:space="preserve">Other neuroscience. </w:t>
      </w:r>
      <w:r>
        <w:rPr>
          <w:rFonts w:ascii="MS PGothic" w:eastAsia="MS PGothic" w:hAnsi="MS PGothic" w:cs="MS PGothic"/>
          <w:color w:val="auto"/>
          <w:sz w:val="12"/>
          <w:szCs w:val="12"/>
        </w:rPr>
        <w:t>Other neuroscience products include Vyalev/Produodopa, a subcutaneous 24-hour infusion of levodopa-based therapy approved for the treatment of motor fuctuatons in adults with advanced Parkinson's</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disease, as well as other products.</w:t>
      </w:r>
    </w:p>
    <w:p>
      <w:pPr>
        <w:spacing w:after="0" w:line="97" w:lineRule="exact"/>
        <w:rPr>
          <w:color w:val="auto"/>
          <w:sz w:val="20"/>
          <w:szCs w:val="20"/>
        </w:rPr>
      </w:pPr>
    </w:p>
    <w:p>
      <w:pPr>
        <w:spacing w:after="0"/>
        <w:ind w:left="200"/>
        <w:rPr>
          <w:color w:val="auto"/>
          <w:sz w:val="20"/>
          <w:szCs w:val="20"/>
        </w:rPr>
      </w:pPr>
      <w:r>
        <w:rPr>
          <w:rFonts w:ascii="Calibri" w:eastAsia="Calibri" w:hAnsi="Calibri" w:cs="Calibri"/>
          <w:b/>
          <w:bCs/>
          <w:i/>
          <w:iCs/>
          <w:color w:val="444867"/>
          <w:sz w:val="12"/>
          <w:szCs w:val="12"/>
        </w:rPr>
        <w:t xml:space="preserve">Eye care products. </w:t>
      </w:r>
      <w:r>
        <w:rPr>
          <w:rFonts w:ascii="MS PGothic" w:eastAsia="MS PGothic" w:hAnsi="MS PGothic" w:cs="MS PGothic"/>
          <w:color w:val="000000"/>
          <w:sz w:val="12"/>
          <w:szCs w:val="12"/>
        </w:rPr>
        <w:t>AbbVie’s eye care products address unmet needs and new approaches to help preserve and protect patents’ vision. These products are:</w:t>
      </w:r>
    </w:p>
    <w:p>
      <w:pPr>
        <w:spacing w:after="0" w:line="92" w:lineRule="exact"/>
        <w:rPr>
          <w:color w:val="auto"/>
          <w:sz w:val="20"/>
          <w:szCs w:val="20"/>
        </w:rPr>
      </w:pPr>
    </w:p>
    <w:p>
      <w:pPr>
        <w:spacing w:after="0" w:line="314" w:lineRule="auto"/>
        <w:ind w:left="160" w:right="80" w:firstLine="270"/>
        <w:rPr>
          <w:color w:val="auto"/>
          <w:sz w:val="20"/>
          <w:szCs w:val="20"/>
        </w:rPr>
      </w:pPr>
      <w:r>
        <w:rPr>
          <w:rFonts w:ascii="Calibri" w:eastAsia="Calibri" w:hAnsi="Calibri" w:cs="Calibri"/>
          <w:i/>
          <w:iCs/>
          <w:color w:val="auto"/>
          <w:sz w:val="11"/>
          <w:szCs w:val="11"/>
        </w:rPr>
        <w:t>Ozurdex</w:t>
      </w:r>
      <w:r>
        <w:rPr>
          <w:rFonts w:ascii="MS PGothic" w:eastAsia="MS PGothic" w:hAnsi="MS PGothic" w:cs="MS PGothic"/>
          <w:color w:val="auto"/>
          <w:sz w:val="11"/>
          <w:szCs w:val="11"/>
        </w:rPr>
        <w:t>. Ozurdex (dexamethasone intravitreal implant) is a cortcosteroid implant that slowly releases medicaton over tme. Injected directly into the back of the eye, it dissolves naturally and does not need to be removed.</w:t>
      </w:r>
      <w:r>
        <w:rPr>
          <w:rFonts w:ascii="Calibri" w:eastAsia="Calibri" w:hAnsi="Calibri" w:cs="Calibri"/>
          <w:i/>
          <w:iCs/>
          <w:color w:val="auto"/>
          <w:sz w:val="11"/>
          <w:szCs w:val="11"/>
        </w:rPr>
        <w:t xml:space="preserve"> </w:t>
      </w:r>
      <w:r>
        <w:rPr>
          <w:rFonts w:ascii="MS PGothic" w:eastAsia="MS PGothic" w:hAnsi="MS PGothic" w:cs="MS PGothic"/>
          <w:color w:val="auto"/>
          <w:sz w:val="11"/>
          <w:szCs w:val="11"/>
        </w:rPr>
        <w:t>Ozurdex is indicated for the treatment of adult patents with visual impairment due to diabetc macular oedema (DME), adult patents with macular oedema following either Branch Retnal Vein Occlusion (BRVO) or Central Retnal Vein Occlusion (CRVO) and patents with infammaton of the posterior segment of the eye presentng as non-infectous uveits. Ozurdex® is commercially available in the United States and numerous markets around the world.</w:t>
      </w:r>
    </w:p>
    <w:p>
      <w:pPr>
        <w:spacing w:after="0" w:line="67" w:lineRule="exact"/>
        <w:rPr>
          <w:color w:val="auto"/>
          <w:sz w:val="20"/>
          <w:szCs w:val="20"/>
        </w:rPr>
      </w:pPr>
    </w:p>
    <w:p>
      <w:pPr>
        <w:spacing w:after="0" w:line="255" w:lineRule="auto"/>
        <w:ind w:left="160" w:right="40" w:firstLine="297"/>
        <w:rPr>
          <w:color w:val="auto"/>
          <w:sz w:val="20"/>
          <w:szCs w:val="20"/>
        </w:rPr>
      </w:pPr>
      <w:r>
        <w:rPr>
          <w:rFonts w:ascii="Calibri" w:eastAsia="Calibri" w:hAnsi="Calibri" w:cs="Calibri"/>
          <w:i/>
          <w:iCs/>
          <w:color w:val="auto"/>
          <w:sz w:val="12"/>
          <w:szCs w:val="12"/>
        </w:rPr>
        <w:t xml:space="preserve">Lumigan/Ganfort. </w:t>
      </w:r>
      <w:r>
        <w:rPr>
          <w:rFonts w:ascii="MS PGothic" w:eastAsia="MS PGothic" w:hAnsi="MS PGothic" w:cs="MS PGothic"/>
          <w:color w:val="auto"/>
          <w:sz w:val="12"/>
          <w:szCs w:val="12"/>
        </w:rPr>
        <w:t>Lumigan (bimatoprost ophthalmic soluton) 0.01% is a once daily, topical prostaglandin analog indicated for the reducton of elevated intraocular pressure (IOP) in patents with open angle glaucoma (OAG) or</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ocular hypertension (OHT). Ganfort is a once daily topical fxed combinaton of bimatoprost 0.03% and tmolol 0.5% for the reducton of IOP in adult patents with OAG or OHT. Lumigan is sold in the United States and numerous markets around the world, while Ganfort is approved in the European Union and some markets in South America, the Middle East and Asia.</w:t>
      </w:r>
    </w:p>
    <w:p>
      <w:pPr>
        <w:spacing w:after="0" w:line="92" w:lineRule="exact"/>
        <w:rPr>
          <w:color w:val="auto"/>
          <w:sz w:val="20"/>
          <w:szCs w:val="20"/>
        </w:rPr>
      </w:pPr>
    </w:p>
    <w:p>
      <w:pPr>
        <w:spacing w:after="0" w:line="255" w:lineRule="auto"/>
        <w:ind w:left="160" w:right="360" w:firstLine="297"/>
        <w:rPr>
          <w:color w:val="auto"/>
          <w:sz w:val="20"/>
          <w:szCs w:val="20"/>
        </w:rPr>
      </w:pPr>
      <w:r>
        <w:rPr>
          <w:rFonts w:ascii="Calibri" w:eastAsia="Calibri" w:hAnsi="Calibri" w:cs="Calibri"/>
          <w:i/>
          <w:iCs/>
          <w:color w:val="auto"/>
          <w:sz w:val="12"/>
          <w:szCs w:val="12"/>
        </w:rPr>
        <w:t xml:space="preserve">Alphagan/Combigan. </w:t>
      </w:r>
      <w:r>
        <w:rPr>
          <w:rFonts w:ascii="MS PGothic" w:eastAsia="MS PGothic" w:hAnsi="MS PGothic" w:cs="MS PGothic"/>
          <w:color w:val="auto"/>
          <w:sz w:val="12"/>
          <w:szCs w:val="12"/>
        </w:rPr>
        <w:t>Alphagan (brimonidine tartrate ophthalmic soluton) is an alpha-adrenergic receptor agonist indicated for the reducton of elevated IOP in patents with open-angle glaucoma or ocular hypertension.</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Combigan (brimonidine tartrate/tmolol maleate ophthalmic soluton) is approved for reducing elevated IOP in patents with glaucoma who require additonal or adjunctve IOP-lowering therapy. Both Alphagan and Combigan are available for sale in the United States and numerous markets around the world.</w:t>
      </w:r>
    </w:p>
    <w:p>
      <w:pPr>
        <w:spacing w:after="0" w:line="83" w:lineRule="exact"/>
        <w:rPr>
          <w:color w:val="auto"/>
          <w:sz w:val="20"/>
          <w:szCs w:val="20"/>
        </w:rPr>
      </w:pPr>
    </w:p>
    <w:p>
      <w:pPr>
        <w:spacing w:after="0" w:line="234" w:lineRule="auto"/>
        <w:ind w:left="160" w:right="940" w:firstLine="297"/>
        <w:rPr>
          <w:color w:val="auto"/>
          <w:sz w:val="20"/>
          <w:szCs w:val="20"/>
        </w:rPr>
      </w:pPr>
      <w:r>
        <w:rPr>
          <w:rFonts w:ascii="Calibri" w:eastAsia="Calibri" w:hAnsi="Calibri" w:cs="Calibri"/>
          <w:i/>
          <w:iCs/>
          <w:color w:val="auto"/>
          <w:sz w:val="12"/>
          <w:szCs w:val="12"/>
        </w:rPr>
        <w:t xml:space="preserve">Restasis. </w:t>
      </w:r>
      <w:r>
        <w:rPr>
          <w:rFonts w:ascii="MS PGothic" w:eastAsia="MS PGothic" w:hAnsi="MS PGothic" w:cs="MS PGothic"/>
          <w:color w:val="auto"/>
          <w:sz w:val="12"/>
          <w:szCs w:val="12"/>
        </w:rPr>
        <w:t>Restasis is a calcineurin inhibitor immunosuppressant indicated to increase tear producton in patents whose tear producton is presumed to be suppressed due to ocular infammaton associated with</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keratoconjunctvits sicca. Restasis is approved in the United States and a number of other markets in South America, the Middle East and Asia.</w:t>
      </w:r>
    </w:p>
    <w:p>
      <w:pPr>
        <w:spacing w:after="0" w:line="97" w:lineRule="exact"/>
        <w:rPr>
          <w:color w:val="auto"/>
          <w:sz w:val="20"/>
          <w:szCs w:val="20"/>
        </w:rPr>
      </w:pPr>
    </w:p>
    <w:p>
      <w:pPr>
        <w:spacing w:after="0"/>
        <w:ind w:left="460"/>
        <w:rPr>
          <w:color w:val="auto"/>
          <w:sz w:val="20"/>
          <w:szCs w:val="20"/>
        </w:rPr>
      </w:pPr>
      <w:r>
        <w:rPr>
          <w:rFonts w:ascii="Calibri" w:eastAsia="Calibri" w:hAnsi="Calibri" w:cs="Calibri"/>
          <w:i/>
          <w:iCs/>
          <w:color w:val="auto"/>
          <w:sz w:val="12"/>
          <w:szCs w:val="12"/>
        </w:rPr>
        <w:t xml:space="preserve">Other eye care. </w:t>
      </w:r>
      <w:r>
        <w:rPr>
          <w:rFonts w:ascii="MS PGothic" w:eastAsia="MS PGothic" w:hAnsi="MS PGothic" w:cs="MS PGothic"/>
          <w:color w:val="auto"/>
          <w:sz w:val="12"/>
          <w:szCs w:val="12"/>
        </w:rPr>
        <w:t>Other eye care products include Refresh/Optve, Xen and Durysta.</w:t>
      </w:r>
    </w:p>
    <w:p>
      <w:pPr>
        <w:spacing w:after="0" w:line="101" w:lineRule="exact"/>
        <w:rPr>
          <w:color w:val="auto"/>
          <w:sz w:val="20"/>
          <w:szCs w:val="20"/>
        </w:rPr>
      </w:pPr>
    </w:p>
    <w:p>
      <w:pPr>
        <w:spacing w:after="0" w:line="255" w:lineRule="auto"/>
        <w:ind w:left="200" w:right="100"/>
        <w:rPr>
          <w:color w:val="auto"/>
          <w:sz w:val="20"/>
          <w:szCs w:val="20"/>
        </w:rPr>
      </w:pPr>
      <w:r>
        <w:rPr>
          <w:rFonts w:ascii="Calibri" w:eastAsia="Calibri" w:hAnsi="Calibri" w:cs="Calibri"/>
          <w:b/>
          <w:bCs/>
          <w:i/>
          <w:iCs/>
          <w:color w:val="444867"/>
          <w:sz w:val="12"/>
          <w:szCs w:val="12"/>
        </w:rPr>
        <w:t xml:space="preserve">Other key products. </w:t>
      </w:r>
      <w:r>
        <w:rPr>
          <w:rFonts w:ascii="MS PGothic" w:eastAsia="MS PGothic" w:hAnsi="MS PGothic" w:cs="MS PGothic"/>
          <w:color w:val="000000"/>
          <w:sz w:val="12"/>
          <w:szCs w:val="12"/>
        </w:rPr>
        <w:t>AbbVie’s other key products include, among other things, treatments for patents with hepatts C virus (HCV), metabolic and hormone products that target a number of conditons, including exocrine pancreatc</w:t>
      </w:r>
      <w:r>
        <w:rPr>
          <w:rFonts w:ascii="Calibri" w:eastAsia="Calibri" w:hAnsi="Calibri" w:cs="Calibri"/>
          <w:b/>
          <w:bCs/>
          <w:i/>
          <w:iCs/>
          <w:color w:val="444867"/>
          <w:sz w:val="12"/>
          <w:szCs w:val="12"/>
        </w:rPr>
        <w:t xml:space="preserve"> </w:t>
      </w:r>
      <w:r>
        <w:rPr>
          <w:rFonts w:ascii="MS PGothic" w:eastAsia="MS PGothic" w:hAnsi="MS PGothic" w:cs="MS PGothic"/>
          <w:color w:val="000000"/>
          <w:sz w:val="12"/>
          <w:szCs w:val="12"/>
        </w:rPr>
        <w:t>insufciency and hypothyroidism, as well as endocrinology products for the palliatve treatment of advanced prostate cancer, treatment of endometriosis and central precocious puberty and for the preoperatve treatment of patents with anemia caused by uterine fbroids. These products are:</w:t>
      </w:r>
    </w:p>
    <w:p>
      <w:pPr>
        <w:spacing w:after="0" w:line="74" w:lineRule="exact"/>
        <w:rPr>
          <w:color w:val="auto"/>
          <w:sz w:val="20"/>
          <w:szCs w:val="20"/>
        </w:rPr>
      </w:pPr>
    </w:p>
    <w:p>
      <w:pPr>
        <w:spacing w:after="0" w:line="255" w:lineRule="auto"/>
        <w:ind w:left="160" w:right="160" w:firstLine="297"/>
        <w:rPr>
          <w:color w:val="auto"/>
          <w:sz w:val="20"/>
          <w:szCs w:val="20"/>
        </w:rPr>
      </w:pPr>
      <w:r>
        <w:rPr>
          <w:rFonts w:ascii="Calibri" w:eastAsia="Calibri" w:hAnsi="Calibri" w:cs="Calibri"/>
          <w:i/>
          <w:iCs/>
          <w:color w:val="auto"/>
          <w:sz w:val="12"/>
          <w:szCs w:val="12"/>
        </w:rPr>
        <w:t xml:space="preserve">Mavyret/Maviret. </w:t>
      </w:r>
      <w:r>
        <w:rPr>
          <w:rFonts w:ascii="MS PGothic" w:eastAsia="MS PGothic" w:hAnsi="MS PGothic" w:cs="MS PGothic"/>
          <w:color w:val="auto"/>
          <w:sz w:val="12"/>
          <w:szCs w:val="12"/>
        </w:rPr>
        <w:t>Mavyret (glecaprevir/pibrentasvir) is approved in the United States and European Union (Maviret) for the treatment of adult and pediatric patents (12 years and older or weighing at least 45 kilograms) with</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chronic HCV genotype 1-6 infecton without cirrhosis and with compensated cirrhosis (Child-Pugh A). It is also indicated for the treatment of adult and pediatric patents (12 years and older or weighing at least 45 kilograms) with HCV genotype 1 infecton, who previously have been treated with a regimen containing an HCV NS5A inhibitor or an NS3/4A protease inhibitor, but not both.</w:t>
      </w:r>
    </w:p>
    <w:p>
      <w:pPr>
        <w:spacing w:after="0" w:line="74" w:lineRule="exact"/>
        <w:rPr>
          <w:color w:val="auto"/>
          <w:sz w:val="20"/>
          <w:szCs w:val="20"/>
        </w:rPr>
      </w:pPr>
    </w:p>
    <w:p>
      <w:pPr>
        <w:spacing w:after="0" w:line="234" w:lineRule="auto"/>
        <w:ind w:left="160" w:right="120" w:firstLine="297"/>
        <w:rPr>
          <w:color w:val="auto"/>
          <w:sz w:val="20"/>
          <w:szCs w:val="20"/>
        </w:rPr>
      </w:pPr>
      <w:r>
        <w:rPr>
          <w:rFonts w:ascii="Calibri" w:eastAsia="Calibri" w:hAnsi="Calibri" w:cs="Calibri"/>
          <w:i/>
          <w:iCs/>
          <w:color w:val="auto"/>
          <w:sz w:val="12"/>
          <w:szCs w:val="12"/>
        </w:rPr>
        <w:t xml:space="preserve">Creon. </w:t>
      </w:r>
      <w:r>
        <w:rPr>
          <w:rFonts w:ascii="MS PGothic" w:eastAsia="MS PGothic" w:hAnsi="MS PGothic" w:cs="MS PGothic"/>
          <w:color w:val="auto"/>
          <w:sz w:val="12"/>
          <w:szCs w:val="12"/>
        </w:rPr>
        <w:t>Creon (pancrelipase) is a pancreatc enzyme therapy for exocrine pancreatc insufciency, a conditon that occurs in patents with cystc fbrosis, chronic pancreatts and several other conditons. AbbVie has the rights to</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sell Creon only in the United States.</w:t>
      </w:r>
    </w:p>
    <w:p>
      <w:pPr>
        <w:spacing w:after="0" w:line="101" w:lineRule="exact"/>
        <w:rPr>
          <w:color w:val="auto"/>
          <w:sz w:val="20"/>
          <w:szCs w:val="20"/>
        </w:rPr>
      </w:pPr>
    </w:p>
    <w:p>
      <w:pPr>
        <w:spacing w:after="0" w:line="234" w:lineRule="auto"/>
        <w:ind w:left="160" w:right="60" w:firstLine="297"/>
        <w:rPr>
          <w:color w:val="auto"/>
          <w:sz w:val="20"/>
          <w:szCs w:val="20"/>
        </w:rPr>
      </w:pPr>
      <w:r>
        <w:rPr>
          <w:rFonts w:ascii="Calibri" w:eastAsia="Calibri" w:hAnsi="Calibri" w:cs="Calibri"/>
          <w:i/>
          <w:iCs/>
          <w:color w:val="auto"/>
          <w:sz w:val="12"/>
          <w:szCs w:val="12"/>
        </w:rPr>
        <w:t xml:space="preserve">Linzess/Constella. </w:t>
      </w:r>
      <w:r>
        <w:rPr>
          <w:rFonts w:ascii="MS PGothic" w:eastAsia="MS PGothic" w:hAnsi="MS PGothic" w:cs="MS PGothic"/>
          <w:color w:val="auto"/>
          <w:sz w:val="12"/>
          <w:szCs w:val="12"/>
        </w:rPr>
        <w:t>Linzess (linaclotde) is a once-daily guanylate cyclase-C agonist used in adults to treat irritable bowel syndrome with constpaton (IBS‑C) and chronic idiopathic constpaton. The product is marketed as Linzess in</w:t>
      </w:r>
      <w:r>
        <w:rPr>
          <w:rFonts w:ascii="Calibri" w:eastAsia="Calibri" w:hAnsi="Calibri" w:cs="Calibri"/>
          <w:i/>
          <w:iCs/>
          <w:color w:val="auto"/>
          <w:sz w:val="12"/>
          <w:szCs w:val="12"/>
        </w:rPr>
        <w:t xml:space="preserve"> </w:t>
      </w:r>
      <w:r>
        <w:rPr>
          <w:rFonts w:ascii="MS PGothic" w:eastAsia="MS PGothic" w:hAnsi="MS PGothic" w:cs="MS PGothic"/>
          <w:color w:val="auto"/>
          <w:sz w:val="12"/>
          <w:szCs w:val="12"/>
        </w:rPr>
        <w:t>the United States and as Constella outside of the United States.</w:t>
      </w:r>
    </w:p>
    <w:p>
      <w:pPr>
        <w:spacing w:after="0" w:line="20" w:lineRule="exact"/>
        <w:rPr>
          <w:color w:val="auto"/>
          <w:sz w:val="20"/>
          <w:szCs w:val="20"/>
        </w:rPr>
      </w:pPr>
      <w:r>
        <w:rPr>
          <w:color w:val="auto"/>
          <w:sz w:val="20"/>
          <w:szCs w:val="20"/>
        </w:rPr>
        <w:drawing>
          <wp:anchor simplePos="0" relativeHeight="251673600" behindDoc="1" locked="0" layoutInCell="0" allowOverlap="1">
            <wp:simplePos x="0" y="0"/>
            <wp:positionH relativeFrom="column">
              <wp:posOffset>6475730</wp:posOffset>
            </wp:positionH>
            <wp:positionV relativeFrom="paragraph">
              <wp:posOffset>250825</wp:posOffset>
            </wp:positionV>
            <wp:extent cx="400050" cy="7429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700"/>
        <w:gridCol w:w="600"/>
      </w:tblGrid>
      <w:tr>
        <w:tblPrEx>
          <w:tblInd w:w="0" w:type="dxa"/>
          <w:tblLayout w:type="fixed"/>
        </w:tblPrEx>
        <w:trPr>
          <w:trHeight w:val="146"/>
        </w:trPr>
        <w:tc>
          <w:tcPr>
            <w:tcW w:w="1070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MS PGothic" w:eastAsia="MS PGothic" w:hAnsi="MS PGothic" w:cs="MS PGothic"/>
                <w:color w:val="auto"/>
                <w:sz w:val="12"/>
                <w:szCs w:val="12"/>
              </w:rPr>
              <w:t>|</w:t>
            </w:r>
          </w:p>
        </w:tc>
        <w:tc>
          <w:tcPr>
            <w:tcW w:w="600" w:type="dxa"/>
            <w:vAlign w:val="bottom"/>
          </w:tcPr>
          <w:p>
            <w:pPr>
              <w:spacing w:after="0"/>
              <w:jc w:val="right"/>
              <w:rPr>
                <w:color w:val="auto"/>
                <w:sz w:val="20"/>
                <w:szCs w:val="20"/>
              </w:rPr>
            </w:pPr>
            <w:r>
              <w:rPr>
                <w:rFonts w:ascii="Calibri" w:eastAsia="Calibri" w:hAnsi="Calibri" w:cs="Calibri"/>
                <w:b/>
                <w:bCs/>
                <w:i/>
                <w:iCs/>
                <w:color w:val="auto"/>
                <w:sz w:val="12"/>
                <w:szCs w:val="12"/>
              </w:rPr>
              <w:t>4</w:t>
            </w:r>
          </w:p>
        </w:tc>
      </w:tr>
      <w:tr>
        <w:tblPrEx>
          <w:tblInd w:w="0" w:type="dxa"/>
          <w:tblLayout w:type="fixed"/>
        </w:tblPrEx>
        <w:trPr>
          <w:trHeight w:val="152"/>
        </w:trPr>
        <w:tc>
          <w:tcPr>
            <w:tcW w:w="10700" w:type="dxa"/>
            <w:tcBorders>
              <w:bottom w:val="single" w:sz="8" w:space="0" w:color="9A9A9A"/>
            </w:tcBorders>
            <w:vAlign w:val="bottom"/>
          </w:tcPr>
          <w:p>
            <w:pPr>
              <w:spacing w:after="0"/>
              <w:rPr>
                <w:color w:val="auto"/>
                <w:sz w:val="13"/>
                <w:szCs w:val="13"/>
              </w:rPr>
            </w:pPr>
          </w:p>
        </w:tc>
        <w:tc>
          <w:tcPr>
            <w:tcW w:w="60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674624" behindDoc="1" locked="0" layoutInCell="0" allowOverlap="1">
            <wp:simplePos x="0" y="0"/>
            <wp:positionH relativeFrom="column">
              <wp:posOffset>7154545</wp:posOffset>
            </wp:positionH>
            <wp:positionV relativeFrom="paragraph">
              <wp:posOffset>-23495</wp:posOffset>
            </wp:positionV>
            <wp:extent cx="31115" cy="3683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75648" behindDoc="1" locked="0" layoutInCell="0" allowOverlap="1">
            <wp:simplePos x="0" y="0"/>
            <wp:positionH relativeFrom="column">
              <wp:posOffset>-17145</wp:posOffset>
            </wp:positionH>
            <wp:positionV relativeFrom="paragraph">
              <wp:posOffset>-23495</wp:posOffset>
            </wp:positionV>
            <wp:extent cx="31115" cy="3683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6" w:name="page7"/>
    <w:bookmarkEnd w:id="6"/>
    <w:p>
      <w:pPr>
        <w:spacing w:after="0"/>
        <w:rPr>
          <w:color w:val="auto"/>
          <w:sz w:val="20"/>
          <w:szCs w:val="20"/>
        </w:rPr>
      </w:pPr>
      <w:r>
        <w:rPr>
          <w:rFonts w:ascii="Calibri" w:eastAsia="Calibri" w:hAnsi="Calibri" w:cs="Calibri"/>
          <w:b/>
          <w:bCs/>
          <w:color w:val="444867"/>
          <w:sz w:val="12"/>
          <w:szCs w:val="12"/>
        </w:rPr>
        <w:t>Marketng, Sales and Distributon Capabilites</w:t>
      </w:r>
    </w:p>
    <w:p>
      <w:pPr>
        <w:spacing w:after="0" w:line="92"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AbbVie utlizes a combinaton of dedicated commercial resources, regional commercial resources and distributorships to market, sell and distribute its products worldwide. AbbVie directs its primary marketng eforts toward securing the prescripton, or recommendaton, of its brand of products by physicians, external experts and other health care providers. Managed care providers (for example, health maintenance organizatons and pharmacy beneft managers), hospitals and state and federal government agencies (for example, State Medicaid programs, the United States Department of Veterans Afairs and the United States Department of Defense) are also important customers. AbbVie also markets directly to consumers themselves, although in the United States many of the company's products must be sold pursuant to a prescripton. Outside of the United States, AbbVie focuses its promotonal and market access eforts on external experts, payers, physicians and health systems. AbbVie also provides patent support programs closely related to its products.</w:t>
      </w:r>
    </w:p>
    <w:p>
      <w:pPr>
        <w:spacing w:after="0" w:line="102" w:lineRule="exact"/>
        <w:rPr>
          <w:color w:val="auto"/>
          <w:sz w:val="20"/>
          <w:szCs w:val="20"/>
        </w:rPr>
      </w:pPr>
    </w:p>
    <w:p>
      <w:pPr>
        <w:spacing w:after="0" w:line="234" w:lineRule="auto"/>
        <w:ind w:right="220" w:firstLine="297"/>
        <w:rPr>
          <w:color w:val="auto"/>
          <w:sz w:val="20"/>
          <w:szCs w:val="20"/>
        </w:rPr>
      </w:pPr>
      <w:r>
        <w:rPr>
          <w:rFonts w:ascii="Calibri" w:eastAsia="Calibri" w:hAnsi="Calibri" w:cs="Calibri"/>
          <w:color w:val="auto"/>
          <w:sz w:val="12"/>
          <w:szCs w:val="12"/>
        </w:rPr>
        <w:t>AbbVie's products are generally sold worldwide directly to wholesalers, distributors, government agencies, health care facilites, specialty pharmacies and independent retailers from AbbVie-owned distributon centers and public warehouses. Certain products (including aesthetc products and devices) are also sold directly to physicians and other licensed healthcare providers. Although AbbVie's business does not have signifcant seasonality, AbbVie's product revenues may be afected by end customer and retail buying paterns, fuctuatons in wholesaler inventory levels and other factors.</w:t>
      </w:r>
    </w:p>
    <w:p>
      <w:pPr>
        <w:spacing w:after="0" w:line="103"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In the United States, AbbVie distributes pharmaceutcal products principally through independent wholesale distributors, with some sales directly to retailers, pharmacies, patents or other customers. In 2024, three wholesale distributors (McKesson Corporaton, Cardinal Health, Inc. and Cencora, Inc.) accounted for substantally all of AbbVie's pharmaceutcal product sales in the United States. No individual wholesaler accounted for greater than 39% of AbbVie's 2024 gross revenues in the United States. Outside the United States, AbbVie sells products primarily to wholesalers or through distributors, and depending on the market works through largely centralized natonal payers systems to agree on reimbursement terms.</w:t>
      </w:r>
    </w:p>
    <w:p>
      <w:pPr>
        <w:spacing w:after="0" w:line="92" w:lineRule="exact"/>
        <w:rPr>
          <w:color w:val="auto"/>
          <w:sz w:val="20"/>
          <w:szCs w:val="20"/>
        </w:rPr>
      </w:pPr>
    </w:p>
    <w:p>
      <w:pPr>
        <w:spacing w:after="0" w:line="234" w:lineRule="auto"/>
        <w:ind w:right="380" w:firstLine="297"/>
        <w:rPr>
          <w:color w:val="auto"/>
          <w:sz w:val="20"/>
          <w:szCs w:val="20"/>
        </w:rPr>
      </w:pPr>
      <w:r>
        <w:rPr>
          <w:rFonts w:ascii="Calibri" w:eastAsia="Calibri" w:hAnsi="Calibri" w:cs="Calibri"/>
          <w:color w:val="auto"/>
          <w:sz w:val="12"/>
          <w:szCs w:val="12"/>
        </w:rPr>
        <w:t>Certain products are co-marketed or co-promoted with other companies. AbbVie has no single customer that, if the customer were lost, would have a material adverse efect on the company's business. No material porton of AbbVie's business is subject to renegotaton of profts or terminaton of contracts at the electon of the government. Orders are generally flled on a current basis and order backlog is not material to AbbVie's business.</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Competton</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The markets for AbbVie's products are highly compettve. AbbVie competes with other research-based pharmaceutcals and biotechnology companies that discover, manufacture, market and sell proprietary pharmaceutcal products, therapies and biologics. For example, AbbVie's immunology products compete with ant-TNF products, JAK inhibitors and other compettve products intended to treat a number of disease states, and AbbVie's oncology products compete with BTK inhibitors and other compettve products intended to treat certain cancers. In additon, in the past few years, a number of other companies have started to develop, have successfully developed and/or are currently marketng products that are being positoned as compettors to Botox. The search for technological innovatons in pharmaceutcal products is a signifcant aspect of competton. The introducton of new products by compettors and changes in medical practces and procedures can result in product obsolescence. Price is also a compettve factor. In additon, the substtuton of generic and biosimilar pharmaceutcal products for branded pharmaceutcal products creates compettve pressures on AbbVie's products that do not have patent protecton. New products or treatments brought to market by AbbVie’s compettors could cause revenues for AbbVie’s products to decrease due to price reductons and sales volume decreases.</w:t>
      </w:r>
    </w:p>
    <w:p>
      <w:pPr>
        <w:spacing w:after="0" w:line="94" w:lineRule="exact"/>
        <w:rPr>
          <w:color w:val="auto"/>
          <w:sz w:val="20"/>
          <w:szCs w:val="20"/>
        </w:rPr>
      </w:pPr>
    </w:p>
    <w:p>
      <w:pPr>
        <w:spacing w:after="0" w:line="235" w:lineRule="auto"/>
        <w:ind w:right="140" w:firstLine="297"/>
        <w:rPr>
          <w:color w:val="auto"/>
          <w:sz w:val="20"/>
          <w:szCs w:val="20"/>
        </w:rPr>
      </w:pPr>
      <w:r>
        <w:rPr>
          <w:rFonts w:ascii="Calibri" w:eastAsia="Calibri" w:hAnsi="Calibri" w:cs="Calibri"/>
          <w:b/>
          <w:bCs/>
          <w:i/>
          <w:iCs/>
          <w:color w:val="444867"/>
          <w:sz w:val="12"/>
          <w:szCs w:val="12"/>
        </w:rPr>
        <w:t xml:space="preserve">Biosimilars. </w:t>
      </w:r>
      <w:r>
        <w:rPr>
          <w:rFonts w:ascii="Calibri" w:eastAsia="Calibri" w:hAnsi="Calibri" w:cs="Calibri"/>
          <w:color w:val="000000"/>
          <w:sz w:val="12"/>
          <w:szCs w:val="12"/>
        </w:rPr>
        <w:t>Competton for AbbVie’s biologic products is afected by the approval of follow-on biologics, also known as “biosimilars.” Biologics have added major therapeutc optons for the treatment of many diseases, including</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some for which therapies were unavailable or inadequate. The cost of developing and producing biologic therapies is typically dramatcally higher than for small molecule medicatons, and many biologic medicatons are used for ongoing treatment of chronic diseases, such as rheumatoid arthrits or infammatory bowel disease, or for the treatment of previously untreatable cancer. Signifcant investments in biologics infrastructure and manufacturing are necessary to produce biologic products.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Humira faces direct biosimilar competton globally, and AbbVie will contnue to face compettve pressure from these biologics and from orally administered products.</w:t>
      </w:r>
    </w:p>
    <w:p>
      <w:pPr>
        <w:spacing w:after="0" w:line="101"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In the United States, the FDA regulates biologics under the Federal Food, Drug, and Cosmetc Act (the FFDCA), the Public Health Service Act (PHSA) and the regulatons implementng these statutes. The enactment of federal health care reform legislaton in March 2010 provided a pathway for approval of biosimilars under the PHSA, but the approval process for, and science behind, biosimilars is complex. Approval by the FDA is dependent upon many factors, including a showing that the biosimilar is "highly similar" to the original product and has no clinically meaningful diferences from the original product in</w:t>
      </w:r>
    </w:p>
    <w:p>
      <w:pPr>
        <w:spacing w:after="0" w:line="206"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5</w:t>
      </w:r>
      <w:r>
        <w:rPr>
          <w:color w:val="auto"/>
          <w:sz w:val="20"/>
          <w:szCs w:val="20"/>
        </w:rPr>
        <w:tab/>
      </w:r>
      <w:r>
        <w:rPr>
          <w:color w:val="auto"/>
          <w:sz w:val="1"/>
          <w:szCs w:val="1"/>
        </w:rPr>
        <w:drawing>
          <wp:inline distT="0" distB="0" distL="0" distR="0">
            <wp:extent cx="400050" cy="742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676672" behindDoc="1" locked="0" layoutInCell="0" allowOverlap="1">
            <wp:simplePos x="0" y="0"/>
            <wp:positionH relativeFrom="column">
              <wp:posOffset>-17145</wp:posOffset>
            </wp:positionH>
            <wp:positionV relativeFrom="paragraph">
              <wp:posOffset>128270</wp:posOffset>
            </wp:positionV>
            <wp:extent cx="7203440" cy="3683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7" w:name="page8"/>
    <w:bookmarkEnd w:id="7"/>
    <w:p>
      <w:pPr>
        <w:spacing w:after="0" w:line="234" w:lineRule="auto"/>
        <w:ind w:right="120"/>
        <w:rPr>
          <w:color w:val="auto"/>
          <w:sz w:val="20"/>
          <w:szCs w:val="20"/>
        </w:rPr>
      </w:pPr>
      <w:r>
        <w:rPr>
          <w:rFonts w:ascii="Calibri" w:eastAsia="Calibri" w:hAnsi="Calibri" w:cs="Calibri"/>
          <w:color w:val="auto"/>
          <w:sz w:val="12"/>
          <w:szCs w:val="12"/>
        </w:rPr>
        <w:t>terms of safety, purity and potency. The types of data that could ordinarily be required in an applicaton to show similarity may include analytcal data, bioequivalence studies and studies to demonstrate chemical similarity, animal studies (including toxicity studies) and clinical studies.</w:t>
      </w:r>
    </w:p>
    <w:p>
      <w:pPr>
        <w:spacing w:after="0" w:line="92" w:lineRule="exact"/>
        <w:rPr>
          <w:color w:val="auto"/>
          <w:sz w:val="20"/>
          <w:szCs w:val="20"/>
        </w:rPr>
      </w:pPr>
    </w:p>
    <w:p>
      <w:pPr>
        <w:spacing w:after="0" w:line="235" w:lineRule="auto"/>
        <w:ind w:right="240" w:firstLine="297"/>
        <w:rPr>
          <w:color w:val="auto"/>
          <w:sz w:val="20"/>
          <w:szCs w:val="20"/>
        </w:rPr>
      </w:pPr>
      <w:r>
        <w:rPr>
          <w:rFonts w:ascii="Calibri" w:eastAsia="Calibri" w:hAnsi="Calibri" w:cs="Calibri"/>
          <w:color w:val="auto"/>
          <w:sz w:val="12"/>
          <w:szCs w:val="12"/>
        </w:rPr>
        <w:t>Furthermore, the law provides that only a biosimilar product that is determined to be "interchangeable" will be considered by the FDA as substtutable for the original biologic product without the interventon of the health care provider who prescribed the original biologic product. To prove that a biosimilar product is interchangeable, the applicant must demonstrate that the product can be expected to produce the same clinical results as the original biologic product in any given patent, and if the product is administered more than once in a patent, that safety risks and potental for diminished efcacy of alternatng or switching between the use of the interchangeable biosimilar biologic product and the original biologic product is no greater than the risk of using the original biologic product without switching. The law contnues to be interpreted and implemented by the FDA. As a result, its full ultmate impact, implementaton and meaning remains subject to uncertainty.</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Intellectual Property Protecton and Regulatory Exclusivity</w:t>
      </w:r>
    </w:p>
    <w:p>
      <w:pPr>
        <w:spacing w:after="0" w:line="1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Generally, upon approval, products may be enttled to certain kinds of exclusivity under applicable intellectual property and regulatory regimes. AbbVie’s intellectual property is materially valuable to the company, and AbbVie seeks patent protecton, where available, in all signifcant markets and/or countries for each product in development. In the United States, the expiraton date for patents is 20 years afer the fling date. Given that patents relatng to pharmaceutcal products are ofen obtained early in the development process and given the amount of tme needed to complete clinical trials and other development actvites required for regulatory approval, the length of tme between product launch and patent expiraton is signifcantly less than 20 years. The Drug Price Competton and Patent Term Restoraton Act of 1984 (commonly known as the Hatch-Waxman Act) permits a patent holder to seek a patent extension, commonly called a “patent term restoraton,” for patents on products (or processes for making the product) regulated by the FFDCA. The length of the patent extension is roughly based on 50 percent of the period of tme from the fling of an Investgatonal New Drug Applicaton (NDA) for a compound to the submission of the NDA for such compound, plus 100 percent of the tme period from NDA submission to regulatory approval. The extension, however, cannot exceed fve years and the patent term remaining afer regulatory approval cannot exceed 14 years. Biological products licensed under the PHSA are similarly eligible for terms of patent restoraton.</w:t>
      </w:r>
    </w:p>
    <w:p>
      <w:pPr>
        <w:spacing w:after="0" w:line="94"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Pharmaceutcal products may be enttled to other forms of legal or regulatory exclusivity upon approval. The scope, length and requirements for each of these exclusivites vary both in the United States and in other jurisdictons. In the United States, if the FDA approves a conventonal drug product that contains an actve ingredient not previously approved, the product is typically enttled to fve years of non-patent regulatory exclusivity. Specifc conditons of use approved for individual products may also be enttled to three years of exclusivity if approval was based on the FDA’s reliance on new clinical studies essental to approval submited by the NDA applicant. If the NDA applicant studies the product for use by children, the FDA may grant pediatric exclusivity, which extends by 180 days all existng exclusivites (patent and regulatory) related to the product. For products that are either used to treat conditons that afict a relatvely small populaton or for which there is not a reasonable expectaton that the research and development costs will be recovered, the FDA may designate the pharmaceutcal as an orphan drug and grant it seven years of exclusivity. Other types of regulatory exclusivity may also be available, such as Generatng New Antbiotc Incentves Now (GAIN) exclusivity, which can provide new antbiotc or new antfungal drugs an additonal fve years of exclusivity to be added to certain exclusivites already provided for by law.</w:t>
      </w:r>
    </w:p>
    <w:p>
      <w:pPr>
        <w:spacing w:after="0" w:line="103"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Applicable laws and regulatons dictate the scope of any exclusivity to which a product or partcular characteristcs of a product is enttled upon approval in any partcular country. In certain instances, regulatory exclusivity may ofer protecton where patent protecton is no longer available or for a period of tme in excess of patent protecton. It is not possible to estmate for each product in development the total period and scope of exclusivity to which it may become enttled untl regulatory approval is obtained or sometmes even later. However, given the length of tme required to complete clinical development of a pharmaceutcal product, the periods of exclusivity that might be achieved in any individual case would not generally be expected to exceed a minimum of three years and a maximum of 14 years. These estmates do not consider other factors, such as the difculty of recreatng the manufacturing process for a partcular product or other proprietary knowledge that may delay the introducton of a generic or other follow-on product afer the expiraton of applicable patent and other regulatory exclusivity periods.</w:t>
      </w:r>
    </w:p>
    <w:p>
      <w:pPr>
        <w:spacing w:after="0" w:line="102" w:lineRule="exact"/>
        <w:rPr>
          <w:color w:val="auto"/>
          <w:sz w:val="20"/>
          <w:szCs w:val="20"/>
        </w:rPr>
      </w:pPr>
    </w:p>
    <w:p>
      <w:pPr>
        <w:spacing w:after="0" w:line="234" w:lineRule="auto"/>
        <w:ind w:right="220" w:firstLine="297"/>
        <w:jc w:val="both"/>
        <w:rPr>
          <w:color w:val="auto"/>
          <w:sz w:val="20"/>
          <w:szCs w:val="20"/>
        </w:rPr>
      </w:pPr>
      <w:r>
        <w:rPr>
          <w:rFonts w:ascii="Calibri" w:eastAsia="Calibri" w:hAnsi="Calibri" w:cs="Calibri"/>
          <w:color w:val="auto"/>
          <w:sz w:val="12"/>
          <w:szCs w:val="12"/>
        </w:rPr>
        <w:t>Biologics may be enttled to exclusivity under the Biologics Price Competton and Innovaton Act, which was passed on March 23, 2010 as Title VII to the Patent Protecton and Afordable Care Act. The law provides a pathway for approval of biosimilars following the expiraton of 12 years of regulatory exclusivity for the innovator biologic and a potental additonal 180 day-extension term for conductng pediatric studies. Biologics are also eligible for orphan drug exclusivity, as discussed above. The law also includes an extensive process for the innovator biologic and biosimilar manufacturer to litgate patent</w:t>
      </w:r>
    </w:p>
    <w:p>
      <w:pPr>
        <w:spacing w:after="0" w:line="20" w:lineRule="exact"/>
        <w:rPr>
          <w:color w:val="auto"/>
          <w:sz w:val="20"/>
          <w:szCs w:val="20"/>
        </w:rPr>
      </w:pPr>
      <w:r>
        <w:rPr>
          <w:color w:val="auto"/>
          <w:sz w:val="20"/>
          <w:szCs w:val="20"/>
        </w:rPr>
        <w:drawing>
          <wp:anchor simplePos="0" relativeHeight="251677696" behindDoc="1" locked="0" layoutInCell="0" allowOverlap="1">
            <wp:simplePos x="0" y="0"/>
            <wp:positionH relativeFrom="column">
              <wp:posOffset>6475730</wp:posOffset>
            </wp:positionH>
            <wp:positionV relativeFrom="paragraph">
              <wp:posOffset>252095</wp:posOffset>
            </wp:positionV>
            <wp:extent cx="400050" cy="7429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2" w:lineRule="exact"/>
        <w:rPr>
          <w:color w:val="auto"/>
          <w:sz w:val="20"/>
          <w:szCs w:val="20"/>
        </w:rPr>
      </w:pPr>
    </w:p>
    <w:tbl>
      <w:tblPr>
        <w:tblInd w:w="0" w:type="dxa"/>
        <w:tblLayout w:type="fixed"/>
        <w:tblCellMar>
          <w:top w:w="0" w:type="dxa"/>
          <w:left w:w="0" w:type="dxa"/>
          <w:bottom w:w="0" w:type="dxa"/>
          <w:right w:w="0" w:type="dxa"/>
        </w:tblCellMar>
      </w:tblPr>
      <w:tblGrid>
        <w:gridCol w:w="10700"/>
        <w:gridCol w:w="600"/>
      </w:tblGrid>
      <w:tr>
        <w:tblPrEx>
          <w:tblInd w:w="0" w:type="dxa"/>
          <w:tblLayout w:type="fixed"/>
        </w:tblPrEx>
        <w:trPr>
          <w:trHeight w:val="155"/>
        </w:trPr>
        <w:tc>
          <w:tcPr>
            <w:tcW w:w="1070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00" w:type="dxa"/>
            <w:vAlign w:val="bottom"/>
          </w:tcPr>
          <w:p>
            <w:pPr>
              <w:spacing w:after="0"/>
              <w:jc w:val="right"/>
              <w:rPr>
                <w:color w:val="auto"/>
                <w:sz w:val="20"/>
                <w:szCs w:val="20"/>
              </w:rPr>
            </w:pPr>
            <w:r>
              <w:rPr>
                <w:rFonts w:ascii="Calibri" w:eastAsia="Calibri" w:hAnsi="Calibri" w:cs="Calibri"/>
                <w:b/>
                <w:bCs/>
                <w:i/>
                <w:iCs/>
                <w:color w:val="auto"/>
                <w:sz w:val="12"/>
                <w:szCs w:val="12"/>
              </w:rPr>
              <w:t>6</w:t>
            </w:r>
          </w:p>
        </w:tc>
      </w:tr>
      <w:tr>
        <w:tblPrEx>
          <w:tblInd w:w="0" w:type="dxa"/>
          <w:tblLayout w:type="fixed"/>
        </w:tblPrEx>
        <w:trPr>
          <w:trHeight w:val="143"/>
        </w:trPr>
        <w:tc>
          <w:tcPr>
            <w:tcW w:w="10700" w:type="dxa"/>
            <w:tcBorders>
              <w:bottom w:val="single" w:sz="8" w:space="0" w:color="9A9A9A"/>
            </w:tcBorders>
            <w:vAlign w:val="bottom"/>
          </w:tcPr>
          <w:p>
            <w:pPr>
              <w:spacing w:after="0"/>
              <w:rPr>
                <w:color w:val="auto"/>
                <w:sz w:val="12"/>
                <w:szCs w:val="12"/>
              </w:rPr>
            </w:pPr>
          </w:p>
        </w:tc>
        <w:tc>
          <w:tcPr>
            <w:tcW w:w="60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678720" behindDoc="1" locked="0" layoutInCell="0" allowOverlap="1">
            <wp:simplePos x="0" y="0"/>
            <wp:positionH relativeFrom="column">
              <wp:posOffset>7154545</wp:posOffset>
            </wp:positionH>
            <wp:positionV relativeFrom="paragraph">
              <wp:posOffset>-23495</wp:posOffset>
            </wp:positionV>
            <wp:extent cx="31115" cy="3683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79744" behindDoc="1" locked="0" layoutInCell="0" allowOverlap="1">
            <wp:simplePos x="0" y="0"/>
            <wp:positionH relativeFrom="column">
              <wp:posOffset>-17145</wp:posOffset>
            </wp:positionH>
            <wp:positionV relativeFrom="paragraph">
              <wp:posOffset>-23495</wp:posOffset>
            </wp:positionV>
            <wp:extent cx="31115" cy="3683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8" w:name="page9"/>
    <w:bookmarkEnd w:id="8"/>
    <w:p>
      <w:pPr>
        <w:spacing w:after="0" w:line="234" w:lineRule="auto"/>
        <w:ind w:right="140"/>
        <w:rPr>
          <w:color w:val="auto"/>
          <w:sz w:val="20"/>
          <w:szCs w:val="20"/>
        </w:rPr>
      </w:pPr>
      <w:r>
        <w:rPr>
          <w:rFonts w:ascii="Calibri" w:eastAsia="Calibri" w:hAnsi="Calibri" w:cs="Calibri"/>
          <w:color w:val="auto"/>
          <w:sz w:val="12"/>
          <w:szCs w:val="12"/>
        </w:rPr>
        <w:t>infringement, validity and enforceability. The European Union has also created a pathway for approval of biosimilars and has published guidelines for approval of certain biosimilar products. The more complex nature of biologics and biosimilar products has led to close regulatory scrutny over follow-on biosimilar products, which can reduce the efect of biosimilars on sales of the innovator biologic as compared to the sales erosion caused by generic versions of small molecule pharmaceutcal products.</w:t>
      </w:r>
    </w:p>
    <w:p>
      <w:pPr>
        <w:spacing w:after="0" w:line="94" w:lineRule="exact"/>
        <w:rPr>
          <w:color w:val="auto"/>
          <w:sz w:val="20"/>
          <w:szCs w:val="20"/>
        </w:rPr>
      </w:pPr>
    </w:p>
    <w:p>
      <w:pPr>
        <w:spacing w:after="0" w:line="234" w:lineRule="auto"/>
        <w:ind w:right="240" w:firstLine="297"/>
        <w:rPr>
          <w:color w:val="auto"/>
          <w:sz w:val="20"/>
          <w:szCs w:val="20"/>
        </w:rPr>
      </w:pPr>
      <w:r>
        <w:rPr>
          <w:rFonts w:ascii="Calibri" w:eastAsia="Calibri" w:hAnsi="Calibri" w:cs="Calibri"/>
          <w:color w:val="auto"/>
          <w:sz w:val="12"/>
          <w:szCs w:val="12"/>
        </w:rPr>
        <w:t>AbbVie owns or has licensed rights to a substantal number of patents and patent applicatons. AbbVie licenses or owns a patent portolio of thousands of patent families, each of which includes United States patent applicatons and/or issued patents and may also contain the non-United States counterparts to these patents and applicatons.</w:t>
      </w:r>
    </w:p>
    <w:p>
      <w:pPr>
        <w:spacing w:after="0" w:line="101"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These patents and applicatons, including various patents that expire during the period 2025 to the mid 2040s, in aggregate are believed to be of material importance in the operaton of AbbVie’s business. However, AbbVie believes that no single patent, license, trademark (or related group of patents, licenses, or trademarks), are material in relaton to the company’s business as a whole.</w:t>
      </w:r>
    </w:p>
    <w:p>
      <w:pPr>
        <w:spacing w:after="0" w:line="101"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In additon, the following patents, licenses and trademarks are signifcant: those related to risankizumab (which is sold under the trademark Skyrizi) and those related to upadacitnib (which is sold under the trademark Rinvoq). The United States compositon of mater patents covering risankizumab and upadacitnib are expected to expire in 2033.</w:t>
      </w:r>
    </w:p>
    <w:p>
      <w:pPr>
        <w:spacing w:after="0" w:line="92" w:lineRule="exact"/>
        <w:rPr>
          <w:color w:val="auto"/>
          <w:sz w:val="20"/>
          <w:szCs w:val="20"/>
        </w:rPr>
      </w:pPr>
    </w:p>
    <w:p>
      <w:pPr>
        <w:spacing w:after="0" w:line="235" w:lineRule="auto"/>
        <w:ind w:right="180" w:firstLine="297"/>
        <w:rPr>
          <w:color w:val="auto"/>
          <w:sz w:val="20"/>
          <w:szCs w:val="20"/>
        </w:rPr>
      </w:pPr>
      <w:r>
        <w:rPr>
          <w:rFonts w:ascii="Calibri" w:eastAsia="Calibri" w:hAnsi="Calibri" w:cs="Calibri"/>
          <w:color w:val="auto"/>
          <w:sz w:val="12"/>
          <w:szCs w:val="12"/>
        </w:rPr>
        <w:t>AbbVie may rely, in some circumstances, on trade secrets to protect its technology. AbbVie seeks to protect its technology and product candidates, in part, by confdentality agreements with its employees, consultants, advisors, contractors and collaborators. These agreements may be breached and AbbVie may not have adequate remedies for any breach. In additon, AbbVie’s trade secrets may otherwise become known or be independently discovered by compettors. To the extent that AbbVie’s employees, consultants, advisors, contractors and collaborators use intellectual property owned by others in their work for the company, disputes may arise as to the rights in related or resultng know-how and inventons.</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Licensing, Acquisitons and Other Arrangements</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In additon to its independent eforts to develop and market products, AbbVie enters into arrangements such as acquisitons, opton-to-acquire agreements, licensing arrangements, opton-to-license arrangements, strategic alliances, co-promoton arrangements, co-development and co-marketng agreements and joint ventures. The acquisitons and opton-to-acquire agreements typically include, among other terms and conditons, non-refundable purchase price payments or opton fees, opton exercise payments, milestones or earn-outs and other customary terms and obligatons. The licensing and other arrangements typically include, among other terms and conditons, non-refundable upfront license fees, opton fees and opton exercise payments, milestone payments and royalty and/or proft sharing obligatons. See Note 5, "Licensing, Acquisitons and Other Arrangements—Other Licensing &amp; Acquisitons Actvity," to the Consolidated Financial Statements included under Item 8, "Financial Statements and Supplementary Data."</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Third Party Agreements</w:t>
      </w:r>
    </w:p>
    <w:p>
      <w:pPr>
        <w:spacing w:after="0" w:line="101"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AbbVie has agreements with third partes for process development, product distributon, analytcal services and manufacturing of certain products. AbbVie procures certain products and services from a limited number of suppliers and, in some cases, a single supply source. In additon, AbbVie has agreements with third partes for actve pharmaceutcal ingredient and product manufacturing, formulaton and development services, fll, fnish and packaging services, transportaton and distributon and logistcs services for certain products. AbbVie does not believe that these manufacturing-related agreements are material because AbbVie's business is not substantally dependent on any individual agreement. In most cases, AbbVie maintains alternate supply relatonships that it can utlize without undue disrupton of its manufacturing processes if a third party fails to perform its contractual obligatons. AbbVie seeks to maintain sufcient inventory of product to minimize the impact of any supply disrupton.</w:t>
      </w:r>
    </w:p>
    <w:p>
      <w:pPr>
        <w:spacing w:after="0" w:line="102" w:lineRule="exact"/>
        <w:rPr>
          <w:color w:val="auto"/>
          <w:sz w:val="20"/>
          <w:szCs w:val="20"/>
        </w:rPr>
      </w:pPr>
    </w:p>
    <w:p>
      <w:pPr>
        <w:spacing w:after="0" w:line="234" w:lineRule="auto"/>
        <w:ind w:right="240" w:firstLine="297"/>
        <w:rPr>
          <w:color w:val="auto"/>
          <w:sz w:val="20"/>
          <w:szCs w:val="20"/>
        </w:rPr>
      </w:pPr>
      <w:r>
        <w:rPr>
          <w:rFonts w:ascii="Calibri" w:eastAsia="Calibri" w:hAnsi="Calibri" w:cs="Calibri"/>
          <w:color w:val="auto"/>
          <w:sz w:val="12"/>
          <w:szCs w:val="12"/>
        </w:rPr>
        <w:t>AbbVie is also party to certain collaboratons and other arrangements, as discussed in Note 5, "Licensing, Acquisitons and Other Arrangements—Other Licensing &amp; Acquisitons Actvity," to the Consolidated Financial Statements included under Item 8, "Financial Statements and Supplementary Data."</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Sources and Availability of Raw Materials</w:t>
      </w:r>
    </w:p>
    <w:p>
      <w:pPr>
        <w:spacing w:after="0" w:line="101" w:lineRule="exact"/>
        <w:rPr>
          <w:color w:val="auto"/>
          <w:sz w:val="20"/>
          <w:szCs w:val="20"/>
        </w:rPr>
      </w:pPr>
    </w:p>
    <w:p>
      <w:pPr>
        <w:spacing w:after="0" w:line="234" w:lineRule="auto"/>
        <w:ind w:right="460" w:firstLine="297"/>
        <w:rPr>
          <w:color w:val="auto"/>
          <w:sz w:val="20"/>
          <w:szCs w:val="20"/>
        </w:rPr>
      </w:pPr>
      <w:r>
        <w:rPr>
          <w:rFonts w:ascii="Calibri" w:eastAsia="Calibri" w:hAnsi="Calibri" w:cs="Calibri"/>
          <w:color w:val="auto"/>
          <w:sz w:val="12"/>
          <w:szCs w:val="12"/>
        </w:rPr>
        <w:t>AbbVie purchases, in the ordinary course of business, raw materials and supplies essental to its operatons from numerous suppliers around the world. In additon, certain medical devices and components necessary for the manufacture of AbbVie products are provided by unafliated third party suppliers. AbbVie has robust business contnuity and supplier monitoring programs.</w:t>
      </w:r>
    </w:p>
    <w:p>
      <w:pPr>
        <w:spacing w:after="0" w:line="105"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7</w:t>
      </w:r>
      <w:r>
        <w:rPr>
          <w:color w:val="auto"/>
          <w:sz w:val="20"/>
          <w:szCs w:val="20"/>
        </w:rPr>
        <w:tab/>
      </w:r>
      <w:r>
        <w:rPr>
          <w:color w:val="auto"/>
          <w:sz w:val="1"/>
          <w:szCs w:val="1"/>
        </w:rPr>
        <w:drawing>
          <wp:inline distT="0" distB="0" distL="0" distR="0">
            <wp:extent cx="400050" cy="742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680768" behindDoc="1" locked="0" layoutInCell="0" allowOverlap="1">
            <wp:simplePos x="0" y="0"/>
            <wp:positionH relativeFrom="column">
              <wp:posOffset>-17145</wp:posOffset>
            </wp:positionH>
            <wp:positionV relativeFrom="paragraph">
              <wp:posOffset>133985</wp:posOffset>
            </wp:positionV>
            <wp:extent cx="7203440" cy="3683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9" w:name="page10"/>
    <w:bookmarkEnd w:id="9"/>
    <w:p>
      <w:pPr>
        <w:spacing w:after="0"/>
        <w:rPr>
          <w:color w:val="auto"/>
          <w:sz w:val="20"/>
          <w:szCs w:val="20"/>
        </w:rPr>
      </w:pPr>
      <w:r>
        <w:rPr>
          <w:rFonts w:ascii="Calibri" w:eastAsia="Calibri" w:hAnsi="Calibri" w:cs="Calibri"/>
          <w:b/>
          <w:bCs/>
          <w:color w:val="444867"/>
          <w:sz w:val="12"/>
          <w:szCs w:val="12"/>
        </w:rPr>
        <w:t>Research and Development Actvites</w:t>
      </w:r>
    </w:p>
    <w:p>
      <w:pPr>
        <w:spacing w:after="0" w:line="92"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AbbVie makes a signifcant investment in research and development and has numerous compounds (and complementary devices) in clinical development, including potental treatments for complex, life-threatening diseases. AbbVie's ability to discover and develop new compounds is enhanced by the company's use of integrated discovery and development project teams, which include chemists, biologists, physicians and pharmacologists who work on the same compounds as a team. AbbVie also partners with third partes, such as biotechnology companies, other pharmaceutcal companies and academic insttutons to identfy and prioritze promising new treatments that complement and enhance AbbVie’s existng portolio. AbbVie also supplements its research and development eforts with acquisitons.</w:t>
      </w:r>
    </w:p>
    <w:p>
      <w:pPr>
        <w:spacing w:after="0" w:line="101" w:lineRule="exact"/>
        <w:rPr>
          <w:color w:val="auto"/>
          <w:sz w:val="20"/>
          <w:szCs w:val="20"/>
        </w:rPr>
      </w:pPr>
    </w:p>
    <w:p>
      <w:pPr>
        <w:spacing w:after="0" w:line="234" w:lineRule="auto"/>
        <w:ind w:right="320" w:firstLine="297"/>
        <w:rPr>
          <w:color w:val="auto"/>
          <w:sz w:val="20"/>
          <w:szCs w:val="20"/>
        </w:rPr>
      </w:pPr>
      <w:r>
        <w:rPr>
          <w:rFonts w:ascii="Calibri" w:eastAsia="Calibri" w:hAnsi="Calibri" w:cs="Calibri"/>
          <w:color w:val="auto"/>
          <w:sz w:val="12"/>
          <w:szCs w:val="12"/>
        </w:rPr>
        <w:t>The research and development process generally begins with discovery research which focuses on the identfcaton of a molecule that has a desired efect against a given disease. If preclinical testng of an identfed compound proves successful, the compound moves into clinical development which generally includes the following phases:</w:t>
      </w:r>
    </w:p>
    <w:p>
      <w:pPr>
        <w:spacing w:after="0" w:line="97" w:lineRule="exact"/>
        <w:rPr>
          <w:color w:val="auto"/>
          <w:sz w:val="20"/>
          <w:szCs w:val="20"/>
        </w:rPr>
      </w:pPr>
    </w:p>
    <w:p>
      <w:pPr>
        <w:numPr>
          <w:ilvl w:val="0"/>
          <w:numId w:val="1"/>
        </w:numPr>
        <w:tabs>
          <w:tab w:val="left" w:pos="640"/>
        </w:tabs>
        <w:spacing w:after="0"/>
        <w:ind w:left="640" w:hanging="324"/>
        <w:rPr>
          <w:rFonts w:ascii="Calibri" w:eastAsia="Calibri" w:hAnsi="Calibri" w:cs="Calibri"/>
          <w:color w:val="auto"/>
          <w:sz w:val="12"/>
          <w:szCs w:val="12"/>
        </w:rPr>
      </w:pPr>
      <w:r>
        <w:rPr>
          <w:rFonts w:ascii="Calibri" w:eastAsia="Calibri" w:hAnsi="Calibri" w:cs="Calibri"/>
          <w:color w:val="auto"/>
          <w:sz w:val="12"/>
          <w:szCs w:val="12"/>
        </w:rPr>
        <w:t>Phase 1— involves the frst human tests in a small number of healthy volunteers or patents to assess safety, tolerability and doses for later phases.</w:t>
      </w:r>
    </w:p>
    <w:p>
      <w:pPr>
        <w:spacing w:after="0" w:line="87" w:lineRule="exact"/>
        <w:rPr>
          <w:rFonts w:ascii="Calibri" w:eastAsia="Calibri" w:hAnsi="Calibri" w:cs="Calibri"/>
          <w:color w:val="auto"/>
          <w:sz w:val="12"/>
          <w:szCs w:val="12"/>
        </w:rPr>
      </w:pPr>
    </w:p>
    <w:p>
      <w:pPr>
        <w:numPr>
          <w:ilvl w:val="0"/>
          <w:numId w:val="1"/>
        </w:numPr>
        <w:tabs>
          <w:tab w:val="left" w:pos="640"/>
        </w:tabs>
        <w:spacing w:after="0"/>
        <w:ind w:left="640" w:hanging="324"/>
        <w:rPr>
          <w:rFonts w:ascii="Calibri" w:eastAsia="Calibri" w:hAnsi="Calibri" w:cs="Calibri"/>
          <w:color w:val="auto"/>
          <w:sz w:val="12"/>
          <w:szCs w:val="12"/>
        </w:rPr>
      </w:pPr>
      <w:r>
        <w:rPr>
          <w:rFonts w:ascii="Calibri" w:eastAsia="Calibri" w:hAnsi="Calibri" w:cs="Calibri"/>
          <w:color w:val="auto"/>
          <w:sz w:val="12"/>
          <w:szCs w:val="12"/>
        </w:rPr>
        <w:t>Phase 2— tests diferent doses of the drug in a disease state in order to assess efcacy.</w:t>
      </w:r>
    </w:p>
    <w:p>
      <w:pPr>
        <w:spacing w:after="0" w:line="101" w:lineRule="exact"/>
        <w:rPr>
          <w:rFonts w:ascii="Calibri" w:eastAsia="Calibri" w:hAnsi="Calibri" w:cs="Calibri"/>
          <w:color w:val="auto"/>
          <w:sz w:val="12"/>
          <w:szCs w:val="12"/>
        </w:rPr>
      </w:pPr>
    </w:p>
    <w:p>
      <w:pPr>
        <w:numPr>
          <w:ilvl w:val="0"/>
          <w:numId w:val="1"/>
        </w:numPr>
        <w:tabs>
          <w:tab w:val="left" w:pos="640"/>
        </w:tabs>
        <w:spacing w:after="0"/>
        <w:ind w:left="640" w:hanging="324"/>
        <w:rPr>
          <w:rFonts w:ascii="Calibri" w:eastAsia="Calibri" w:hAnsi="Calibri" w:cs="Calibri"/>
          <w:color w:val="auto"/>
          <w:sz w:val="11"/>
          <w:szCs w:val="11"/>
        </w:rPr>
      </w:pPr>
      <w:r>
        <w:rPr>
          <w:rFonts w:ascii="Calibri" w:eastAsia="Calibri" w:hAnsi="Calibri" w:cs="Calibri"/>
          <w:color w:val="auto"/>
          <w:sz w:val="11"/>
          <w:szCs w:val="11"/>
        </w:rPr>
        <w:t>Phase 3— tests a drug that demonstrates favorable results in the earlier phases in a signifcantly larger patent populaton to further demonstrate efcacy and safety in order to meet requirements to enable global approval.</w:t>
      </w:r>
    </w:p>
    <w:p>
      <w:pPr>
        <w:spacing w:after="0" w:line="109"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Preclinical data and clinical trials from all of the development phases provide the data required to prepare and submit an NDA, a Biological License Applicaton (BLA) or other submission for regulatory approval to the FDA or similar government agencies outside the United States. The specifc requirements (e.g., scope of clinical trials) for obtaining regulatory approval vary across diferent countries and geographic regions.</w:t>
      </w:r>
    </w:p>
    <w:p>
      <w:pPr>
        <w:spacing w:after="0" w:line="92" w:lineRule="exact"/>
        <w:rPr>
          <w:color w:val="auto"/>
          <w:sz w:val="20"/>
          <w:szCs w:val="20"/>
        </w:rPr>
      </w:pPr>
    </w:p>
    <w:p>
      <w:pPr>
        <w:spacing w:after="0" w:line="234" w:lineRule="auto"/>
        <w:ind w:right="280" w:firstLine="297"/>
        <w:rPr>
          <w:color w:val="auto"/>
          <w:sz w:val="20"/>
          <w:szCs w:val="20"/>
        </w:rPr>
      </w:pPr>
      <w:r>
        <w:rPr>
          <w:rFonts w:ascii="Calibri" w:eastAsia="Calibri" w:hAnsi="Calibri" w:cs="Calibri"/>
          <w:color w:val="auto"/>
          <w:sz w:val="12"/>
          <w:szCs w:val="12"/>
        </w:rPr>
        <w:t>The research and development process from discovery through a new drug launch typically takes 8 to 12 years and can be even longer. The research and development of new pharmaceutcal products has a signifcant amount of inherent uncertainty. There is no guarantee when, or if, a molecule will receive the regulatory approval required to launch a new drug or indicaton.</w:t>
      </w:r>
    </w:p>
    <w:p>
      <w:pPr>
        <w:spacing w:after="0" w:line="101"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In additon to the development of new products, delivery devices and new formulatons, research and development projects also may include Phase 4 trials, sometmes called post-marketng studies. For such projects, clinical trials are designed and conducted to collect additonal data regarding, among other parameters, the benefts and risks of an approved drug.</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Regulaton—Discovery and Clinical Development</w:t>
      </w:r>
    </w:p>
    <w:p>
      <w:pPr>
        <w:spacing w:after="0" w:line="92" w:lineRule="exact"/>
        <w:rPr>
          <w:color w:val="auto"/>
          <w:sz w:val="20"/>
          <w:szCs w:val="20"/>
        </w:rPr>
      </w:pPr>
    </w:p>
    <w:p>
      <w:pPr>
        <w:spacing w:after="0" w:line="235" w:lineRule="auto"/>
        <w:ind w:right="40" w:firstLine="297"/>
        <w:rPr>
          <w:color w:val="auto"/>
          <w:sz w:val="20"/>
          <w:szCs w:val="20"/>
        </w:rPr>
      </w:pPr>
      <w:r>
        <w:rPr>
          <w:rFonts w:ascii="Calibri" w:eastAsia="Calibri" w:hAnsi="Calibri" w:cs="Calibri"/>
          <w:b/>
          <w:bCs/>
          <w:i/>
          <w:iCs/>
          <w:color w:val="444867"/>
          <w:sz w:val="12"/>
          <w:szCs w:val="12"/>
        </w:rPr>
        <w:t xml:space="preserve">United States. </w:t>
      </w:r>
      <w:r>
        <w:rPr>
          <w:rFonts w:ascii="Calibri" w:eastAsia="Calibri" w:hAnsi="Calibri" w:cs="Calibri"/>
          <w:color w:val="000000"/>
          <w:sz w:val="12"/>
          <w:szCs w:val="12"/>
        </w:rPr>
        <w:t>Securing approval to market a new pharmaceutcal product in the United States requires substantal efort and fnancial resources and takes several years to complete. The applicant must complete preclinical tests</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and submit protocols to the FDA before commencing clinical trials. Clinical trials are intended to establish the safety and efcacy of the pharmaceutcal product and typically are conducted in sequental phases, although the phases may overlap or be combined. If the required clinical testng is successful, the results are submited to the FDA in the form of an NDA or BLA requestng approval to market the product for one or more indicatons. The FDA reviews an NDA or BLA to determine whether a product is safe and efectve for its intended use and whether its manufacturing is compliant with current Good Manufacturing Practces (cGMP).</w:t>
      </w:r>
    </w:p>
    <w:p>
      <w:pPr>
        <w:spacing w:after="0" w:line="101"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Compliance with regulatory requirements is assured through periodic, announced or unannounced inspectons by the FDA and other regulatory authorites, and these inspectons associated with clinical development may include the sponsor, investgator sites, laboratories, hospitals and manufacturing facilites of AbbVie's subcontractors or other third-party manufacturers. Failure to comply with applicable regulatory requirements can result in enforcement acton by the FDA, including rejecton of an NDA or BLA.</w:t>
      </w:r>
    </w:p>
    <w:p>
      <w:pPr>
        <w:spacing w:after="0" w:line="103"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Even if an NDA or a BLA receives approval, the applicant must comply with post-approval requirements. For example, holders of an approval must report adverse reactons, provide updated safety and efcacy informaton and comply with requirements concerning advertsing and promotonal materials and actvites. Also, quality control and manufacturing procedures must contnue to conform to cGMP afer approval, and certain changes to the manufacturing procedures and fnished product must be submited and approved by the FDA prior to implementaton. The FDA periodically inspects manufacturing facilites to assess compliance with cGMP, which imposes extensive procedural and record keeping requirements. In additon, as a conditon of approval, the FDA may require post-marketng testng and surveillance to further assess and monitor the product's safety or efcacy afer commercializaton, which may require additonal clinical trials, patent registries, observatonal data or additonal work on chemistry, manufacturing and controls. Any post-approval</w:t>
      </w:r>
    </w:p>
    <w:p>
      <w:pPr>
        <w:spacing w:after="0" w:line="20" w:lineRule="exact"/>
        <w:rPr>
          <w:color w:val="auto"/>
          <w:sz w:val="20"/>
          <w:szCs w:val="20"/>
        </w:rPr>
      </w:pPr>
      <w:r>
        <w:rPr>
          <w:color w:val="auto"/>
          <w:sz w:val="20"/>
          <w:szCs w:val="20"/>
        </w:rPr>
        <w:drawing>
          <wp:anchor simplePos="0" relativeHeight="251681792" behindDoc="1" locked="0" layoutInCell="0" allowOverlap="1">
            <wp:simplePos x="0" y="0"/>
            <wp:positionH relativeFrom="column">
              <wp:posOffset>6475730</wp:posOffset>
            </wp:positionH>
            <wp:positionV relativeFrom="paragraph">
              <wp:posOffset>251460</wp:posOffset>
            </wp:positionV>
            <wp:extent cx="400050" cy="7429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1" w:lineRule="exact"/>
        <w:rPr>
          <w:color w:val="auto"/>
          <w:sz w:val="20"/>
          <w:szCs w:val="20"/>
        </w:rPr>
      </w:pPr>
    </w:p>
    <w:tbl>
      <w:tblPr>
        <w:tblInd w:w="0" w:type="dxa"/>
        <w:tblLayout w:type="fixed"/>
        <w:tblCellMar>
          <w:top w:w="0" w:type="dxa"/>
          <w:left w:w="0" w:type="dxa"/>
          <w:bottom w:w="0" w:type="dxa"/>
          <w:right w:w="0" w:type="dxa"/>
        </w:tblCellMar>
      </w:tblPr>
      <w:tblGrid>
        <w:gridCol w:w="10700"/>
        <w:gridCol w:w="600"/>
      </w:tblGrid>
      <w:tr>
        <w:tblPrEx>
          <w:tblInd w:w="0" w:type="dxa"/>
          <w:tblLayout w:type="fixed"/>
        </w:tblPrEx>
        <w:trPr>
          <w:trHeight w:val="155"/>
        </w:trPr>
        <w:tc>
          <w:tcPr>
            <w:tcW w:w="1070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00" w:type="dxa"/>
            <w:vAlign w:val="bottom"/>
          </w:tcPr>
          <w:p>
            <w:pPr>
              <w:spacing w:after="0"/>
              <w:jc w:val="right"/>
              <w:rPr>
                <w:color w:val="auto"/>
                <w:sz w:val="20"/>
                <w:szCs w:val="20"/>
              </w:rPr>
            </w:pPr>
            <w:r>
              <w:rPr>
                <w:rFonts w:ascii="Calibri" w:eastAsia="Calibri" w:hAnsi="Calibri" w:cs="Calibri"/>
                <w:b/>
                <w:bCs/>
                <w:i/>
                <w:iCs/>
                <w:color w:val="auto"/>
                <w:sz w:val="12"/>
                <w:szCs w:val="12"/>
              </w:rPr>
              <w:t>8</w:t>
            </w:r>
          </w:p>
        </w:tc>
      </w:tr>
      <w:tr>
        <w:tblPrEx>
          <w:tblInd w:w="0" w:type="dxa"/>
          <w:tblLayout w:type="fixed"/>
        </w:tblPrEx>
        <w:trPr>
          <w:trHeight w:val="143"/>
        </w:trPr>
        <w:tc>
          <w:tcPr>
            <w:tcW w:w="10700" w:type="dxa"/>
            <w:tcBorders>
              <w:bottom w:val="single" w:sz="8" w:space="0" w:color="9A9A9A"/>
            </w:tcBorders>
            <w:vAlign w:val="bottom"/>
          </w:tcPr>
          <w:p>
            <w:pPr>
              <w:spacing w:after="0"/>
              <w:rPr>
                <w:color w:val="auto"/>
                <w:sz w:val="12"/>
                <w:szCs w:val="12"/>
              </w:rPr>
            </w:pPr>
          </w:p>
        </w:tc>
        <w:tc>
          <w:tcPr>
            <w:tcW w:w="60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682816" behindDoc="1" locked="0" layoutInCell="0" allowOverlap="1">
            <wp:simplePos x="0" y="0"/>
            <wp:positionH relativeFrom="column">
              <wp:posOffset>7154545</wp:posOffset>
            </wp:positionH>
            <wp:positionV relativeFrom="paragraph">
              <wp:posOffset>-23495</wp:posOffset>
            </wp:positionV>
            <wp:extent cx="31115" cy="3683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83840" behindDoc="1" locked="0" layoutInCell="0" allowOverlap="1">
            <wp:simplePos x="0" y="0"/>
            <wp:positionH relativeFrom="column">
              <wp:posOffset>-17145</wp:posOffset>
            </wp:positionH>
            <wp:positionV relativeFrom="paragraph">
              <wp:posOffset>-23495</wp:posOffset>
            </wp:positionV>
            <wp:extent cx="31115" cy="3683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10" w:name="page11"/>
    <w:bookmarkEnd w:id="10"/>
    <w:p>
      <w:pPr>
        <w:spacing w:after="0" w:line="234" w:lineRule="auto"/>
        <w:ind w:right="60"/>
        <w:rPr>
          <w:color w:val="auto"/>
          <w:sz w:val="20"/>
          <w:szCs w:val="20"/>
        </w:rPr>
      </w:pPr>
      <w:r>
        <w:rPr>
          <w:rFonts w:ascii="Calibri" w:eastAsia="Calibri" w:hAnsi="Calibri" w:cs="Calibri"/>
          <w:color w:val="auto"/>
          <w:sz w:val="12"/>
          <w:szCs w:val="12"/>
        </w:rPr>
        <w:t>regulatory obligatons, and the cost of complying with such obligatons, could expand in the future. Further, the FDA contnues to regulate product labeling, and prohibits the promoton of products for unapproved or “of-label” uses along with other labeling restrictons.</w:t>
      </w:r>
    </w:p>
    <w:p>
      <w:pPr>
        <w:spacing w:after="0" w:line="92" w:lineRule="exact"/>
        <w:rPr>
          <w:color w:val="auto"/>
          <w:sz w:val="20"/>
          <w:szCs w:val="20"/>
        </w:rPr>
      </w:pPr>
    </w:p>
    <w:p>
      <w:pPr>
        <w:spacing w:after="0" w:line="260" w:lineRule="auto"/>
        <w:ind w:firstLine="297"/>
        <w:rPr>
          <w:color w:val="auto"/>
          <w:sz w:val="20"/>
          <w:szCs w:val="20"/>
        </w:rPr>
      </w:pPr>
      <w:r>
        <w:rPr>
          <w:rFonts w:ascii="Calibri" w:eastAsia="Calibri" w:hAnsi="Calibri" w:cs="Calibri"/>
          <w:b/>
          <w:bCs/>
          <w:i/>
          <w:iCs/>
          <w:color w:val="444867"/>
          <w:sz w:val="11"/>
          <w:szCs w:val="11"/>
        </w:rPr>
        <w:t xml:space="preserve">Outside the United States. </w:t>
      </w:r>
      <w:r>
        <w:rPr>
          <w:rFonts w:ascii="Calibri" w:eastAsia="Calibri" w:hAnsi="Calibri" w:cs="Calibri"/>
          <w:color w:val="000000"/>
          <w:sz w:val="11"/>
          <w:szCs w:val="11"/>
        </w:rPr>
        <w:t>AbbVie is subject to similar regulatory requirements outside the United States for approval and marketng of pharmaceutcal products. AbbVie must obtain approval of a clinical trial applicaton or product</w:t>
      </w:r>
      <w:r>
        <w:rPr>
          <w:rFonts w:ascii="Calibri" w:eastAsia="Calibri" w:hAnsi="Calibri" w:cs="Calibri"/>
          <w:b/>
          <w:bCs/>
          <w:i/>
          <w:iCs/>
          <w:color w:val="444867"/>
          <w:sz w:val="11"/>
          <w:szCs w:val="11"/>
        </w:rPr>
        <w:t xml:space="preserve"> </w:t>
      </w:r>
      <w:r>
        <w:rPr>
          <w:rFonts w:ascii="Calibri" w:eastAsia="Calibri" w:hAnsi="Calibri" w:cs="Calibri"/>
          <w:color w:val="000000"/>
          <w:sz w:val="11"/>
          <w:szCs w:val="11"/>
        </w:rPr>
        <w:t>from applicable supervising regulatory authorites before it can commence clinical trials or marketng of the product in target markets. The approval requirements and process for each country can vary, and the tme required to obtain approval may be longer or shorter than that required for FDA approval in the United States. For example, AbbVie may submit marketng authorizatons in the European Union under either a centralized or decentralized procedure. The centralized procedure is mandatory for the approval of biotechnology products and many pharmaceutcal products and provides for a single marketng authorizaton that is valid for all European Union member states. Under the centralized procedure, a single marketng authorizaton applicaton is submited to the European Medicines Agency. Afer the agency evaluates the applicaton, it makes a recommendaton to the European Commission, which then makes the fnal determinaton on whether to approve the applicaton. The decentralized procedure provides for mutual recogniton of individual natonal approval decisions and is available for products that are not subject to the centralized procedure.</w:t>
      </w:r>
    </w:p>
    <w:p>
      <w:pPr>
        <w:spacing w:after="0" w:line="90"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In Japan, applicatons for approval of a new product are made through the Pharmaceutcal and Medical Devices Agency (PMDA). Japan-specifc trials and/or bridging studies to demonstrate that the non-Japanese clinical data applies to Japanese patents are usually required. Afer completng a comprehensive review, the PMDA reports to the Ministry of Health, Labour and Welfare, which then approves or denies the applicaton.</w:t>
      </w:r>
    </w:p>
    <w:p>
      <w:pPr>
        <w:spacing w:after="0" w:line="101"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Similarly, applicatons for a new product in China are submited to the Center for Drug Evaluaton of the Natonal Medical Products Administraton for technical review and approval of a product for marketng in China. Clinical data in Chinese subjects are usually required to support approval in China, requiring the inclusion of China in global pivotal studies, or a separate China/Asian clinical trial.</w:t>
      </w:r>
    </w:p>
    <w:p>
      <w:pPr>
        <w:spacing w:after="0" w:line="92"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The regulatory process in many emerging markets contnues to evolve. Many emerging markets, including those in Asia, generally require regulatory approval to have been obtained in a large developed market (such as the United States or Europe) before the country will begin or complete its regulatory review process. Similar to the requirements in Japan and China, certain countries (notably South Korea, Taiwan, India and Russia) also generally require that clinical studies that include data from patents in those countries be conducted in order to support local regulatory approval.</w:t>
      </w:r>
    </w:p>
    <w:p>
      <w:pPr>
        <w:spacing w:after="0" w:line="103" w:lineRule="exact"/>
        <w:rPr>
          <w:color w:val="auto"/>
          <w:sz w:val="20"/>
          <w:szCs w:val="20"/>
        </w:rPr>
      </w:pPr>
    </w:p>
    <w:p>
      <w:pPr>
        <w:spacing w:after="0" w:line="271" w:lineRule="auto"/>
        <w:ind w:right="340" w:firstLine="297"/>
        <w:rPr>
          <w:color w:val="auto"/>
          <w:sz w:val="20"/>
          <w:szCs w:val="20"/>
        </w:rPr>
      </w:pPr>
      <w:r>
        <w:rPr>
          <w:rFonts w:ascii="Calibri" w:eastAsia="Calibri" w:hAnsi="Calibri" w:cs="Calibri"/>
          <w:color w:val="auto"/>
          <w:sz w:val="11"/>
          <w:szCs w:val="11"/>
        </w:rPr>
        <w:t>The requirements governing the conduct of clinical trials and product licensing also vary. In additon, post-approval regulatory obligatons such as adverse event reportng and cGMP compliance generally apply and may vary by country. For example, afer a marketng authorizaton has been granted in the European Union, periodic safety reports must be submited and other pharmacovigilance measures may be required (such as Risk Management Plans).</w:t>
      </w:r>
    </w:p>
    <w:p>
      <w:pPr>
        <w:spacing w:after="0" w:line="79"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Regulaton—Commercializaton, Distributon and Manufacturing</w:t>
      </w:r>
    </w:p>
    <w:p>
      <w:pPr>
        <w:spacing w:after="0" w:line="92" w:lineRule="exact"/>
        <w:rPr>
          <w:color w:val="auto"/>
          <w:sz w:val="20"/>
          <w:szCs w:val="20"/>
        </w:rPr>
      </w:pPr>
    </w:p>
    <w:p>
      <w:pPr>
        <w:spacing w:after="0" w:line="260" w:lineRule="auto"/>
        <w:ind w:right="40" w:firstLine="297"/>
        <w:rPr>
          <w:color w:val="auto"/>
          <w:sz w:val="20"/>
          <w:szCs w:val="20"/>
        </w:rPr>
      </w:pPr>
      <w:r>
        <w:rPr>
          <w:rFonts w:ascii="Calibri" w:eastAsia="Calibri" w:hAnsi="Calibri" w:cs="Calibri"/>
          <w:color w:val="auto"/>
          <w:sz w:val="11"/>
          <w:szCs w:val="11"/>
        </w:rPr>
        <w:t>The manufacturing, marketng, sale, promoton and distributon of AbbVie's products are subject to comprehensive government regulaton. Government regulaton by various natonal, regional, federal, state and local agencies, both in the United States and other countries, addresses (among other maters) inspecton of, and controls over, research and laboratory procedures, clinical investgatons, product approvals and manufacturing, labeling, packaging, marketng and promoton, pricing and reimbursement, sampling, distributon, quality control, post-marketng surveillance, record keeping, storage and disposal practces. AbbVie's operatons are also afected by trade regulatons in many countries that limit the import of raw materials and fnished products and by laws and regulatons that seek to prevent corrupton and bribery in the marketplace (including the United States Foreign Corrupt Practces Act and the United Kingdom Bribery Act, which provide guidance on corporate interactons with government ofcials) and require safeguards for the protecton of personal data. In additon, AbbVie is subject to laws and regulatons pertaining to health care fraud and abuse, including state and federal ant-kickback and false claims laws in the United States. Prescripton drug manufacturers such as AbbVie are also subject to taxes, as well as applicaton, product, user and other fees.</w:t>
      </w:r>
    </w:p>
    <w:p>
      <w:pPr>
        <w:spacing w:after="0" w:line="90"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Compliance with these laws and regulatons is costly and materially afects AbbVie's business. Among other efects, health care regulatons substantally increase the tme, difculty and costs incurred in obtaining and maintaining approval to market newly developed and existng products. AbbVie expects compliance with these regulatons to contnue to require signifcant technical expertse and capital investment to ensure compliance. Failure to comply can delay the release of a new product or result in regulatory and enforcement actons, the seizure or recall of a product, the suspension or revocaton of the authority necessary for a product's producton and sale and other civil or criminal sanctons, including fnes and penaltes.</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9</w:t>
      </w:r>
      <w:r>
        <w:rPr>
          <w:color w:val="auto"/>
          <w:sz w:val="20"/>
          <w:szCs w:val="20"/>
        </w:rPr>
        <w:tab/>
      </w:r>
      <w:r>
        <w:rPr>
          <w:color w:val="auto"/>
          <w:sz w:val="1"/>
          <w:szCs w:val="1"/>
        </w:rPr>
        <w:drawing>
          <wp:inline distT="0" distB="0" distL="0" distR="0">
            <wp:extent cx="400050" cy="742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684864" behindDoc="1" locked="0" layoutInCell="0" allowOverlap="1">
            <wp:simplePos x="0" y="0"/>
            <wp:positionH relativeFrom="column">
              <wp:posOffset>-17145</wp:posOffset>
            </wp:positionH>
            <wp:positionV relativeFrom="paragraph">
              <wp:posOffset>133985</wp:posOffset>
            </wp:positionV>
            <wp:extent cx="7203440" cy="3683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11" w:name="page12"/>
    <w:bookmarkEnd w:id="11"/>
    <w:p>
      <w:pPr>
        <w:spacing w:after="0" w:line="234" w:lineRule="auto"/>
        <w:ind w:right="320" w:firstLine="297"/>
        <w:rPr>
          <w:color w:val="auto"/>
          <w:sz w:val="20"/>
          <w:szCs w:val="20"/>
        </w:rPr>
      </w:pPr>
      <w:r>
        <w:rPr>
          <w:rFonts w:ascii="Calibri" w:eastAsia="Calibri" w:hAnsi="Calibri" w:cs="Calibri"/>
          <w:color w:val="auto"/>
          <w:sz w:val="12"/>
          <w:szCs w:val="12"/>
        </w:rPr>
        <w:t>In additon to regulatory initatves, AbbVie's business can be afected by ongoing studies of the utlizaton, safety, efcacy and outcomes of health care products and their components that are regularly conducted by industry partcipants, government agencies and others. These studies can lead to updates to the data regarding utlizaton, safety and efcacy of previously marketed products. In some cases, these studies have resulted, and may in the future result, in the discontnuance of, or limitatons on, marketng of such products domestcally or worldwide, and may give rise to claims for damages from persons who believe they have been injured as a result of their use.</w:t>
      </w:r>
    </w:p>
    <w:p>
      <w:pPr>
        <w:spacing w:after="0" w:line="94" w:lineRule="exact"/>
        <w:rPr>
          <w:color w:val="auto"/>
          <w:sz w:val="20"/>
          <w:szCs w:val="20"/>
        </w:rPr>
      </w:pPr>
    </w:p>
    <w:p>
      <w:pPr>
        <w:spacing w:after="0" w:line="261" w:lineRule="auto"/>
        <w:ind w:right="80" w:firstLine="297"/>
        <w:jc w:val="both"/>
        <w:rPr>
          <w:color w:val="auto"/>
          <w:sz w:val="20"/>
          <w:szCs w:val="20"/>
        </w:rPr>
      </w:pPr>
      <w:r>
        <w:rPr>
          <w:rFonts w:ascii="Calibri" w:eastAsia="Calibri" w:hAnsi="Calibri" w:cs="Calibri"/>
          <w:color w:val="auto"/>
          <w:sz w:val="11"/>
          <w:szCs w:val="11"/>
        </w:rPr>
        <w:t>Access to human health care products contnues to be a subject of oversight, investgaton and acton by governmental agencies, legislatve bodies and private organizatons in the United States and other countries. A major focus is cost containment. Eforts to reduce health care costs are also being made in the private sector, notably by health care payers and providers, which have insttuted various cost reducton and containment measures. AbbVie expects insurers and providers to contnue atempts to reduce the cost of health care products. Outside the United States, many countries control the price of health care products directly or indirectly, through reimbursement, payment, pricing, coverage limitatons, or compulsory licensing. Politcal and budgetary pressures in the United States and in other countries may also heighten the scope and severity of pricing pressures on AbbVie's products for the foreseeable future.</w:t>
      </w:r>
    </w:p>
    <w:p>
      <w:pPr>
        <w:spacing w:after="0" w:line="91" w:lineRule="exact"/>
        <w:rPr>
          <w:color w:val="auto"/>
          <w:sz w:val="20"/>
          <w:szCs w:val="20"/>
        </w:rPr>
      </w:pPr>
    </w:p>
    <w:p>
      <w:pPr>
        <w:spacing w:after="0" w:line="235" w:lineRule="auto"/>
        <w:ind w:right="40" w:firstLine="323"/>
        <w:rPr>
          <w:color w:val="auto"/>
          <w:sz w:val="20"/>
          <w:szCs w:val="20"/>
        </w:rPr>
      </w:pPr>
      <w:r>
        <w:rPr>
          <w:rFonts w:ascii="Calibri" w:eastAsia="Calibri" w:hAnsi="Calibri" w:cs="Calibri"/>
          <w:b/>
          <w:bCs/>
          <w:i/>
          <w:iCs/>
          <w:color w:val="444867"/>
          <w:sz w:val="12"/>
          <w:szCs w:val="12"/>
        </w:rPr>
        <w:t xml:space="preserve">United States. </w:t>
      </w:r>
      <w:r>
        <w:rPr>
          <w:rFonts w:ascii="Calibri" w:eastAsia="Calibri" w:hAnsi="Calibri" w:cs="Calibri"/>
          <w:color w:val="000000"/>
          <w:sz w:val="12"/>
          <w:szCs w:val="12"/>
        </w:rPr>
        <w:t>Specifcally, U.S. federal laws require pharmaceutcal manufacturers to pay certain statutorily-prescribed rebates to state Medicaid programs on prescripton drugs reimbursed under state Medicaid plans, and the</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eforts by states to seek additonal rebates may afect AbbVie's business. Similarly, the Veterans Health Care Act of 1992, as a prerequisite to partcipaton in Medicaid and other federal health care programs, requires that manufacturers extend additonal discounts on pharmaceutcal products to various federal agencies, including the United States Department of Veterans Afairs, Department of Defense and Public Health Service enttes and insttutons. In additon, recent legislatve changes would require similarly discounted prices to be ofered to TRICARE program benefciaries. The Veterans Health Care Act of 1992 also established the 340B drug discount program, which requires pharmaceutcal manufacturers to provide products at reduced prices to various designated health care enttes and facilites.</w:t>
      </w:r>
    </w:p>
    <w:p>
      <w:pPr>
        <w:spacing w:after="0" w:line="102"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In the United States, most states also have generic substtuton legislaton requiring or permitng a dispensing pharmacist to substtute a diferent manufacturer's generic version of a pharmaceutcal product for the one prescribed. In additon, the federal government follows a diagnosis-related group (DRG) payment system for certain insttutonal services provided under Medicare or Medicaid and has implemented a prospectve payment system (PPS) for services delivered in hospital outpatent, nursing home and home health setngs. DRG and PPS enttle a health care facility to a fxed reimbursement based on the diagnosis and/or procedure rather than actual costs incurred in patent treatment, thereby increasing the incentve for the facility to limit or control expenditures for many health care products. Medicare reimburses Part B drugs based on average sales price plus a certain percentage to account for physician administraton costs, which have been reduced in the hospital outpatent setng. Medicare enters into contracts with private plans to negotate prices for most patent-administered medicine delivered under Part D.</w:t>
      </w:r>
    </w:p>
    <w:p>
      <w:pPr>
        <w:spacing w:after="0" w:line="93" w:lineRule="exact"/>
        <w:rPr>
          <w:color w:val="auto"/>
          <w:sz w:val="20"/>
          <w:szCs w:val="20"/>
        </w:rPr>
      </w:pPr>
    </w:p>
    <w:p>
      <w:pPr>
        <w:spacing w:after="0" w:line="234" w:lineRule="auto"/>
        <w:ind w:right="340" w:firstLine="297"/>
        <w:rPr>
          <w:color w:val="auto"/>
          <w:sz w:val="20"/>
          <w:szCs w:val="20"/>
        </w:rPr>
      </w:pPr>
      <w:r>
        <w:rPr>
          <w:rFonts w:ascii="Calibri" w:eastAsia="Calibri" w:hAnsi="Calibri" w:cs="Calibri"/>
          <w:color w:val="auto"/>
          <w:sz w:val="12"/>
          <w:szCs w:val="12"/>
        </w:rPr>
        <w:t>Under the Patent Protecton and Afordable Care Act and the Health Care and Educaton Reconciliaton Act (together, the Afordable Care Act), AbbVie pays a fee related to its pharmaceutcals sales to government programs. In additon, through the end of 2024 AbbVie provided a discount of 70% for branded prescripton drugs sold to patents who fell into the Medicare Part D coverage gap, or "donut hole."</w:t>
      </w:r>
    </w:p>
    <w:p>
      <w:pPr>
        <w:spacing w:after="0" w:line="101" w:lineRule="exact"/>
        <w:rPr>
          <w:color w:val="auto"/>
          <w:sz w:val="20"/>
          <w:szCs w:val="20"/>
        </w:rPr>
      </w:pPr>
    </w:p>
    <w:p>
      <w:pPr>
        <w:spacing w:after="0" w:line="235" w:lineRule="auto"/>
        <w:ind w:right="100" w:firstLine="297"/>
        <w:rPr>
          <w:color w:val="auto"/>
          <w:sz w:val="20"/>
          <w:szCs w:val="20"/>
        </w:rPr>
      </w:pPr>
      <w:r>
        <w:rPr>
          <w:rFonts w:ascii="Calibri" w:eastAsia="Calibri" w:hAnsi="Calibri" w:cs="Calibri"/>
          <w:color w:val="auto"/>
          <w:sz w:val="12"/>
          <w:szCs w:val="12"/>
        </w:rPr>
        <w:t>The Afordable Care Act also includes provisions known as the Physician Payments Sunshine Act, which require manufacturers of drugs and biologics covered under Medicare and Medicaid to record any transfers of value to physicians and teaching hospitals and to report this data to the Centers for Medicare and Medicaid Services for subsequent public disclosure. Similar reportng requirements have also been enacted on the state level in the United States, and an increasing number of countries worldwide either have adopted or are considering similar laws requiring disclosure of interactons with health care professionals. Failure to report appropriate data may result in civil or criminal fnes and/or penaltes.</w:t>
      </w:r>
    </w:p>
    <w:p>
      <w:pPr>
        <w:spacing w:after="0" w:line="101"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The Infaton Reducton Act of 2022 (the IRA) requires: (i) the government to set prices for select high expenditure Medicare Part D drugs (prices efectve beginning in 2026) and Part B drugs (prices efectve beginning in 2028) that are more than nine years (for small-molecule drugs) or 13 years (for biological products) from their FDA approval, (ii) manufacturers to pay a rebate for Medicare Part B and Part D drugs when prices for those drugs increase faster than infaton beginning in 2022 for Part D and 2023 for Part B, and (iii) a Medicare Part D redesign replacing the current coverage gap provisions and establishing a $2,000 cap for out-of-pocket costs for Medicare benefciaries beginning in 2025, with manufacturers being responsible for 10% of costs up to the $2,000 cap and 20% afer that cap is reached. In August 2023, the U.S. Department of Health and Human Services (HHS), through the Centers for Medicare &amp; Medicaid Services (the CMS), selected Imbruvica as one of the frst 10 medicines subject to government-set prices beginning in 2026. In August 2024, the CMS published Medicare Part D prices that will be applicable to these medicines, including Imbruvica, beginning January 1, 2026. In January 2025, HHS, through the CMS, selected Vraylar and Linzess as two of the 15 medicines subject to government-set prices</w:t>
      </w:r>
    </w:p>
    <w:p>
      <w:pPr>
        <w:spacing w:after="0" w:line="20" w:lineRule="exact"/>
        <w:rPr>
          <w:color w:val="auto"/>
          <w:sz w:val="20"/>
          <w:szCs w:val="20"/>
        </w:rPr>
      </w:pPr>
      <w:r>
        <w:rPr>
          <w:color w:val="auto"/>
          <w:sz w:val="20"/>
          <w:szCs w:val="20"/>
        </w:rPr>
        <w:drawing>
          <wp:anchor simplePos="0" relativeHeight="251685888" behindDoc="1" locked="0" layoutInCell="0" allowOverlap="1">
            <wp:simplePos x="0" y="0"/>
            <wp:positionH relativeFrom="column">
              <wp:posOffset>6475730</wp:posOffset>
            </wp:positionH>
            <wp:positionV relativeFrom="paragraph">
              <wp:posOffset>188595</wp:posOffset>
            </wp:positionV>
            <wp:extent cx="400050" cy="7429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2"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10</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686912" behindDoc="1" locked="0" layoutInCell="0" allowOverlap="1">
            <wp:simplePos x="0" y="0"/>
            <wp:positionH relativeFrom="column">
              <wp:posOffset>7154545</wp:posOffset>
            </wp:positionH>
            <wp:positionV relativeFrom="paragraph">
              <wp:posOffset>-23495</wp:posOffset>
            </wp:positionV>
            <wp:extent cx="31115" cy="3683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87936" behindDoc="1" locked="0" layoutInCell="0" allowOverlap="1">
            <wp:simplePos x="0" y="0"/>
            <wp:positionH relativeFrom="column">
              <wp:posOffset>-17145</wp:posOffset>
            </wp:positionH>
            <wp:positionV relativeFrom="paragraph">
              <wp:posOffset>-23495</wp:posOffset>
            </wp:positionV>
            <wp:extent cx="31115" cy="3683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12" w:name="page13"/>
    <w:bookmarkEnd w:id="12"/>
    <w:p>
      <w:pPr>
        <w:spacing w:after="0" w:line="234" w:lineRule="auto"/>
        <w:ind w:right="380"/>
        <w:rPr>
          <w:color w:val="auto"/>
          <w:sz w:val="20"/>
          <w:szCs w:val="20"/>
        </w:rPr>
      </w:pPr>
      <w:r>
        <w:rPr>
          <w:rFonts w:ascii="Calibri" w:eastAsia="Calibri" w:hAnsi="Calibri" w:cs="Calibri"/>
          <w:color w:val="auto"/>
          <w:sz w:val="12"/>
          <w:szCs w:val="12"/>
        </w:rPr>
        <w:t>beginning in 2027. It is possible that more of our products, including products that generate substantal revenues, could be selected in future years, which could, among other things, accelerate revenue erosion prior to expiraton of intellectual property protectons. The efect of reducing prices and reimbursement could signifcantly impact revenues for certain of our products.</w:t>
      </w:r>
    </w:p>
    <w:p>
      <w:pPr>
        <w:spacing w:after="0" w:line="101" w:lineRule="exact"/>
        <w:rPr>
          <w:color w:val="auto"/>
          <w:sz w:val="20"/>
          <w:szCs w:val="20"/>
        </w:rPr>
      </w:pPr>
    </w:p>
    <w:p>
      <w:pPr>
        <w:spacing w:after="0" w:line="235" w:lineRule="auto"/>
        <w:ind w:right="60" w:firstLine="297"/>
        <w:rPr>
          <w:color w:val="auto"/>
          <w:sz w:val="20"/>
          <w:szCs w:val="20"/>
        </w:rPr>
      </w:pPr>
      <w:r>
        <w:rPr>
          <w:rFonts w:ascii="Calibri" w:eastAsia="Calibri" w:hAnsi="Calibri" w:cs="Calibri"/>
          <w:b/>
          <w:bCs/>
          <w:i/>
          <w:iCs/>
          <w:color w:val="444867"/>
          <w:sz w:val="12"/>
          <w:szCs w:val="12"/>
        </w:rPr>
        <w:t xml:space="preserve">European Union. </w:t>
      </w:r>
      <w:r>
        <w:rPr>
          <w:rFonts w:ascii="Calibri" w:eastAsia="Calibri" w:hAnsi="Calibri" w:cs="Calibri"/>
          <w:color w:val="000000"/>
          <w:sz w:val="12"/>
          <w:szCs w:val="12"/>
        </w:rPr>
        <w:t>The European Union has adopted directves and other legislaton governing labeling, advertsing, distributon, supply, pharmacovigilance and marketng of pharmaceutcal products. Such legislaton provides</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mandatory standards throughout the European Union and permits member states to supplement these standards with additonal regulatons. European governments also regulate pharmaceutcal product prices through their control of natonal health care systems that fund a large part of the cost of such products to consumers. As a result, patents are unlikely to use a pharmaceutcal product that is not reimbursed by the government. In many European countries, the government either regulates the pricing of a new product at launch or subsequent launch through direct price controls or reference pricing. In recent years, many countries have also imposed new or additonal cost containment measures on pharmaceutcal products. Diferences between natonal pricing regimes create price diferentals within the European Union that can lead to signifcant parallel trade in pharmaceutcal products.</w:t>
      </w:r>
    </w:p>
    <w:p>
      <w:pPr>
        <w:spacing w:after="0" w:line="93" w:lineRule="exact"/>
        <w:rPr>
          <w:color w:val="auto"/>
          <w:sz w:val="20"/>
          <w:szCs w:val="20"/>
        </w:rPr>
      </w:pPr>
    </w:p>
    <w:p>
      <w:pPr>
        <w:spacing w:after="0" w:line="234" w:lineRule="auto"/>
        <w:ind w:right="320" w:firstLine="297"/>
        <w:rPr>
          <w:color w:val="auto"/>
          <w:sz w:val="20"/>
          <w:szCs w:val="20"/>
        </w:rPr>
      </w:pPr>
      <w:r>
        <w:rPr>
          <w:rFonts w:ascii="Calibri" w:eastAsia="Calibri" w:hAnsi="Calibri" w:cs="Calibri"/>
          <w:color w:val="auto"/>
          <w:sz w:val="12"/>
          <w:szCs w:val="12"/>
        </w:rPr>
        <w:t>Most governments also promote generic substtuton by mandatng or permitng a pharmacist to substtute a diferent manufacturer's generic version of a pharmaceutcal product for the one prescribed and by permitng or mandatng that health care professionals prescribe generic versions in certain circumstances. Many governments are also following a similar path for biosimilar therapies. In additon, governments use reimbursement lists to limit the pharmaceutcal products that are eligible for reimbursement by natonal health care systems.</w:t>
      </w:r>
    </w:p>
    <w:p>
      <w:pPr>
        <w:spacing w:after="0" w:line="103" w:lineRule="exact"/>
        <w:rPr>
          <w:color w:val="auto"/>
          <w:sz w:val="20"/>
          <w:szCs w:val="20"/>
        </w:rPr>
      </w:pPr>
    </w:p>
    <w:p>
      <w:pPr>
        <w:spacing w:after="0" w:line="234" w:lineRule="auto"/>
        <w:ind w:right="140" w:firstLine="323"/>
        <w:rPr>
          <w:color w:val="auto"/>
          <w:sz w:val="20"/>
          <w:szCs w:val="20"/>
        </w:rPr>
      </w:pPr>
      <w:r>
        <w:rPr>
          <w:rFonts w:ascii="Calibri" w:eastAsia="Calibri" w:hAnsi="Calibri" w:cs="Calibri"/>
          <w:b/>
          <w:bCs/>
          <w:i/>
          <w:iCs/>
          <w:color w:val="444867"/>
          <w:sz w:val="12"/>
          <w:szCs w:val="12"/>
        </w:rPr>
        <w:t xml:space="preserve">Japan. </w:t>
      </w:r>
      <w:r>
        <w:rPr>
          <w:rFonts w:ascii="Calibri" w:eastAsia="Calibri" w:hAnsi="Calibri" w:cs="Calibri"/>
          <w:color w:val="000000"/>
          <w:sz w:val="12"/>
          <w:szCs w:val="12"/>
        </w:rPr>
        <w:t>In Japan, the Natonal Health Insurance system maintains a Drug Price List specifying which pharmaceutcal products are eligible for reimbursement, and the Ministry of Health, Labour and Welfare sets the prices of the</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products on this list. The government generally introduces price cut rounds every other year and also mandates price decreases for specifc products. New products judged innovatve or useful, that are indicated for pediatric use, or that target orphan or small populaton diseases, however, may be eligible for a pricing premium. The government has also promoted the use of generics, where available.</w:t>
      </w:r>
    </w:p>
    <w:p>
      <w:pPr>
        <w:spacing w:after="0" w:line="103" w:lineRule="exact"/>
        <w:rPr>
          <w:color w:val="auto"/>
          <w:sz w:val="20"/>
          <w:szCs w:val="20"/>
        </w:rPr>
      </w:pPr>
    </w:p>
    <w:p>
      <w:pPr>
        <w:spacing w:after="0" w:line="234" w:lineRule="auto"/>
        <w:ind w:right="320" w:firstLine="323"/>
        <w:rPr>
          <w:color w:val="auto"/>
          <w:sz w:val="20"/>
          <w:szCs w:val="20"/>
        </w:rPr>
      </w:pPr>
      <w:r>
        <w:rPr>
          <w:rFonts w:ascii="Calibri" w:eastAsia="Calibri" w:hAnsi="Calibri" w:cs="Calibri"/>
          <w:b/>
          <w:bCs/>
          <w:i/>
          <w:iCs/>
          <w:color w:val="444867"/>
          <w:sz w:val="12"/>
          <w:szCs w:val="12"/>
        </w:rPr>
        <w:t xml:space="preserve">Emerging Markets. </w:t>
      </w:r>
      <w:r>
        <w:rPr>
          <w:rFonts w:ascii="Calibri" w:eastAsia="Calibri" w:hAnsi="Calibri" w:cs="Calibri"/>
          <w:color w:val="000000"/>
          <w:sz w:val="12"/>
          <w:szCs w:val="12"/>
        </w:rPr>
        <w:t>Many emerging markets take steps to reduce pharmaceutcal product prices, in some cases through direct price controls and in others through the promoton of generic/biosimilar alternatves to branded</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pharmaceutcals.</w:t>
      </w:r>
    </w:p>
    <w:p>
      <w:pPr>
        <w:spacing w:after="0" w:line="92"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Since AbbVie markets its products worldwide, certain products of a local nature and variatons of product lines must also meet other local regulatory requirements. Certain additonal risks are inherent in conductng business outside the United States, including price and currency exchange controls, changes in currency exchange rates, limitatons on partcipaton in local enterprises, expropriaton, natonalizaton and other governmental acton.</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Regulaton – Medical Devices</w:t>
      </w:r>
    </w:p>
    <w:p>
      <w:pPr>
        <w:spacing w:after="0" w:line="1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Medical devices are subject to regulaton by the FDA, state agencies and foreign government health authorites. FDA regulatons, as well as various U.S. federal and state laws, govern the development, clinical testng, manufacturing, labeling, record keeping and marketng of medical device products agencies in the United States. AbbVie’s medical device product candidates, including AbbVie’s breast implants, must undergo rigorous clinical testng and an extensive government regulatory clearance or approval process prior to sale in the United States and other countries. The lengthy process of clinical development and submissions for clearance or approval, and the contnuing need for compliance with applicable laws and regulatons, require the expenditure of substantal resources. Regulatory clearance or approval, when and if obtained, may be limited in scope, and may signifcantly limit the indicated uses for which a product may be marketed. Cleared or approved products and their manufacturers are subject to ongoing review, and discovery of previously unknown problems with products may result in restrictons on their manufacture, sale and/or use or require their withdrawal from the market.</w:t>
      </w:r>
    </w:p>
    <w:p>
      <w:pPr>
        <w:spacing w:after="0" w:line="93" w:lineRule="exact"/>
        <w:rPr>
          <w:color w:val="auto"/>
          <w:sz w:val="20"/>
          <w:szCs w:val="20"/>
        </w:rPr>
      </w:pPr>
    </w:p>
    <w:p>
      <w:pPr>
        <w:spacing w:after="0" w:line="235" w:lineRule="auto"/>
        <w:ind w:firstLine="297"/>
        <w:rPr>
          <w:color w:val="auto"/>
          <w:sz w:val="20"/>
          <w:szCs w:val="20"/>
        </w:rPr>
      </w:pPr>
      <w:r>
        <w:rPr>
          <w:rFonts w:ascii="Calibri" w:eastAsia="Calibri" w:hAnsi="Calibri" w:cs="Calibri"/>
          <w:b/>
          <w:bCs/>
          <w:i/>
          <w:iCs/>
          <w:color w:val="444867"/>
          <w:sz w:val="12"/>
          <w:szCs w:val="12"/>
        </w:rPr>
        <w:t>United States</w:t>
      </w:r>
      <w:r>
        <w:rPr>
          <w:rFonts w:ascii="Calibri" w:eastAsia="Calibri" w:hAnsi="Calibri" w:cs="Calibri"/>
          <w:color w:val="000000"/>
          <w:sz w:val="12"/>
          <w:szCs w:val="12"/>
        </w:rPr>
        <w:t>. AbbVie’s medical device products are subject to extensive regulaton by the FDA in the United States. Unless an exempton applies, each medical device AbbVie markets in the United States must have a 510(k)</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clearance or a Premarket Approval Applicaton (PMA) in accordance with the FFDCA and its implementng regulatons. The FDA classifes medical devices into one of three classes, depending on the degree of risk associated with each medical device and the extent of controls that are needed to ensure safety and efectveness. Devices deemed to pose a lower risk are placed in either Class I or Class II, and devices deemed by the FDA to pose the greatest risk, such as life-sustaining, life-supportng or implantable devices, or a device deemed to be not substantally equivalent to a previously cleared 510(k) device, are placed in Class III. In general, a Class III device cannot be marketed in the United States unless the FDA approves the device afer submission of a PMA, and any changes to the device subsequent to inital FDA approval must also be reviewed and approved by the FDA. The majority of AbbVie’s medical device products, including AbbVie’s breast implants, are regulated as Class III medical devices. A</w:t>
      </w:r>
    </w:p>
    <w:p>
      <w:pPr>
        <w:spacing w:after="0" w:line="205"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11</w:t>
      </w:r>
      <w:r>
        <w:rPr>
          <w:color w:val="auto"/>
          <w:sz w:val="20"/>
          <w:szCs w:val="20"/>
        </w:rPr>
        <w:tab/>
      </w:r>
      <w:r>
        <w:rPr>
          <w:color w:val="auto"/>
          <w:sz w:val="1"/>
          <w:szCs w:val="1"/>
        </w:rPr>
        <w:drawing>
          <wp:inline distT="0" distB="0" distL="0" distR="0">
            <wp:extent cx="400050" cy="742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688960" behindDoc="1" locked="0" layoutInCell="0" allowOverlap="1">
            <wp:simplePos x="0" y="0"/>
            <wp:positionH relativeFrom="column">
              <wp:posOffset>-17145</wp:posOffset>
            </wp:positionH>
            <wp:positionV relativeFrom="paragraph">
              <wp:posOffset>133985</wp:posOffset>
            </wp:positionV>
            <wp:extent cx="7203440" cy="3683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665" w:right="319" w:bottom="1440" w:left="300" w:header="0" w:footer="0" w:gutter="0"/>
          <w:cols w:num="1" w:space="720" w:equalWidth="0">
            <w:col w:w="11280" w:space="0"/>
          </w:cols>
        </w:sectPr>
      </w:pPr>
    </w:p>
    <w:bookmarkStart w:id="13" w:name="page14"/>
    <w:bookmarkEnd w:id="13"/>
    <w:p>
      <w:pPr>
        <w:spacing w:after="0" w:line="235" w:lineRule="auto"/>
        <w:ind w:right="20"/>
        <w:rPr>
          <w:color w:val="auto"/>
          <w:sz w:val="20"/>
          <w:szCs w:val="20"/>
        </w:rPr>
      </w:pPr>
      <w:r>
        <w:rPr>
          <w:rFonts w:ascii="Calibri" w:eastAsia="Calibri" w:hAnsi="Calibri" w:cs="Calibri"/>
          <w:color w:val="auto"/>
          <w:sz w:val="12"/>
          <w:szCs w:val="12"/>
        </w:rPr>
        <w:t>Class III device may have signifcant additonal obligatons imposed in its conditons of approval, and the tme in which it takes to obtain approval can be long. Compliance with regulatory requirements is assured through periodic, unannounced facility inspectons by the FDA and other regulatory authorites, and these inspectons may include the manufacturing facilites of AbbVie’s subcontractors or other third-party manufacturers. Failure to comply with applicable regulatory requirements can result in enforcement acton by the FDA, which may include any of the following sanctons: warning leters or unttled leters; fnes, injunctons and civil penaltes; recall or seizure of AbbVie’ products; operatng restrictons, partal suspension or total shutdown of producton; refusing AbbVie’ request for 510(k) clearance or PMA approval of new products; withdrawing 510(k) clearance or PMA approvals that are already granted; and criminal prosecuton.</w:t>
      </w:r>
    </w:p>
    <w:p>
      <w:pPr>
        <w:spacing w:after="0" w:line="93" w:lineRule="exact"/>
        <w:rPr>
          <w:color w:val="auto"/>
          <w:sz w:val="20"/>
          <w:szCs w:val="20"/>
        </w:rPr>
      </w:pPr>
    </w:p>
    <w:p>
      <w:pPr>
        <w:spacing w:after="0" w:line="264" w:lineRule="auto"/>
        <w:ind w:right="60" w:firstLine="297"/>
        <w:rPr>
          <w:color w:val="auto"/>
          <w:sz w:val="20"/>
          <w:szCs w:val="20"/>
        </w:rPr>
      </w:pPr>
      <w:r>
        <w:rPr>
          <w:rFonts w:ascii="Calibri" w:eastAsia="Calibri" w:hAnsi="Calibri" w:cs="Calibri"/>
          <w:color w:val="auto"/>
          <w:sz w:val="11"/>
          <w:szCs w:val="11"/>
        </w:rPr>
        <w:t>A clinical trial is almost always required to support a PMA applicaton and is sometmes required for a 510(k) premarket notfcaton. Clinical trials generally require submission of an applicaton for an investgatonal device exempton (IDE), which must be supported by appropriate data, such as animal and laboratory testng results, showing that it is safe to test the device in humans and that the testng protocol is scientfcally sound. A study sponsor must obtain approval for its IDE from the FDA, and it must also obtain approval of its study from the Insttutonal Review Board overseeing the trial. The results of clinical testng may not be sufcient to obtain approval of the investgatonal device.</w:t>
      </w:r>
    </w:p>
    <w:p>
      <w:pPr>
        <w:spacing w:after="0" w:line="88" w:lineRule="exact"/>
        <w:rPr>
          <w:color w:val="auto"/>
          <w:sz w:val="20"/>
          <w:szCs w:val="20"/>
        </w:rPr>
      </w:pPr>
    </w:p>
    <w:p>
      <w:pPr>
        <w:spacing w:after="0" w:line="260" w:lineRule="auto"/>
        <w:ind w:right="40" w:firstLine="297"/>
        <w:rPr>
          <w:color w:val="auto"/>
          <w:sz w:val="20"/>
          <w:szCs w:val="20"/>
        </w:rPr>
      </w:pPr>
      <w:r>
        <w:rPr>
          <w:rFonts w:ascii="Calibri" w:eastAsia="Calibri" w:hAnsi="Calibri" w:cs="Calibri"/>
          <w:color w:val="auto"/>
          <w:sz w:val="11"/>
          <w:szCs w:val="11"/>
        </w:rPr>
        <w:t>Once a device is approved, the manufacture and distributon of the device remains subject to contnuing regulaton by the FDA, including Quality System Regulaton requirements, which involve design, testng, control, documentaton and other quality assurance procedures during the manufacturing process. Medical device manufacturers and their subcontractors are required to register their establishments and list their manufactured devices with the FDA and are subject to periodic unannounced inspectons by the FDA and certain state agencies for compliance with regulatory requirements. Manufacturers must also report to the FDA if their devices may have caused or contributed to a death or serious injury or malfunctoned in a way that could likely cause or contribute to a death or serious injury, or if the manufacturer conducts a feld correcton or product recall or removal to reduce a risk to health posed by a device or to remedy a violaton of the FFDCA that may present a health risk. Further, the FDA contnues to regulate device labeling, and prohibits the promoton of products for unapproved or “of-label” uses along with other labeling restrictons.</w:t>
      </w:r>
    </w:p>
    <w:p>
      <w:pPr>
        <w:spacing w:after="0" w:line="92" w:lineRule="exact"/>
        <w:rPr>
          <w:color w:val="auto"/>
          <w:sz w:val="20"/>
          <w:szCs w:val="20"/>
        </w:rPr>
      </w:pPr>
    </w:p>
    <w:p>
      <w:pPr>
        <w:spacing w:after="0" w:line="235" w:lineRule="auto"/>
        <w:ind w:right="100" w:firstLine="297"/>
        <w:rPr>
          <w:color w:val="auto"/>
          <w:sz w:val="20"/>
          <w:szCs w:val="20"/>
        </w:rPr>
      </w:pPr>
      <w:r>
        <w:rPr>
          <w:rFonts w:ascii="Calibri" w:eastAsia="Calibri" w:hAnsi="Calibri" w:cs="Calibri"/>
          <w:b/>
          <w:bCs/>
          <w:i/>
          <w:iCs/>
          <w:color w:val="444867"/>
          <w:sz w:val="12"/>
          <w:szCs w:val="12"/>
        </w:rPr>
        <w:t xml:space="preserve">European Union. </w:t>
      </w:r>
      <w:r>
        <w:rPr>
          <w:rFonts w:ascii="Calibri" w:eastAsia="Calibri" w:hAnsi="Calibri" w:cs="Calibri"/>
          <w:color w:val="000000"/>
          <w:sz w:val="12"/>
          <w:szCs w:val="12"/>
        </w:rPr>
        <w:t>Medical device products that are marketed in the European Union must comply with the requirements of the Medical Device Regulaton (the MDR), which came into efect in May 2021. The MDR provides for</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regulatory oversight with respect to the design, manufacture, clinical trials, labeling and adverse event reportng for medical devices to ensure that medical devices marketed in the European Union are safe and efectve for their intended uses. Medical devices that comply with the MDR are enttled to bear a Conformité Européenne marking evidencing such compliance and may be marketed in the European Union. Failure to comply with these domestc and internatonal regulatory requirements could afect AbbVie’s ability to market and sell AbbVie’s products in these countries.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Environmental Maters</w:t>
      </w:r>
    </w:p>
    <w:p>
      <w:pPr>
        <w:spacing w:after="0" w:line="101"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AbbVie believes that its operatons comply in all material respects with applicable laws and regulatons concerning environmental protecton. Regulatons under federal and state environmental laws impose stringent limitatons on emissions and discharges to the environment from various manufacturing operatons. AbbVie's capital expenditures for polluton control in 2024 were approximately $13 million and operatng expenditures were approximately $35 million. In 2025, capital expenditures for polluton control are estmated to be approximately $15 million and operatng expenditures are estmated to be approximately $37 million.</w:t>
      </w:r>
    </w:p>
    <w:p>
      <w:pPr>
        <w:spacing w:after="0" w:line="103"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Abbot was identfed as one of many potentally responsible partes in investgatons and/or remediatons at several locatons in the United States, including Puerto Rico, under the Comprehensive Environmental Response, Compensaton and Liability Act, commonly known as Superfund. Some of these locatons were transferred to AbbVie in connecton with the separaton and distributon, and AbbVie has become a party to these investgatons and remediatons. Abbot was also engaged in remediaton at several other sites, some of which have been transferred to AbbVie in connecton with the separaton and distributon, in cooperaton with the Environmental Protecton Agency or similar agencies. While it is not feasible to predict with certainty the fnal costs related to those investgatons and remediaton actvites, AbbVie believes that such costs, together with other expenditures to maintain compliance with applicable laws and regulatons concerning environmental protecton, should not have a material adverse efect on the company's fnancial positon, cash fows, or results of operatons.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Employees</w:t>
      </w:r>
    </w:p>
    <w:p>
      <w:pPr>
        <w:spacing w:after="0" w:line="101"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AbbVie employed approximately 55,000 employees in over 70 countries as of January 31, 2025. Outside the United States, some of AbbVie's employees are represented by unions or works councils. AbbVie believes that it has good relatons with its employees.</w:t>
      </w:r>
    </w:p>
    <w:p>
      <w:pPr>
        <w:spacing w:after="0" w:line="20" w:lineRule="exact"/>
        <w:rPr>
          <w:color w:val="auto"/>
          <w:sz w:val="20"/>
          <w:szCs w:val="20"/>
        </w:rPr>
      </w:pPr>
      <w:r>
        <w:rPr>
          <w:color w:val="auto"/>
          <w:sz w:val="20"/>
          <w:szCs w:val="20"/>
        </w:rPr>
        <w:drawing>
          <wp:anchor simplePos="0" relativeHeight="251689984" behindDoc="1" locked="0" layoutInCell="0" allowOverlap="1">
            <wp:simplePos x="0" y="0"/>
            <wp:positionH relativeFrom="column">
              <wp:posOffset>6475730</wp:posOffset>
            </wp:positionH>
            <wp:positionV relativeFrom="paragraph">
              <wp:posOffset>250825</wp:posOffset>
            </wp:positionV>
            <wp:extent cx="400050" cy="7429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12</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691008" behindDoc="1" locked="0" layoutInCell="0" allowOverlap="1">
            <wp:simplePos x="0" y="0"/>
            <wp:positionH relativeFrom="column">
              <wp:posOffset>7154545</wp:posOffset>
            </wp:positionH>
            <wp:positionV relativeFrom="paragraph">
              <wp:posOffset>-23495</wp:posOffset>
            </wp:positionV>
            <wp:extent cx="31115" cy="3683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92032" behindDoc="1" locked="0" layoutInCell="0" allowOverlap="1">
            <wp:simplePos x="0" y="0"/>
            <wp:positionH relativeFrom="column">
              <wp:posOffset>-17145</wp:posOffset>
            </wp:positionH>
            <wp:positionV relativeFrom="paragraph">
              <wp:posOffset>-23495</wp:posOffset>
            </wp:positionV>
            <wp:extent cx="31115" cy="3683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14" w:name="page15"/>
    <w:bookmarkEnd w:id="14"/>
    <w:p>
      <w:pPr>
        <w:spacing w:after="0"/>
        <w:rPr>
          <w:color w:val="auto"/>
          <w:sz w:val="20"/>
          <w:szCs w:val="20"/>
        </w:rPr>
      </w:pPr>
      <w:r>
        <w:rPr>
          <w:rFonts w:ascii="Calibri" w:eastAsia="Calibri" w:hAnsi="Calibri" w:cs="Calibri"/>
          <w:b/>
          <w:bCs/>
          <w:color w:val="444867"/>
          <w:sz w:val="12"/>
          <w:szCs w:val="12"/>
        </w:rPr>
        <w:t>Human Capital Management</w:t>
      </w:r>
    </w:p>
    <w:p>
      <w:pPr>
        <w:spacing w:after="0" w:line="92"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Atractng, retaining and providing meaningful growth and development opportunites to AbbVie's employees is critcal to the company's success in making a remarkable impact on people’s lives around the world. AbbVie leverages numerous resources to identfy and enhance strategic and leadership capability, foster employee engagement and create a culture where talent is productve and engaged. AbbVie invests in its employees through compettve compensaton, benefts and employee support programs and ofers best-in-class development and leadership opportunites. AbbVie has developed a deep talent base through ongoing investment in functonal and leadership training and by sourcing world-class external talent, ensuring a sustainable talent pipeline.</w:t>
      </w:r>
    </w:p>
    <w:p>
      <w:pPr>
        <w:spacing w:after="0" w:line="101" w:lineRule="exact"/>
        <w:rPr>
          <w:color w:val="auto"/>
          <w:sz w:val="20"/>
          <w:szCs w:val="20"/>
        </w:rPr>
      </w:pPr>
    </w:p>
    <w:p>
      <w:pPr>
        <w:spacing w:after="0" w:line="235" w:lineRule="auto"/>
        <w:ind w:right="40" w:firstLine="297"/>
        <w:rPr>
          <w:color w:val="auto"/>
          <w:sz w:val="20"/>
          <w:szCs w:val="20"/>
        </w:rPr>
      </w:pPr>
      <w:r>
        <w:rPr>
          <w:rFonts w:ascii="Calibri" w:eastAsia="Calibri" w:hAnsi="Calibri" w:cs="Calibri"/>
          <w:b/>
          <w:bCs/>
          <w:i/>
          <w:iCs/>
          <w:color w:val="444867"/>
          <w:sz w:val="12"/>
          <w:szCs w:val="12"/>
        </w:rPr>
        <w:t xml:space="preserve">Atractng and Developing Talent. </w:t>
      </w:r>
      <w:r>
        <w:rPr>
          <w:rFonts w:ascii="Calibri" w:eastAsia="Calibri" w:hAnsi="Calibri" w:cs="Calibri"/>
          <w:color w:val="000000"/>
          <w:sz w:val="12"/>
          <w:szCs w:val="12"/>
        </w:rPr>
        <w:t>Atractng and developing high-performing talent is essental to AbbVie’s contnued success. AbbVie implements detailed talent atracton strategies, with an emphasis on STEM skill sets and other</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critcal skillsets, including drug discovery, clinical development, market access and business development. AbbVie seeks candidates with diverse backgrounds, experiences, and perspectves to enhance innovaton and problem-solving. AbbVie also invests in compettve compensaton and benefts programs. In additon to ofering a comprehensive suite of benefts ranging from medical and dental coverage to retrement, disability and life insurance programs, AbbVie also provides health promoton programs, mental health awareness campaigns and employee assistance programs in several countries, fnancial wellness support, on-site health screenings and immunizatons in several countries and on-site ftness and rehabilitaton centers. AbbVie has on-site health care clinics at certain locatons, ofering convenient and afordable access to quality healthcare, fu shots and vaccines. In additon, the AbbVie Employee Assistance Fund (a part of the AbbVie Foundaton) supports two programs for global employees: the AbbVie Possibilites Scholarship for children of employees, which is an annual merit-based scholarship for use at accredited colleges, universites or vocatonal-technical schools; and the Employee Relief Program, which is fnancial assistance to support short term needs of employees when faced with large-scale disasters (e.g. a hurricane), individual disasters (e.g. a home fre) or fnancial hardship (e.g. the death of a spouse). Finally, AbbVie empowers managers and their teams with tools, tps and guidelines on efectvely managing workloads and managing teams from a distance.</w:t>
      </w:r>
    </w:p>
    <w:p>
      <w:pPr>
        <w:spacing w:after="0" w:line="104"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New AbbVie employees are given a tailored onboarding experience for faster integraton and to support performance. One of AbbVie's mentorship programs allows employees to self-nominate as mentors or mentees and facilitates meaningful relatonships supportng employees’ career and development goals.</w:t>
      </w:r>
    </w:p>
    <w:p>
      <w:pPr>
        <w:spacing w:after="0" w:line="92"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AbbVie also provides structured, broad-based development opportunites, focusing on high-performance skills and leadership training. AbbVie's talent philosophy holds leaders accountable for building a high-performing organizaton, and the company provides development opportunites for all levels of leadership. AbbVie's Learn, Develop, Perform program ofers year-long, self-directed leadership educaton, supplemented with tools and resources, and leverages leaders as role models and teachers. In additon, a foundatonal success factor to AbbVie's leadership pipeline is the company's Professional Development Programs, which atract graduates, postgraduates and post-doctoral talent to partcipate in formal development programs lastng up to three years, with the objectve of strengthening functonal and leadership capabilites.</w:t>
      </w:r>
    </w:p>
    <w:p>
      <w:pPr>
        <w:spacing w:after="0" w:line="101" w:lineRule="exact"/>
        <w:rPr>
          <w:color w:val="auto"/>
          <w:sz w:val="20"/>
          <w:szCs w:val="20"/>
        </w:rPr>
      </w:pPr>
    </w:p>
    <w:p>
      <w:pPr>
        <w:spacing w:after="0" w:line="235" w:lineRule="auto"/>
        <w:ind w:right="200" w:firstLine="297"/>
        <w:rPr>
          <w:color w:val="auto"/>
          <w:sz w:val="20"/>
          <w:szCs w:val="20"/>
        </w:rPr>
      </w:pPr>
      <w:r>
        <w:rPr>
          <w:rFonts w:ascii="Calibri" w:eastAsia="Calibri" w:hAnsi="Calibri" w:cs="Calibri"/>
          <w:b/>
          <w:bCs/>
          <w:i/>
          <w:iCs/>
          <w:color w:val="444867"/>
          <w:sz w:val="12"/>
          <w:szCs w:val="12"/>
        </w:rPr>
        <w:t xml:space="preserve">Culture. </w:t>
      </w:r>
      <w:r>
        <w:rPr>
          <w:rFonts w:ascii="Calibri" w:eastAsia="Calibri" w:hAnsi="Calibri" w:cs="Calibri"/>
          <w:color w:val="000000"/>
          <w:sz w:val="12"/>
          <w:szCs w:val="12"/>
        </w:rPr>
        <w:t>AbbVie’s shared principles of transforming lives, actng with integrity, driving innovaton, embracing diversity and inclusion, and serving the community form the core of the company's culture. AbbVie artculates the</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behaviors associated with these values in the Ways We Work, a core set of working behaviors that emphasize how the company achieves results is equally as important as achieving them. The Ways We Work are designed to ensure that every AbbVie employee is aware of the company's cultural expectatons. AbbVie integrates the Ways We Work into all talent processes, forming the basis for assessing performance, prioritzing development and ultmately rewarding employees. AbbVie believes its culture creates strong engagement, which is measured regularly through a confdental, third-party all-employee survey, and this engagement supports AbbVie’s mission of making a remarkable impact on people’s lives.</w:t>
      </w:r>
    </w:p>
    <w:p>
      <w:pPr>
        <w:spacing w:after="0" w:line="102" w:lineRule="exact"/>
        <w:rPr>
          <w:color w:val="auto"/>
          <w:sz w:val="20"/>
          <w:szCs w:val="20"/>
        </w:rPr>
      </w:pPr>
    </w:p>
    <w:p>
      <w:pPr>
        <w:spacing w:after="0" w:line="235" w:lineRule="auto"/>
        <w:ind w:right="360" w:firstLine="297"/>
        <w:rPr>
          <w:color w:val="auto"/>
          <w:sz w:val="20"/>
          <w:szCs w:val="20"/>
        </w:rPr>
      </w:pPr>
      <w:r>
        <w:rPr>
          <w:rFonts w:ascii="Calibri" w:eastAsia="Calibri" w:hAnsi="Calibri" w:cs="Calibri"/>
          <w:b/>
          <w:bCs/>
          <w:i/>
          <w:iCs/>
          <w:color w:val="444867"/>
          <w:sz w:val="12"/>
          <w:szCs w:val="12"/>
        </w:rPr>
        <w:t xml:space="preserve">Diversity &amp; Inclusion. </w:t>
      </w:r>
      <w:r>
        <w:rPr>
          <w:rFonts w:ascii="Calibri" w:eastAsia="Calibri" w:hAnsi="Calibri" w:cs="Calibri"/>
          <w:color w:val="000000"/>
          <w:sz w:val="12"/>
          <w:szCs w:val="12"/>
        </w:rPr>
        <w:t>A cornerstone of AbbVie’s human capital management approach is to prioritze fostering an inclusive workforce where all employees have equal opportunity to succeed. AbbVie is commited to equal</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employment opportunity and non-discriminaton in all aspects of employment. Further, AbbVie is commited to pay equity and conducts pay equity analyses annually. A critcal component of AbbVie's strategy is to instll an inclusive mindset in all AbbVie leaders and employees, so the company contnues to realize the full value of its workforce from recruitment through retrement. AbbVie's Employee Resource Groups also help the company nurture an inclusive culture by building community and creatng connectons.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Internet Informaton</w:t>
      </w:r>
    </w:p>
    <w:p>
      <w:pPr>
        <w:spacing w:after="0" w:line="101"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Copies of AbbVie's Annual Reports on Form 10-K, Quarterly Reports on Form 10-Q, Current Reports on Form 8-K and amendments to those reports fled or furnished pursuant to Secton 13(a) or 15(d) of the Securites Exchange Act of 1934 are</w:t>
      </w:r>
    </w:p>
    <w:p>
      <w:pPr>
        <w:spacing w:after="0" w:line="204"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13</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693056" behindDoc="1" locked="0" layoutInCell="0" allowOverlap="1">
            <wp:simplePos x="0" y="0"/>
            <wp:positionH relativeFrom="column">
              <wp:posOffset>-17145</wp:posOffset>
            </wp:positionH>
            <wp:positionV relativeFrom="paragraph">
              <wp:posOffset>133985</wp:posOffset>
            </wp:positionV>
            <wp:extent cx="7203440" cy="3683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694080" behindDoc="1" locked="0" layoutInCell="0" allowOverlap="1">
            <wp:simplePos x="0" y="0"/>
            <wp:positionH relativeFrom="column">
              <wp:posOffset>292100</wp:posOffset>
            </wp:positionH>
            <wp:positionV relativeFrom="paragraph">
              <wp:posOffset>-75565</wp:posOffset>
            </wp:positionV>
            <wp:extent cx="400050" cy="7429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15" w:name="page16"/>
    <w:bookmarkEnd w:id="15"/>
    <w:p>
      <w:pPr>
        <w:spacing w:after="0" w:line="234" w:lineRule="auto"/>
        <w:ind w:right="240"/>
        <w:rPr>
          <w:color w:val="auto"/>
          <w:sz w:val="20"/>
          <w:szCs w:val="20"/>
        </w:rPr>
      </w:pPr>
      <w:r>
        <w:rPr>
          <w:rFonts w:ascii="Calibri" w:eastAsia="Calibri" w:hAnsi="Calibri" w:cs="Calibri"/>
          <w:color w:val="auto"/>
          <w:sz w:val="12"/>
          <w:szCs w:val="12"/>
        </w:rPr>
        <w:t>available free of charge through AbbVie's investor relatons website (</w:t>
      </w:r>
      <w:r>
        <w:rPr>
          <w:rFonts w:ascii="Calibri" w:eastAsia="Calibri" w:hAnsi="Calibri" w:cs="Calibri"/>
          <w:i/>
          <w:iCs/>
          <w:color w:val="auto"/>
          <w:sz w:val="12"/>
          <w:szCs w:val="12"/>
        </w:rPr>
        <w:t>investors.abbvie.com</w:t>
      </w:r>
      <w:r>
        <w:rPr>
          <w:rFonts w:ascii="Calibri" w:eastAsia="Calibri" w:hAnsi="Calibri" w:cs="Calibri"/>
          <w:color w:val="auto"/>
          <w:sz w:val="12"/>
          <w:szCs w:val="12"/>
        </w:rPr>
        <w:t>) as soon as reasonably practcable afer AbbVie electronically fles the material with, or furnishes it to, the Securites and Exchange Commission (SEC).</w:t>
      </w:r>
    </w:p>
    <w:p>
      <w:pPr>
        <w:spacing w:after="0" w:line="92"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AbbVie's corporate governance guidelines, outline of directorship qualifcatons, code of business conduct and the charters of AbbVie's audit commitee, compensaton commitee, nominatons and governance commitee and public policy and sustainability commitee are all available on AbbVie's investor relatons website (</w:t>
      </w:r>
      <w:r>
        <w:rPr>
          <w:rFonts w:ascii="Calibri" w:eastAsia="Calibri" w:hAnsi="Calibri" w:cs="Calibri"/>
          <w:i/>
          <w:iCs/>
          <w:color w:val="auto"/>
          <w:sz w:val="12"/>
          <w:szCs w:val="12"/>
        </w:rPr>
        <w:t>investors.abbvie.com</w:t>
      </w:r>
      <w:r>
        <w:rPr>
          <w:rFonts w:ascii="Calibri" w:eastAsia="Calibri" w:hAnsi="Calibri" w:cs="Calibri"/>
          <w:color w:val="auto"/>
          <w:sz w:val="12"/>
          <w:szCs w:val="12"/>
        </w:rPr>
        <w:t>).</w:t>
      </w:r>
    </w:p>
    <w:p>
      <w:pPr>
        <w:spacing w:after="0" w:line="14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1A. RISK FACTORS</w:t>
      </w:r>
    </w:p>
    <w:p>
      <w:pPr>
        <w:spacing w:after="0" w:line="20" w:lineRule="exact"/>
        <w:rPr>
          <w:color w:val="auto"/>
          <w:sz w:val="20"/>
          <w:szCs w:val="20"/>
        </w:rPr>
      </w:pPr>
      <w:r>
        <w:rPr>
          <w:color w:val="auto"/>
          <w:sz w:val="20"/>
          <w:szCs w:val="20"/>
        </w:rPr>
        <w:drawing>
          <wp:anchor simplePos="0" relativeHeight="251695104" behindDoc="1" locked="0" layoutInCell="0" allowOverlap="1">
            <wp:simplePos x="0" y="0"/>
            <wp:positionH relativeFrom="column">
              <wp:posOffset>-4445</wp:posOffset>
            </wp:positionH>
            <wp:positionV relativeFrom="paragraph">
              <wp:posOffset>29845</wp:posOffset>
            </wp:positionV>
            <wp:extent cx="7166610" cy="571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i/>
          <w:iCs/>
          <w:color w:val="auto"/>
          <w:sz w:val="12"/>
          <w:szCs w:val="12"/>
        </w:rPr>
        <w:t>You should carefully consider the following risks and other informaton in this Form 10-K in evaluatng AbbVie and AbbVie's common stock. Any of the following risks could materially and adversely afect AbbVie's results of operatons, fnancial conditon or cash fows. The risk factors generally have been separated into two groups: risks related to AbbVie's business and risks related to AbbVie's common stock. Based on the informaton currently known to it, AbbVie believes that the following informaton identfes the most signifcant risk factors afectng it in each of these categories of risks. However, the risks and uncertaintes AbbVie faces are not limited to those set forth in the risk factors described below and may not be in order of importance or probability of occurrence. Additonal risks and uncertaintes not presently known to AbbVie or that AbbVie currently believes to be immaterial may also adversely afect its business. In additon, past fnancial performance may not be a reliable indicator of future performance and historical trends should not be used to antcipate results or trends in future periods.</w:t>
      </w:r>
    </w:p>
    <w:p>
      <w:pPr>
        <w:spacing w:after="0" w:line="93" w:lineRule="exact"/>
        <w:rPr>
          <w:color w:val="auto"/>
          <w:sz w:val="20"/>
          <w:szCs w:val="20"/>
        </w:rPr>
      </w:pPr>
    </w:p>
    <w:p>
      <w:pPr>
        <w:spacing w:after="0" w:line="234" w:lineRule="auto"/>
        <w:ind w:right="20" w:firstLine="297"/>
        <w:rPr>
          <w:color w:val="auto"/>
          <w:sz w:val="20"/>
          <w:szCs w:val="20"/>
        </w:rPr>
      </w:pPr>
      <w:r>
        <w:rPr>
          <w:rFonts w:ascii="Calibri" w:eastAsia="Calibri" w:hAnsi="Calibri" w:cs="Calibri"/>
          <w:i/>
          <w:iCs/>
          <w:color w:val="auto"/>
          <w:sz w:val="12"/>
          <w:szCs w:val="12"/>
        </w:rPr>
        <w:t>If any of the following risks and uncertaintes develops into actual events, these events could have a material adverse efect on AbbVie's business, results of operatons, fnancial conditon or cash fows. In such case, the trading price of AbbVie's common stock could decline.</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Risks Related to AbbVie's Business</w:t>
      </w:r>
    </w:p>
    <w:p>
      <w:pPr>
        <w:spacing w:after="0" w:line="101" w:lineRule="exact"/>
        <w:rPr>
          <w:color w:val="auto"/>
          <w:sz w:val="20"/>
          <w:szCs w:val="20"/>
        </w:rPr>
      </w:pPr>
    </w:p>
    <w:p>
      <w:pPr>
        <w:spacing w:after="0" w:line="234" w:lineRule="auto"/>
        <w:ind w:left="260" w:right="260"/>
        <w:rPr>
          <w:color w:val="auto"/>
          <w:sz w:val="20"/>
          <w:szCs w:val="20"/>
        </w:rPr>
      </w:pPr>
      <w:r>
        <w:rPr>
          <w:rFonts w:ascii="Calibri" w:eastAsia="Calibri" w:hAnsi="Calibri" w:cs="Calibri"/>
          <w:b/>
          <w:bCs/>
          <w:i/>
          <w:iCs/>
          <w:color w:val="auto"/>
          <w:sz w:val="12"/>
          <w:szCs w:val="12"/>
        </w:rPr>
        <w:t>The expiraton or loss of patent protecton and licenses, including the loss of exclusivity for any of our products and increased competton from generics and biosimilars, may adversely afect AbbVie's revenues and operatng earnings.</w:t>
      </w:r>
    </w:p>
    <w:p>
      <w:pPr>
        <w:spacing w:after="0" w:line="92" w:lineRule="exact"/>
        <w:rPr>
          <w:color w:val="auto"/>
          <w:sz w:val="20"/>
          <w:szCs w:val="20"/>
        </w:rPr>
      </w:pPr>
    </w:p>
    <w:p>
      <w:pPr>
        <w:spacing w:after="0" w:line="234" w:lineRule="auto"/>
        <w:ind w:right="240" w:firstLine="297"/>
        <w:rPr>
          <w:color w:val="auto"/>
          <w:sz w:val="20"/>
          <w:szCs w:val="20"/>
        </w:rPr>
      </w:pPr>
      <w:r>
        <w:rPr>
          <w:rFonts w:ascii="Calibri" w:eastAsia="Calibri" w:hAnsi="Calibri" w:cs="Calibri"/>
          <w:color w:val="auto"/>
          <w:sz w:val="12"/>
          <w:szCs w:val="12"/>
        </w:rPr>
        <w:t>AbbVie relies on patent, trademark and other intellectual property protecton in the discovery, development, manufacturing and sale of its products. In partcular, patent protecton is, in the aggregate, important in AbbVie's marketng of pharmaceutcal products in the United States and most major markets outside of the United States. Patents covering AbbVie products normally provide market exclusivity, which is important for the proftability of many of AbbVie's products.</w:t>
      </w:r>
    </w:p>
    <w:p>
      <w:pPr>
        <w:spacing w:after="0" w:line="103"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As patents for certain of its products expire, AbbVie could face competton from lower priced generic or biosimilar products. The expiraton or loss of patent protecton for a product typically is followed promptly by substtutes that may signifcantly reduce sales for that product in a short amount of tme. If AbbVie's compettve positon is compromised because of generics, biosimilars or otherwise, it could have a material adverse efect on AbbVie's business and results of operatons. In additon, proposals emerge from tme to tme for legislaton to further encourage the early and rapid approval of generic drugs or biosimilars. Any such proposals that are enacted into law could increase the impact of generic or biosimilar competton.</w:t>
      </w:r>
    </w:p>
    <w:p>
      <w:pPr>
        <w:spacing w:after="0" w:line="101" w:lineRule="exact"/>
        <w:rPr>
          <w:color w:val="auto"/>
          <w:sz w:val="20"/>
          <w:szCs w:val="20"/>
        </w:rPr>
      </w:pPr>
    </w:p>
    <w:p>
      <w:pPr>
        <w:spacing w:after="0" w:line="235" w:lineRule="auto"/>
        <w:ind w:right="60" w:firstLine="297"/>
        <w:jc w:val="both"/>
        <w:rPr>
          <w:color w:val="auto"/>
          <w:sz w:val="20"/>
          <w:szCs w:val="20"/>
        </w:rPr>
      </w:pPr>
      <w:r>
        <w:rPr>
          <w:rFonts w:ascii="Calibri" w:eastAsia="Calibri" w:hAnsi="Calibri" w:cs="Calibri"/>
          <w:color w:val="auto"/>
          <w:sz w:val="12"/>
          <w:szCs w:val="12"/>
        </w:rPr>
        <w:t>Large pharmaceutcal companies and generics manufacturers of pharmaceutcal products contnue to expand into the biotechnology feld and form partnerships to pursue biosimilars. Companies have developed and are developing biosimilars that compete with AbbVie’s biologic products. As compettors obtain marketng approval for biosimilars referencing AbbVie’s biologic products, AbbVie’s products may become subject to competton from such biosimilars, with the atendant compettve pressure and consequences. Expiraton of or successful challenges to AbbVie’s applicable patent rights could also trigger competton from other products, assuming any relevant exclusivity period has expired. As a result, AbbVie could face increased litgaton and administratve proceedings with respect to the validity and/or scope of patents relatng to its biologic products.</w:t>
      </w:r>
    </w:p>
    <w:p>
      <w:pPr>
        <w:spacing w:after="0" w:line="92" w:lineRule="exact"/>
        <w:rPr>
          <w:color w:val="auto"/>
          <w:sz w:val="20"/>
          <w:szCs w:val="20"/>
        </w:rPr>
      </w:pPr>
    </w:p>
    <w:p>
      <w:pPr>
        <w:spacing w:after="0" w:line="234" w:lineRule="auto"/>
        <w:ind w:right="40" w:firstLine="297"/>
        <w:jc w:val="both"/>
        <w:rPr>
          <w:color w:val="auto"/>
          <w:sz w:val="20"/>
          <w:szCs w:val="20"/>
        </w:rPr>
      </w:pPr>
      <w:r>
        <w:rPr>
          <w:rFonts w:ascii="Calibri" w:eastAsia="Calibri" w:hAnsi="Calibri" w:cs="Calibri"/>
          <w:color w:val="auto"/>
          <w:sz w:val="12"/>
          <w:szCs w:val="12"/>
        </w:rPr>
        <w:t>A signifcant porton of AbbVie's revenues and operatng earnings are derived from several major products. Specifcally, Skyrizi, Humira and Rinvoq each represented greater than 10% of AbbVie's total net revenues and, in aggregate, these products accounted for approximately 47% of total net revenues in 2024. Humira has faced competton from biosimilar products in the United States following the loss of exclusivity in 2023. AbbVie antcipates such loss will contnue to cause a signifcant decline in Humira's revenue and could adversely afect AbbVie’s revenues and operatng earnings.</w:t>
      </w:r>
    </w:p>
    <w:p>
      <w:pPr>
        <w:spacing w:after="0" w:line="103"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AbbVie's principal patents and trademarks are described in greater detail in Item 1, "Business—Intellectual Property Protecton and Regulatory Exclusivity" and Item 7, "Management's Discussion and Analysis of Financial Conditon and Results of Operatons—Results of Operatons," and litgaton regarding these patents is described in Item 3, "Legal Proceedings."</w:t>
      </w:r>
    </w:p>
    <w:p>
      <w:pPr>
        <w:spacing w:after="0" w:line="20" w:lineRule="exact"/>
        <w:rPr>
          <w:color w:val="auto"/>
          <w:sz w:val="20"/>
          <w:szCs w:val="20"/>
        </w:rPr>
      </w:pPr>
      <w:r>
        <w:rPr>
          <w:color w:val="auto"/>
          <w:sz w:val="20"/>
          <w:szCs w:val="20"/>
        </w:rPr>
        <w:drawing>
          <wp:anchor simplePos="0" relativeHeight="251696128" behindDoc="1" locked="0" layoutInCell="0" allowOverlap="1">
            <wp:simplePos x="0" y="0"/>
            <wp:positionH relativeFrom="column">
              <wp:posOffset>6475730</wp:posOffset>
            </wp:positionH>
            <wp:positionV relativeFrom="paragraph">
              <wp:posOffset>250825</wp:posOffset>
            </wp:positionV>
            <wp:extent cx="400050" cy="7429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14</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697152" behindDoc="1" locked="0" layoutInCell="0" allowOverlap="1">
            <wp:simplePos x="0" y="0"/>
            <wp:positionH relativeFrom="column">
              <wp:posOffset>7154545</wp:posOffset>
            </wp:positionH>
            <wp:positionV relativeFrom="paragraph">
              <wp:posOffset>-23495</wp:posOffset>
            </wp:positionV>
            <wp:extent cx="31115" cy="3683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698176" behindDoc="1" locked="0" layoutInCell="0" allowOverlap="1">
            <wp:simplePos x="0" y="0"/>
            <wp:positionH relativeFrom="column">
              <wp:posOffset>-17145</wp:posOffset>
            </wp:positionH>
            <wp:positionV relativeFrom="paragraph">
              <wp:posOffset>-23495</wp:posOffset>
            </wp:positionV>
            <wp:extent cx="31115" cy="3683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16" w:name="page17"/>
    <w:bookmarkEnd w:id="16"/>
    <w:p>
      <w:pPr>
        <w:spacing w:after="0"/>
        <w:ind w:left="260"/>
        <w:rPr>
          <w:color w:val="auto"/>
          <w:sz w:val="20"/>
          <w:szCs w:val="20"/>
        </w:rPr>
      </w:pPr>
      <w:r>
        <w:rPr>
          <w:rFonts w:ascii="Calibri" w:eastAsia="Calibri" w:hAnsi="Calibri" w:cs="Calibri"/>
          <w:b/>
          <w:bCs/>
          <w:i/>
          <w:iCs/>
          <w:color w:val="auto"/>
          <w:sz w:val="12"/>
          <w:szCs w:val="12"/>
        </w:rPr>
        <w:t>AbbVie's major products could lose patent protecton earlier than expected, which could adversely afect AbbVie's revenues and operatng earnings.</w:t>
      </w:r>
    </w:p>
    <w:p>
      <w:pPr>
        <w:spacing w:after="0" w:line="1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 xml:space="preserve">Third partes or government authorites may challenge or seek to invalidate or circumvent AbbVie's patents and patent applicatons. For example, manufacturers of generic pharmaceutcal products fle, and may contnue to fle, Abbreviated New Drug Applicatons with the FDA seeking to market generic forms of AbbVie's products prior to the expiraton of relevant patents owned or licensed by AbbVie by assertng that the patents are invalid, unenforceable and/or not infringed. In additon, pettoners have fled, and may contnue to fle, challenges to the validity of AbbVie's patents under the 2011 Leahy-Smith America Invents Act, which created </w:t>
      </w:r>
      <w:r>
        <w:rPr>
          <w:rFonts w:ascii="Calibri" w:eastAsia="Calibri" w:hAnsi="Calibri" w:cs="Calibri"/>
          <w:i/>
          <w:iCs/>
          <w:color w:val="auto"/>
          <w:sz w:val="12"/>
          <w:szCs w:val="12"/>
        </w:rPr>
        <w:t>inter partes</w:t>
      </w:r>
      <w:r>
        <w:rPr>
          <w:rFonts w:ascii="Calibri" w:eastAsia="Calibri" w:hAnsi="Calibri" w:cs="Calibri"/>
          <w:color w:val="auto"/>
          <w:sz w:val="12"/>
          <w:szCs w:val="12"/>
        </w:rPr>
        <w:t xml:space="preserve"> review and post grant review procedures for challenging patent validity in administratve proceedings at the United States Patent and Trademark Ofce.</w:t>
      </w:r>
    </w:p>
    <w:p>
      <w:pPr>
        <w:spacing w:after="0" w:line="92" w:lineRule="exact"/>
        <w:rPr>
          <w:color w:val="auto"/>
          <w:sz w:val="20"/>
          <w:szCs w:val="20"/>
        </w:rPr>
      </w:pPr>
    </w:p>
    <w:p>
      <w:pPr>
        <w:spacing w:after="0" w:line="235" w:lineRule="auto"/>
        <w:ind w:right="200" w:firstLine="297"/>
        <w:rPr>
          <w:color w:val="auto"/>
          <w:sz w:val="20"/>
          <w:szCs w:val="20"/>
        </w:rPr>
      </w:pPr>
      <w:r>
        <w:rPr>
          <w:rFonts w:ascii="Calibri" w:eastAsia="Calibri" w:hAnsi="Calibri" w:cs="Calibri"/>
          <w:color w:val="auto"/>
          <w:sz w:val="12"/>
          <w:szCs w:val="12"/>
        </w:rPr>
        <w:t>Although most of the challenges to AbbVie's intellectual property have come from other businesses, governments have and are expected to also challenge intellectual property rights. For example, court decisions and potental legislaton relatng to patents, such as legislaton regarding biosimilars, and other regulatory initatves may result in further erosion of intellectual property protecton. In additon, certain governments outside the United States have indicated that compulsory licenses to patents may be sought to further their domestc policies or on the basis of natonal emergencies, such as HIV/AIDS. If triggered, compulsory licenses may diminish or eliminate sales and profts from those jurisdictons and negatvely afect AbbVie's results of operatons.</w:t>
      </w:r>
    </w:p>
    <w:p>
      <w:pPr>
        <w:spacing w:after="0" w:line="101" w:lineRule="exact"/>
        <w:rPr>
          <w:color w:val="auto"/>
          <w:sz w:val="20"/>
          <w:szCs w:val="20"/>
        </w:rPr>
      </w:pPr>
    </w:p>
    <w:p>
      <w:pPr>
        <w:spacing w:after="0" w:line="235" w:lineRule="auto"/>
        <w:ind w:right="200" w:firstLine="297"/>
        <w:rPr>
          <w:color w:val="auto"/>
          <w:sz w:val="20"/>
          <w:szCs w:val="20"/>
        </w:rPr>
      </w:pPr>
      <w:r>
        <w:rPr>
          <w:rFonts w:ascii="Calibri" w:eastAsia="Calibri" w:hAnsi="Calibri" w:cs="Calibri"/>
          <w:color w:val="auto"/>
          <w:sz w:val="12"/>
          <w:szCs w:val="12"/>
        </w:rPr>
        <w:t>AbbVie normally responds to challenges by vigorously defending its patents, including by fling patent infringement lawsuits. Patent litgaton, administratve proceedings and other challenges to AbbVie's patents are costly and unpredictable and may deprive AbbVie of market exclusivity for a patented product. To the extent AbbVie's intellectual property is successfully challenged, circumvented or weakened, or to the extent such intellectual property does not allow AbbVie to compete efectvely, AbbVie's business will sufer. To the extent that countries do not enforce AbbVie's intellectual property rights or require compulsory licensing of AbbVie's intellectual property, AbbVie's revenues and operatng earnings will be reduced.</w:t>
      </w:r>
    </w:p>
    <w:p>
      <w:pPr>
        <w:spacing w:after="0" w:line="97"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 third party's intellectual property may prevent AbbVie from selling its products or have a material adverse efect on AbbVie's proftability and fnancial conditon.</w:t>
      </w:r>
    </w:p>
    <w:p>
      <w:pPr>
        <w:spacing w:after="0" w:line="92"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Third partes may claim that an AbbVie product infringes upon their intellectual property. In additon, in its pursuit of valid business opportunites, AbbVie may be required to challenge intellectual property rights held by others that it believes were improperly granted. Resolving an intellectual property infringement or other claim can be costly and tme consuming and may require AbbVie to enter into license agreements. AbbVie cannot guarantee that it would be able to obtain license agreements on commercially reasonable terms. A successful claim of patent or other intellectual property infringement could subject AbbVie to signifcant damages or an injuncton preventng the manufacture, sale, or use of the afected AbbVie product or products. Any of these events could have a material adverse efect on AbbVie's proftability and fnancial conditon.</w:t>
      </w:r>
    </w:p>
    <w:p>
      <w:pPr>
        <w:spacing w:after="0" w:line="97"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AbbVie's research and development eforts may not succeed in developing products and technologies that can be successfully commercialized, which may cause its revenues and proftability to decline.</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To remain compettve, AbbVie must contnue to launch new products and new indicatons and/or brand extensions for existng products. Such launches must generate revenue sufcient both to cover its substantal research and development costs and to replace revenues of proftable products that are lost to or displaced by competng products or therapies. Failure to do so would have a material adverse efect on AbbVie's revenue and proftability. Accordingly, AbbVie commits substantal efort, funds and other resources to research and development and must make ongoing substantal expenditures without any assurance that its eforts will be commercially successful. A high rate of failure in the biopharmaceutcal industry is inherent in the research and development of new products, and failure can occur at any point in the research and development process, including afer signifcant resources have been invested. Products that appear promising in development may fail to reach the market for numerous reasons, including failure to demonstrate efectveness, safety concerns, superior safety or efcacy of competng therapies, failure to achieve positve clinical or pre-clinical outcomes beyond the current standards of care, inability to obtain necessary regulatory approvals or delays in the approval of new products and new indicatons, limited scope of approved uses, excessive costs to manufacture or the failure to obtain or maintain intellectual property rights, or infringement of the intellectual property rights of others.</w:t>
      </w:r>
    </w:p>
    <w:p>
      <w:pPr>
        <w:spacing w:after="0" w:line="94"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Decisions about research studies made early in the development process of a pharmaceutcal product candidate can afect the marketng strategy once such candidate receives regulatory approval. More detailed studies may demonstrate additonal benefts that can help in the marketng, but they also consume tme and resources and may delay submitng the pharmaceutcal product candidate for regulatory approval. AbbVie cannot guarantee that a proper balance of speed and testng will be made with respect to each pharmaceutcal product candidate or that decisions in this area would not adversely afect AbbVie's results of operatons.</w:t>
      </w:r>
    </w:p>
    <w:p>
      <w:pPr>
        <w:spacing w:after="0" w:line="206"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15</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699200" behindDoc="1" locked="0" layoutInCell="0" allowOverlap="1">
            <wp:simplePos x="0" y="0"/>
            <wp:positionH relativeFrom="column">
              <wp:posOffset>-17145</wp:posOffset>
            </wp:positionH>
            <wp:positionV relativeFrom="paragraph">
              <wp:posOffset>133985</wp:posOffset>
            </wp:positionV>
            <wp:extent cx="7203440" cy="3683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700224" behindDoc="1" locked="0" layoutInCell="0" allowOverlap="1">
            <wp:simplePos x="0" y="0"/>
            <wp:positionH relativeFrom="column">
              <wp:posOffset>292100</wp:posOffset>
            </wp:positionH>
            <wp:positionV relativeFrom="paragraph">
              <wp:posOffset>-75565</wp:posOffset>
            </wp:positionV>
            <wp:extent cx="400050" cy="7429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17" w:name="page18"/>
    <w:bookmarkEnd w:id="17"/>
    <w:p>
      <w:pPr>
        <w:spacing w:after="0" w:line="235" w:lineRule="auto"/>
        <w:ind w:firstLine="297"/>
        <w:rPr>
          <w:color w:val="auto"/>
          <w:sz w:val="20"/>
          <w:szCs w:val="20"/>
        </w:rPr>
      </w:pPr>
      <w:r>
        <w:rPr>
          <w:rFonts w:ascii="Calibri" w:eastAsia="Calibri" w:hAnsi="Calibri" w:cs="Calibri"/>
          <w:color w:val="auto"/>
          <w:sz w:val="12"/>
          <w:szCs w:val="12"/>
        </w:rPr>
        <w:t>Even if AbbVie successfully develops and markets new products or enhancements to its existng products, they may be quickly rendered obsolete by changing clinical preferences, changing industry standards, or compettors' innovatons. AbbVie's innovatons may not be accepted quickly in the marketplace because of existng clinical practces or uncertainty over third-party reimbursement. AbbVie cannot state with certainty when or whether any of its products under development will be launched, whether it will be able to develop, license, or otherwise acquire compounds or products, or whether any products will be commercially successful. Failure to launch successful new products or new indicatons for existng products may cause AbbVie's products to become obsolete, causing AbbVie's revenues and operatng results to sufer.</w:t>
      </w:r>
    </w:p>
    <w:p>
      <w:pPr>
        <w:spacing w:after="0" w:line="92" w:lineRule="exact"/>
        <w:rPr>
          <w:color w:val="auto"/>
          <w:sz w:val="20"/>
          <w:szCs w:val="20"/>
        </w:rPr>
      </w:pPr>
    </w:p>
    <w:p>
      <w:pPr>
        <w:spacing w:after="0" w:line="234" w:lineRule="auto"/>
        <w:ind w:left="260" w:right="360"/>
        <w:rPr>
          <w:color w:val="auto"/>
          <w:sz w:val="20"/>
          <w:szCs w:val="20"/>
        </w:rPr>
      </w:pPr>
      <w:r>
        <w:rPr>
          <w:rFonts w:ascii="Calibri" w:eastAsia="Calibri" w:hAnsi="Calibri" w:cs="Calibri"/>
          <w:b/>
          <w:bCs/>
          <w:i/>
          <w:iCs/>
          <w:color w:val="auto"/>
          <w:sz w:val="12"/>
          <w:szCs w:val="12"/>
        </w:rPr>
        <w:t>AbbVie is subject to cost-containment eforts and pricing pressures that could cause a reducton in revenues and operatng earnings, and changes in the terms of rebate and chargeback programs, which are common in the pharmaceutcals industry, could have a material adverse efect on AbbVie's operatons.</w:t>
      </w:r>
    </w:p>
    <w:p>
      <w:pPr>
        <w:spacing w:after="0" w:line="101"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Cost-containment eforts by governments and private organizatons are described in greater detail in Item 1, "Business—Regulaton—Commercializaton, Distributon and Manufacturing." To the extent these cost containment eforts are not ofset by greater demand, increased patent access to health care, or other factors, AbbVie's revenues and operatng earnings will be reduced. In the United States, European Union member states and other countries, AbbVie's business has experienced downward pressure on product pricing, and this pressure could increase in the future.</w:t>
      </w:r>
    </w:p>
    <w:p>
      <w:pPr>
        <w:spacing w:after="0" w:line="103" w:lineRule="exact"/>
        <w:rPr>
          <w:color w:val="auto"/>
          <w:sz w:val="20"/>
          <w:szCs w:val="20"/>
        </w:rPr>
      </w:pPr>
    </w:p>
    <w:p>
      <w:pPr>
        <w:spacing w:after="0" w:line="258" w:lineRule="auto"/>
        <w:ind w:right="20" w:firstLine="297"/>
        <w:rPr>
          <w:color w:val="auto"/>
          <w:sz w:val="20"/>
          <w:szCs w:val="20"/>
        </w:rPr>
      </w:pPr>
      <w:r>
        <w:rPr>
          <w:rFonts w:ascii="Calibri" w:eastAsia="Calibri" w:hAnsi="Calibri" w:cs="Calibri"/>
          <w:color w:val="auto"/>
          <w:sz w:val="11"/>
          <w:szCs w:val="11"/>
        </w:rPr>
        <w:t>AbbVie is subject to increasing public and legislatve pressure with respect to pharmaceutcal pricing. In the United States, practces of managed care groups, and insttutonal and governmental purchasers, as well as federal laws and regulatons related to Medicare and Medicaid, contribute to pricing pressures. In partcular, the IRA will have the efect of reducing prices and reimbursements for certain of our products, which could signifcantly impact AbbVie’s results of operatons. Under the IRA, the U.S Department of Health and Human Services can efectvely set prices for certain single-source drugs and biologics reimbursed under Medicare Part B and Part D. Generally, these government prices can apply as soon as nine years (for small-molecule drugs) or 13 years (for biological products) from their FDA approval and will be capped at a statutory ceiling price that is likely to represent a signifcant discount from average prices to wholesalers and direct purchasers. In August 2023, HHS, through the CMS, selected Imbruvica as one of the frst 10 medicines subject to government-set prices beginning in 2026. In August 2024, the CMS published Medicare Part D prices that will be applicable to these medicines, including Imbruvica, beginning January 1, 2026. In January 2025, HHS, through the CMS, selected Vraylar and Linzess as two of the 15 medicines subject to government-set prices in Medicare Part D beginning in 2027. It is possible that more of our products, including products that generate substantal revenues, could be selected in future years, which could, among other things, accelerate revenue erosion prior to expiraton of intellectual property protectons. In additon, beginning in January 2025, under the IRA, the 70% coverage gap discount program was replaced by a 10% manufacturer discount for all Medicare Part D benefciaries that have met their deductble and incurred out of pocket drug costs below a $2,000 threshold and a 20% discount for benefciaries that have incurred out of pocket drug costs above the $2,000 threshold under the new Part D beneft redesign. Manufacturers that fail to comply with the IRA may be subject to various penaltes, including civil monetary penaltes, which could be signifcant. The IRA has and will contnue to meaningfully impact AbbVie’s business strategies and those of others in the pharmaceutcal industry. The full impact of the IRA on AbbVie’s business and the pharmaceutcal industry, including the implicatons to us of our or a compettor's product being selected for price setng, remains uncertain.</w:t>
      </w:r>
    </w:p>
    <w:p>
      <w:pPr>
        <w:spacing w:after="0" w:line="86"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AbbVie contnues to evaluate the impact that the IRA may have on the company. The potental for contnuing changes to the health care system in the United States and the increased purchasing power of enttes that negotate on behalf of Medicare, Medicaid and private sector benefciaries may result in additonal pricing pressures.</w:t>
      </w:r>
    </w:p>
    <w:p>
      <w:pPr>
        <w:spacing w:after="0" w:line="101" w:lineRule="exact"/>
        <w:rPr>
          <w:color w:val="auto"/>
          <w:sz w:val="20"/>
          <w:szCs w:val="20"/>
        </w:rPr>
      </w:pPr>
    </w:p>
    <w:p>
      <w:pPr>
        <w:spacing w:after="0" w:line="264" w:lineRule="auto"/>
        <w:ind w:right="240" w:firstLine="297"/>
        <w:rPr>
          <w:color w:val="auto"/>
          <w:sz w:val="20"/>
          <w:szCs w:val="20"/>
        </w:rPr>
      </w:pPr>
      <w:r>
        <w:rPr>
          <w:rFonts w:ascii="Calibri" w:eastAsia="Calibri" w:hAnsi="Calibri" w:cs="Calibri"/>
          <w:color w:val="auto"/>
          <w:sz w:val="11"/>
          <w:szCs w:val="11"/>
        </w:rPr>
        <w:t>In major markets worldwide, governments play a signifcant role in funding health care services and determining the pricing and reimbursement of pharmaceutcal products. Consequently, in those markets, AbbVie is subject to government decision-making and budgetary actons with respect to its products. In partcular, many European countries have ongoing government-mandated price reductons for many pharmaceutcal products, and AbbVie antcipates contnuing pricing pressures in Europe. Diferences between countries' pricing regulatons could lead to third-party cross-border trading in AbbVie's products that results in a reducton in revenues and operatng earnings.</w:t>
      </w:r>
    </w:p>
    <w:p>
      <w:pPr>
        <w:spacing w:after="0" w:line="88"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Rebates related to government programs, such as fee-for-service Medicaid or Medicaid managed care programs, arise from laws and regulatons. AbbVie cannot predict with certainty if additonal government initatves to contain health care costs or other factors could lead to new or modifed regulatory requirements that include higher or incremental rebates or discounts. Other rebate and discount programs arise from contractual agreements with private payers. Various factors, including market factors and the ability of private payers to control patent access to products, may provide payers the leverage to negotate higher or additonal rebates or discounts that could have a material adverse efect on AbbVie's operatons.</w:t>
      </w:r>
    </w:p>
    <w:p>
      <w:pPr>
        <w:spacing w:after="0" w:line="20" w:lineRule="exact"/>
        <w:rPr>
          <w:color w:val="auto"/>
          <w:sz w:val="20"/>
          <w:szCs w:val="20"/>
        </w:rPr>
      </w:pPr>
      <w:r>
        <w:rPr>
          <w:color w:val="auto"/>
          <w:sz w:val="20"/>
          <w:szCs w:val="20"/>
        </w:rPr>
        <w:drawing>
          <wp:anchor simplePos="0" relativeHeight="251701248" behindDoc="1" locked="0" layoutInCell="0" allowOverlap="1">
            <wp:simplePos x="0" y="0"/>
            <wp:positionH relativeFrom="column">
              <wp:posOffset>6475730</wp:posOffset>
            </wp:positionH>
            <wp:positionV relativeFrom="paragraph">
              <wp:posOffset>250825</wp:posOffset>
            </wp:positionV>
            <wp:extent cx="400050" cy="7429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16</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702272" behindDoc="1" locked="0" layoutInCell="0" allowOverlap="1">
            <wp:simplePos x="0" y="0"/>
            <wp:positionH relativeFrom="column">
              <wp:posOffset>7154545</wp:posOffset>
            </wp:positionH>
            <wp:positionV relativeFrom="paragraph">
              <wp:posOffset>-23495</wp:posOffset>
            </wp:positionV>
            <wp:extent cx="31115" cy="3683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03296" behindDoc="1" locked="0" layoutInCell="0" allowOverlap="1">
            <wp:simplePos x="0" y="0"/>
            <wp:positionH relativeFrom="column">
              <wp:posOffset>-17145</wp:posOffset>
            </wp:positionH>
            <wp:positionV relativeFrom="paragraph">
              <wp:posOffset>-23495</wp:posOffset>
            </wp:positionV>
            <wp:extent cx="31115" cy="3683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18" w:name="page19"/>
    <w:bookmarkEnd w:id="18"/>
    <w:p>
      <w:pPr>
        <w:spacing w:after="0"/>
        <w:ind w:left="260"/>
        <w:rPr>
          <w:color w:val="auto"/>
          <w:sz w:val="20"/>
          <w:szCs w:val="20"/>
        </w:rPr>
      </w:pPr>
      <w:r>
        <w:rPr>
          <w:rFonts w:ascii="Calibri" w:eastAsia="Calibri" w:hAnsi="Calibri" w:cs="Calibri"/>
          <w:b/>
          <w:bCs/>
          <w:i/>
          <w:iCs/>
          <w:color w:val="auto"/>
          <w:sz w:val="12"/>
          <w:szCs w:val="12"/>
        </w:rPr>
        <w:t>A porton of AbbVie's near-term pharmaceutcal pipeline relies on collaboratons with third partes, which may adversely afect the development and sale of its products.</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AbbVie depends on alliances and joint ventures with pharmaceutcal and biotechnology companies for a porton of the products in its near-term pharmaceutcal pipeline. Failures by these partes to meet their contractual, regulatory, or other obligatons to AbbVie, or any disrupton in the relatonships between AbbVie and these third partes, could have an adverse efect on AbbVie's pharmaceutcal pipeline and business. In additon, AbbVie's collaboratve relatonships for research and development extend for many years and may give rise to disputes regarding the relatve rights, obligatons and revenues of AbbVie and its collaboraton partners, including the ownership of intellectual property and associated rights and obligatons. Such disputes could result in AbbVie's loss of intellectual property rights or protecton, delay the development and sale of potental pharmaceutcal products, afect the efectve sale and delivery of AbbVie's commercialized products and lead to lengthy and expensive litgaton, administratve proceedings or arbitraton.</w:t>
      </w:r>
    </w:p>
    <w:p>
      <w:pPr>
        <w:spacing w:after="0" w:line="88"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Biologics carry unique risks and uncertaintes, which could have a negatve impact on AbbVie's business and results of operatons.</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The successful discovery, development, manufacturing and sale of biologics is a long, expensive and uncertain process. There are unique risks and uncertaintes with biologics. For example, access to and supply of necessary biological materials, such as cell lines, may be limited and current governmental regulatons restrict access to and regulate the transport and use of such materials. In additon, the development, manufacturing and sale of biologics is subject to regulatons that are ofen more complex and extensive than the regulatons applicable to other pharmaceutcal products. As a result, manufacturing biologics, especially in large quanttes, is ofen complex and may require the use of innovatve technologies. Such manufacturing also requires facilites specifcally designed and validated for this purpose and sophistcated quality assurance and quality control procedures. Biologics are also frequently costly to manufacture because producton inputs are derived from living animal or plant material, and some biologics cannot be made synthetcally. Failure to successfully discover, develop, manufacture and sell biologics—including Humira, Skyrizi, Botox and Creon —could have a negatve impact on AbbVie's business and results of operatons.</w:t>
      </w:r>
    </w:p>
    <w:p>
      <w:pPr>
        <w:spacing w:after="0" w:line="98"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New products and technological advances by AbbVie's compettors may negatvely afect AbbVie's results of operatons.</w:t>
      </w:r>
    </w:p>
    <w:p>
      <w:pPr>
        <w:spacing w:after="0" w:line="92" w:lineRule="exact"/>
        <w:rPr>
          <w:color w:val="auto"/>
          <w:sz w:val="20"/>
          <w:szCs w:val="20"/>
        </w:rPr>
      </w:pPr>
    </w:p>
    <w:p>
      <w:pPr>
        <w:spacing w:after="0" w:line="260" w:lineRule="auto"/>
        <w:ind w:right="60" w:firstLine="297"/>
        <w:rPr>
          <w:color w:val="auto"/>
          <w:sz w:val="20"/>
          <w:szCs w:val="20"/>
        </w:rPr>
      </w:pPr>
      <w:r>
        <w:rPr>
          <w:rFonts w:ascii="Calibri" w:eastAsia="Calibri" w:hAnsi="Calibri" w:cs="Calibri"/>
          <w:color w:val="auto"/>
          <w:sz w:val="11"/>
          <w:szCs w:val="11"/>
        </w:rPr>
        <w:t>AbbVie competes with other research-based pharmaceutcal and biotechnology companies that research, develop, manufacture, market and sell proprietary pharmaceutcal products and biologics. All of these compettors may introduce new products or develop technological advances that compete with AbbVie’s products in therapeutc areas such as immunology, oncology, aesthetcs, neuroscience and eye care. In additon, as AbbVie products lose exclusivity, competton surrounding such products will increase and generic and biosimilar products will increasingly penetrate the markets. Furthermore, consolidaton among certain pharmaceutcal and biotechnology companies can enhance such advantages. These advantages may make it difcult for us to compete with them successfully to discover, develop and market new products and for our current products to compete with new products or indicatons they may bring to market. AbbVie cannot predict with certainty the tming or impact of the introducton by compettors of new products or technological advances. Such competng products may be safer, more efectve, more efectvely marketed or sold, have lower prices or beter insurance coverage or reimbursement levels, or have superior performance features than AbbVie’s products, and this may negatvely impact AbbVie’s business and results of operatons.</w:t>
      </w:r>
    </w:p>
    <w:p>
      <w:pPr>
        <w:spacing w:after="0" w:line="90" w:lineRule="exact"/>
        <w:rPr>
          <w:color w:val="auto"/>
          <w:sz w:val="20"/>
          <w:szCs w:val="20"/>
        </w:rPr>
      </w:pPr>
    </w:p>
    <w:p>
      <w:pPr>
        <w:spacing w:after="0" w:line="234" w:lineRule="auto"/>
        <w:ind w:left="260" w:right="300"/>
        <w:rPr>
          <w:color w:val="auto"/>
          <w:sz w:val="20"/>
          <w:szCs w:val="20"/>
        </w:rPr>
      </w:pPr>
      <w:r>
        <w:rPr>
          <w:rFonts w:ascii="Calibri" w:eastAsia="Calibri" w:hAnsi="Calibri" w:cs="Calibri"/>
          <w:b/>
          <w:bCs/>
          <w:i/>
          <w:iCs/>
          <w:color w:val="auto"/>
          <w:sz w:val="12"/>
          <w:szCs w:val="12"/>
        </w:rPr>
        <w:t>The manufacture of many of AbbVie's products is a highly exactng and complex process requiring critcal environmental controls, and if AbbVie or one of its suppliers encounters problems manufacturing AbbVie's products, AbbVie's business could sufer.</w:t>
      </w:r>
    </w:p>
    <w:p>
      <w:pPr>
        <w:spacing w:after="0" w:line="1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The manufacture of many of AbbVie's products is a highly exactng and complex process, due in part to strict regulatory requirements. Problems may arise during manufacturing for a variety of reasons, including equipment malfuncton, failure to follow specifc protocols and procedures, problems with raw materials, delays related to the constructon of new facilites or the expansion of existng facilites, including those intended to support future demand for AbbVie's products, changes in manufacturing producton sites and limits to manufacturing capacity due to regulatory requirements, changes in the types of products produced, physical limitatons that could inhibit contnuous supply, labor shortages, supply chain disrupton, pandemics, man-made or natural disasters and environmental factors. If problems arise during the producton of a batch of product, such batch of product may have to be discarded and AbbVie may experience product shortages or incur added expenses. This could, among other things, lead to increased costs, lost revenue, damage to customer relatons, tme and expense spent investgatng the cause and, depending on the cause, similar losses with respect to other batches or products. If problems are not discovered before the product is released to the market, recall and product liability costs may also be incurred.</w:t>
      </w:r>
    </w:p>
    <w:p>
      <w:pPr>
        <w:spacing w:after="0" w:line="205"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17</w:t>
      </w:r>
      <w:r>
        <w:rPr>
          <w:color w:val="auto"/>
          <w:sz w:val="20"/>
          <w:szCs w:val="20"/>
        </w:rPr>
        <w:tab/>
      </w:r>
      <w:r>
        <w:rPr>
          <w:color w:val="auto"/>
          <w:sz w:val="1"/>
          <w:szCs w:val="1"/>
        </w:rPr>
        <w:drawing>
          <wp:inline distT="0" distB="0" distL="0" distR="0">
            <wp:extent cx="400050" cy="7429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04320" behindDoc="1" locked="0" layoutInCell="0" allowOverlap="1">
            <wp:simplePos x="0" y="0"/>
            <wp:positionH relativeFrom="column">
              <wp:posOffset>-17145</wp:posOffset>
            </wp:positionH>
            <wp:positionV relativeFrom="paragraph">
              <wp:posOffset>128270</wp:posOffset>
            </wp:positionV>
            <wp:extent cx="7203440" cy="3683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660" w:right="319" w:bottom="1440" w:left="300" w:header="0" w:footer="0" w:gutter="0"/>
          <w:cols w:num="1" w:space="720" w:equalWidth="0">
            <w:col w:w="11280" w:space="0"/>
          </w:cols>
        </w:sectPr>
      </w:pPr>
    </w:p>
    <w:bookmarkStart w:id="19" w:name="page20"/>
    <w:bookmarkEnd w:id="19"/>
    <w:p>
      <w:pPr>
        <w:spacing w:after="0" w:line="234" w:lineRule="auto"/>
        <w:ind w:left="260" w:right="160"/>
        <w:rPr>
          <w:color w:val="auto"/>
          <w:sz w:val="20"/>
          <w:szCs w:val="20"/>
        </w:rPr>
      </w:pPr>
      <w:r>
        <w:rPr>
          <w:rFonts w:ascii="Calibri" w:eastAsia="Calibri" w:hAnsi="Calibri" w:cs="Calibri"/>
          <w:b/>
          <w:bCs/>
          <w:i/>
          <w:iCs/>
          <w:color w:val="auto"/>
          <w:sz w:val="12"/>
          <w:szCs w:val="12"/>
        </w:rPr>
        <w:t>AbbVie uses raw materials and components in its pharmaceutcal and biologic manufacturing processes, including those sourced from single suppliers around the world, and an interrupton in the supply of those raw materials and components could adversely afect AbbVie's business and results of operatons.</w:t>
      </w:r>
    </w:p>
    <w:p>
      <w:pPr>
        <w:spacing w:after="0" w:line="101"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AbbVie uses raw materials and components in its pharmaceutcal and biologic manufacturing processes that may be sourced from single suppliers. The failure of AbbVie's suppliers, and partcularly its single-source suppliers, to fulfll their contractual obligatons in a tmely manner or as a result of regulatory noncompliance or physical disrupton at a manufacturing site may impair AbbVie's ability to deliver its products to customers on a tmely and compettve basis, which could adversely afect AbbVie's business and results of operatons. Increases in demand on any of AbbVie's suppliers could result in delays and disruptons in the manufacturing, distributon and sale of its products and/or product shortages, leading to lost revenue. Finding an alternatve supplier could take a signifcant amount of tme and involve signifcant expense due to the nature of the products and the need to obtain regulatory approvals. AbbVie cannot guarantee that it will be able to reach agreement with alternatve providers or that regulatory authorites would approve AbbVie's use of such alternatves. Business interrupton insurance may not provide adequate compensaton in the case of a failure by a supplier.</w:t>
      </w:r>
    </w:p>
    <w:p>
      <w:pPr>
        <w:spacing w:after="0" w:line="89"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Certain aspects of AbbVie’s operatons are highly dependent upon third party service providers.</w:t>
      </w:r>
    </w:p>
    <w:p>
      <w:pPr>
        <w:spacing w:after="0" w:line="101"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AbbVie relies on suppliers, vendors and other third party service providers to research, develop, manufacture, commercialize, promote and sell its products. In additon, AbbVie relies on third party service providers for support of its informaton technology services. Reliance on third party manufacturers reduces AbbVie’s oversight and control of the manufacturing process. Some of these third party providers are subject to legal and regulatory requirements, privacy and security risks and market risks of their own. The failure of a critcal third party service provider to meet its obligatons could have a material adverse impact on AbbVie’s operatons and results. If any third party service providers have violated or are alleged to have violated any laws or regulatons during the performance of their obligatons to AbbVie, it is possible that AbbVie could sufer fnancial and reputatonal harm or other negatve outcomes, including possible legal consequences.</w:t>
      </w:r>
    </w:p>
    <w:p>
      <w:pPr>
        <w:spacing w:after="0" w:line="97"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Signifcant safety or efcacy issues could arise for AbbVie's products, which could have a material adverse efect on AbbVie's revenues and fnancial conditon.</w:t>
      </w:r>
    </w:p>
    <w:p>
      <w:pPr>
        <w:spacing w:after="0" w:line="92"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Pharmaceutcal products receive regulatory approval based on data obtained in controlled clinical trials of limited duraton. Following regulatory approval, these products will be used over longer periods of tme in many patents. Additonal, and perhaps more extensive, studies may also be conducted, which may be sponsored by AbbVie but could also be sponsored by compettors, insurance companies, government insttutons, scientsts, investgators or other interested partes. If new safety or efcacy issues are reported or if new scientfc informaton becomes available (including results of post-marketng Phase 4 trials), or if governments change standards regarding safety, efcacy or labeling, AbbVie may be required to amend the conditons of use for a product. For example, AbbVie may voluntarily provide or be required to provide updated informaton on a product's label or narrow its approved indicaton, either of which could reduce the product's market acceptance. If safety or efcacy issues with an AbbVie product arise, sales of the product could be halted by AbbVie or by regulatory authorites and regulatory acton could be taken by such regulatory authorites. Safety or efcacy issues afectng suppliers' or compettors' products also may reduce the market acceptance of similar AbbVie products.</w:t>
      </w:r>
    </w:p>
    <w:p>
      <w:pPr>
        <w:spacing w:after="0" w:line="102" w:lineRule="exact"/>
        <w:rPr>
          <w:color w:val="auto"/>
          <w:sz w:val="20"/>
          <w:szCs w:val="20"/>
        </w:rPr>
      </w:pPr>
    </w:p>
    <w:p>
      <w:pPr>
        <w:spacing w:after="0" w:line="264" w:lineRule="auto"/>
        <w:ind w:right="80" w:firstLine="297"/>
        <w:rPr>
          <w:color w:val="auto"/>
          <w:sz w:val="20"/>
          <w:szCs w:val="20"/>
        </w:rPr>
      </w:pPr>
      <w:r>
        <w:rPr>
          <w:rFonts w:ascii="Calibri" w:eastAsia="Calibri" w:hAnsi="Calibri" w:cs="Calibri"/>
          <w:color w:val="auto"/>
          <w:sz w:val="11"/>
          <w:szCs w:val="11"/>
        </w:rPr>
        <w:t>New data about AbbVie's products, or products similar to its products, could negatvely impact demand for AbbVie's products due to actual or perceived safety issues or uncertainty regarding efcacy and, in some cases, could result in product withdrawal. Furthermore, new data and informaton, including informaton about product misuse, may lead government agencies, professional societes, practce management groups or organizatons involved with various diseases to publish guidelines or recommendatons related to the use of AbbVie's products or the use of related therapies or place restrictons on sales. Such guidelines or recommendatons may lead to lower sales of AbbVie's products.</w:t>
      </w:r>
    </w:p>
    <w:p>
      <w:pPr>
        <w:spacing w:after="0" w:line="83"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AbbVie is subject to product liability claims and other lawsuits that may adversely afect its business, results of operatons and reputaton.</w:t>
      </w:r>
    </w:p>
    <w:p>
      <w:pPr>
        <w:spacing w:after="0" w:line="92"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In the ordinary course of business, AbbVie is the subject of product liability claims and lawsuits alleging that AbbVie's current or historical products or the products of other companies that it promotes have resulted or could result in an unsafe conditon for or injury to patents. Product liability claims and lawsuits and safety alerts or product recalls, regardless of their ultmate outcome, may have a material adverse efect on AbbVie's business, results of operatons and reputaton and on its ability to atract and retain customers. Consequences may also include additonal costs, a decrease in market share for the product in queston, lower revenue and exposure to other claims. Additonally, some of these maters involve numerous plaintfs and partes seeking large or indeterminate fnancial claims and may remain unresolved for several years. AbbVie evaluates its risks and has determined that the cost of obtaining product liability insurance outweighs the likely benefts of the coverage that is available and, as such, AbbVie's product liability losses are self-insured.</w:t>
      </w:r>
    </w:p>
    <w:p>
      <w:pPr>
        <w:spacing w:after="0" w:line="20" w:lineRule="exact"/>
        <w:rPr>
          <w:color w:val="auto"/>
          <w:sz w:val="20"/>
          <w:szCs w:val="20"/>
        </w:rPr>
      </w:pPr>
      <w:r>
        <w:rPr>
          <w:color w:val="auto"/>
          <w:sz w:val="20"/>
          <w:szCs w:val="20"/>
        </w:rPr>
        <w:drawing>
          <wp:anchor simplePos="0" relativeHeight="251705344" behindDoc="1" locked="0" layoutInCell="0" allowOverlap="1">
            <wp:simplePos x="0" y="0"/>
            <wp:positionH relativeFrom="column">
              <wp:posOffset>6475730</wp:posOffset>
            </wp:positionH>
            <wp:positionV relativeFrom="paragraph">
              <wp:posOffset>251460</wp:posOffset>
            </wp:positionV>
            <wp:extent cx="400050" cy="7429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18</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06368" behindDoc="1" locked="0" layoutInCell="0" allowOverlap="1">
            <wp:simplePos x="0" y="0"/>
            <wp:positionH relativeFrom="column">
              <wp:posOffset>7154545</wp:posOffset>
            </wp:positionH>
            <wp:positionV relativeFrom="paragraph">
              <wp:posOffset>-23495</wp:posOffset>
            </wp:positionV>
            <wp:extent cx="31115" cy="3683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07392" behindDoc="1" locked="0" layoutInCell="0" allowOverlap="1">
            <wp:simplePos x="0" y="0"/>
            <wp:positionH relativeFrom="column">
              <wp:posOffset>-17145</wp:posOffset>
            </wp:positionH>
            <wp:positionV relativeFrom="paragraph">
              <wp:posOffset>-23495</wp:posOffset>
            </wp:positionV>
            <wp:extent cx="31115" cy="3683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5" w:right="299" w:bottom="1440" w:left="300" w:header="0" w:footer="0" w:gutter="0"/>
          <w:cols w:num="1" w:space="720" w:equalWidth="0">
            <w:col w:w="11300" w:space="0"/>
          </w:cols>
        </w:sectPr>
      </w:pPr>
    </w:p>
    <w:bookmarkStart w:id="20" w:name="page21"/>
    <w:bookmarkEnd w:id="20"/>
    <w:p>
      <w:pPr>
        <w:spacing w:after="0" w:line="234" w:lineRule="auto"/>
        <w:ind w:firstLine="297"/>
        <w:rPr>
          <w:color w:val="auto"/>
          <w:sz w:val="20"/>
          <w:szCs w:val="20"/>
        </w:rPr>
      </w:pPr>
      <w:r>
        <w:rPr>
          <w:rFonts w:ascii="Calibri" w:eastAsia="Calibri" w:hAnsi="Calibri" w:cs="Calibri"/>
          <w:color w:val="auto"/>
          <w:sz w:val="12"/>
          <w:szCs w:val="12"/>
        </w:rPr>
        <w:t>AbbVie is also the subject of other claims, legal proceedings and investgatons in the ordinary course of business, which relate to intellectual property, commercial, securites and other maters. Adverse outcomes in such claims, legal proceedings and investgatons may also adversely afect AbbVie’s business, results of operatons and reputaton. See Note 15, "Legal Proceedings and Contngencies" to the Consolidated Financial Statements included under Item 8, "Financial Statements and Supplementary Data." AbbVie cannot predict with certainty the outcome of these proceedings.</w:t>
      </w:r>
    </w:p>
    <w:p>
      <w:pPr>
        <w:spacing w:after="0" w:line="89"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AbbVie is subject to governmental regulatons, and it can be costly to comply with these regulatons and to develop compliant products and processes.</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AbbVie's products are subject to rigorous regulaton by numerous internatonal, supranatonal, federal and state authorites, as described in Item 1, "Business—Regulaton—Discovery and Clinical Development,” “Business— Regulaton—Commercializaton, Distributon and Manufacturing,” and “Business—Regulaton—Medical Devices.” The process of obtaining regulatory approvals to market a pharmaceutcal product can be costly and tme consuming, and approvals may not be granted for future products, or additonal indicatons or uses of existng products, on a tmely basis, if at all. Delays in the receipt of, or failure to obtain approvals for, future products, or new indicatons and uses, could result in delayed realizaton of product revenues, reducton in revenues and substantal additonal costs.</w:t>
      </w:r>
    </w:p>
    <w:p>
      <w:pPr>
        <w:spacing w:after="0" w:line="164" w:lineRule="exact"/>
        <w:rPr>
          <w:color w:val="auto"/>
          <w:sz w:val="20"/>
          <w:szCs w:val="20"/>
        </w:rPr>
      </w:pPr>
    </w:p>
    <w:p>
      <w:pPr>
        <w:spacing w:after="0" w:line="264" w:lineRule="auto"/>
        <w:ind w:right="80" w:firstLine="297"/>
        <w:rPr>
          <w:color w:val="auto"/>
          <w:sz w:val="20"/>
          <w:szCs w:val="20"/>
        </w:rPr>
      </w:pPr>
      <w:r>
        <w:rPr>
          <w:rFonts w:ascii="Calibri" w:eastAsia="Calibri" w:hAnsi="Calibri" w:cs="Calibri"/>
          <w:color w:val="auto"/>
          <w:sz w:val="11"/>
          <w:szCs w:val="11"/>
        </w:rPr>
        <w:t>The U.S. healthcare industry, in partcular, is highly regulated and subject to frequent and substantal regulatory changes. It is expected that the U.S. healthcare industry will contnue to be subject to increasing regulaton as well as politcal and legal acton, as future proposals to reform the healthcare system are considered by federal, state and local governments. Changes in healthcare policy may introduce additonal and signifcant changes to healthcare regulaton and the healthcare industry. AbbVie cannot predict with certainty when additonal changes in the healthcare industry in general, or the pharmaceutcal industry in partcular, will occur, or what the impact of such changes may be.</w:t>
      </w:r>
    </w:p>
    <w:p>
      <w:pPr>
        <w:spacing w:after="0" w:line="151" w:lineRule="exact"/>
        <w:rPr>
          <w:color w:val="auto"/>
          <w:sz w:val="20"/>
          <w:szCs w:val="20"/>
        </w:rPr>
      </w:pPr>
    </w:p>
    <w:p>
      <w:pPr>
        <w:spacing w:after="0" w:line="234" w:lineRule="auto"/>
        <w:ind w:right="240" w:firstLine="297"/>
        <w:jc w:val="both"/>
        <w:rPr>
          <w:color w:val="auto"/>
          <w:sz w:val="20"/>
          <w:szCs w:val="20"/>
        </w:rPr>
      </w:pPr>
      <w:r>
        <w:rPr>
          <w:rFonts w:ascii="Calibri" w:eastAsia="Calibri" w:hAnsi="Calibri" w:cs="Calibri"/>
          <w:color w:val="auto"/>
          <w:sz w:val="12"/>
          <w:szCs w:val="12"/>
        </w:rPr>
        <w:t>In additon, AbbVie cannot guarantee that it will remain compliant with applicable regulatory requirements once approval has been obtained for a product. These requirements include, among other things, regulatons regarding manufacturing practces, product labeling and advertsing and post-marketng reportng, including adverse event reports and feld alerts due to manufacturing quality concerns. AbbVie must incur expense and spend tme and efort to ensure compliance with these complex regulatons.</w:t>
      </w:r>
    </w:p>
    <w:p>
      <w:pPr>
        <w:spacing w:after="0" w:line="103"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Possible regulatory actons could result in substantal modifcatons to AbbVie's business practces and operatons; refunds, recalls or seizures of AbbVie's products; a total or partal shutdown of producton in one or more of AbbVie's or its suppliers' facilites while AbbVie or its supplier remedies the alleged violaton; the inability to obtain future approvals; and withdrawals or suspensions of current products from the market. Any of these events could disrupt AbbVie's business and have a material adverse efect on its business and results of operatons.</w:t>
      </w:r>
    </w:p>
    <w:p>
      <w:pPr>
        <w:spacing w:after="0" w:line="89"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Laws and regulatons afectng government beneft programs could impose new obligatons on AbbVie, require it to change its business practces, and restrict its operatons.</w:t>
      </w:r>
    </w:p>
    <w:p>
      <w:pPr>
        <w:spacing w:after="0" w:line="1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The health care industry is subject to federal, state and internatonal laws and regulatons pertaining to government beneft program reimbursements, rebates, price reportng and regulaton and health care fraud and abuse. In the United States, these laws include ant-kickback and false claims laws, the Medicaid Rebate Statute, the Veterans Health Care Act, the U.S. Physician Payments Sunshine Act, the TRICARE program, the government pricing rules applicable to the Medicaid, Medicare Part B, 340B Drug Pricing Program and individual state laws relatng to pricing and sales and marketng practces. Violatons of such laws and regulatons may be punishable by criminal and/or civil sanctons, including, in some instances, substantal fnes, imprisonment and exclusion from partcipaton in federal and state health care programs, including Medicare, Medicaid and Veterans Administraton health programs. Such violatons may also lead to product recalls and seizures, interrupton of producton leading to product shortages, import bans or denials of import certfcatons, delays or denials in the approvals of new products or supplemental approvals of current products pending resoluton of the issues, and reputatonal harm, any of which would adversely afect AbbVie's business. These laws and regulatons are broad in scope and are subject to change and evolving interpretatons, which could require AbbVie to incur substantal costs associated with compliance or to alter one or more of its sales or marketng practces. In additon, violatons of these laws and regulatons, or allegatons of such violatons, could impose new obligatons on AbbVie, require it to change its business practces and restrict its operatons.</w:t>
      </w:r>
    </w:p>
    <w:p>
      <w:pPr>
        <w:spacing w:after="0" w:line="207"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19</w:t>
      </w:r>
      <w:r>
        <w:rPr>
          <w:color w:val="auto"/>
          <w:sz w:val="20"/>
          <w:szCs w:val="20"/>
        </w:rPr>
        <w:tab/>
      </w:r>
      <w:r>
        <w:rPr>
          <w:color w:val="auto"/>
          <w:sz w:val="1"/>
          <w:szCs w:val="1"/>
        </w:rPr>
        <w:drawing>
          <wp:inline distT="0" distB="0" distL="0" distR="0">
            <wp:extent cx="400050" cy="7429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08416" behindDoc="1" locked="0" layoutInCell="0" allowOverlap="1">
            <wp:simplePos x="0" y="0"/>
            <wp:positionH relativeFrom="column">
              <wp:posOffset>-17145</wp:posOffset>
            </wp:positionH>
            <wp:positionV relativeFrom="paragraph">
              <wp:posOffset>133985</wp:posOffset>
            </wp:positionV>
            <wp:extent cx="7203440" cy="3683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21" w:name="page22"/>
    <w:bookmarkEnd w:id="21"/>
    <w:p>
      <w:pPr>
        <w:spacing w:after="0"/>
        <w:ind w:left="260"/>
        <w:rPr>
          <w:color w:val="auto"/>
          <w:sz w:val="20"/>
          <w:szCs w:val="20"/>
        </w:rPr>
      </w:pPr>
      <w:r>
        <w:rPr>
          <w:rFonts w:ascii="Calibri" w:eastAsia="Calibri" w:hAnsi="Calibri" w:cs="Calibri"/>
          <w:b/>
          <w:bCs/>
          <w:i/>
          <w:iCs/>
          <w:color w:val="auto"/>
          <w:sz w:val="12"/>
          <w:szCs w:val="12"/>
        </w:rPr>
        <w:t>The internatonal nature of AbbVie's business subjects it to additonal business risks that may cause its revenue and proftability to decline.</w:t>
      </w:r>
    </w:p>
    <w:p>
      <w:pPr>
        <w:spacing w:after="0" w:line="92"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AbbVie's business is subject to risks associated with doing business internatonally, including in emerging markets. Net revenues outside of the United States made up approximately 24% of AbbVie's total net revenues in 2024. The risks associated with AbbVie's operatons outside the United States include:</w:t>
      </w:r>
    </w:p>
    <w:p>
      <w:pPr>
        <w:spacing w:after="0" w:line="97" w:lineRule="exact"/>
        <w:rPr>
          <w:color w:val="auto"/>
          <w:sz w:val="20"/>
          <w:szCs w:val="20"/>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fuctuatons in currency exchange rates;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changes in medical reimbursement policies and programs and pricing restrictons;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multple legal and regulatory requirements that are subject to change and that could restrict AbbVie's ability to manufacture, market and sell its products;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difering local product preferences and product requirements;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trade protecton measures and import or export licensing requirements;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internatonal trade disruptons or disputes;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difculty in establishing, stafng and managing operatons;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difering labor regulatons;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potentally negatve consequences from changes in or interpretatons of tax laws;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politcal and economic instability;</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conficts or crises in individual countries or regions, including terrorist actvites or wars;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sovereign debt issues;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price and currency exchange controls, limitatons on partcipaton in local enterprises, expropriaton, natonalizaton and other governmental acton and regulaton;</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infaton, recession and fuctuatons in interest rates;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restrictons on transfers of funds;</w:t>
      </w:r>
    </w:p>
    <w:p>
      <w:pPr>
        <w:spacing w:after="0" w:line="69" w:lineRule="exact"/>
        <w:rPr>
          <w:rFonts w:ascii="Calibri" w:eastAsia="Calibri" w:hAnsi="Calibri" w:cs="Calibri"/>
          <w:color w:val="auto"/>
          <w:sz w:val="12"/>
          <w:szCs w:val="12"/>
        </w:rPr>
      </w:pPr>
    </w:p>
    <w:p>
      <w:pPr>
        <w:numPr>
          <w:ilvl w:val="0"/>
          <w:numId w:val="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potental deterioraton in the economic positon and credit quality of certain non-U.S. countries; and</w:t>
      </w:r>
    </w:p>
    <w:p>
      <w:pPr>
        <w:spacing w:after="0" w:line="74" w:lineRule="exact"/>
        <w:rPr>
          <w:rFonts w:ascii="Calibri" w:eastAsia="Calibri" w:hAnsi="Calibri" w:cs="Calibri"/>
          <w:color w:val="auto"/>
          <w:sz w:val="12"/>
          <w:szCs w:val="12"/>
        </w:rPr>
      </w:pPr>
    </w:p>
    <w:p>
      <w:pPr>
        <w:numPr>
          <w:ilvl w:val="0"/>
          <w:numId w:val="2"/>
        </w:numPr>
        <w:tabs>
          <w:tab w:val="left" w:pos="635"/>
        </w:tabs>
        <w:spacing w:after="0" w:line="234" w:lineRule="auto"/>
        <w:ind w:left="640" w:right="380" w:hanging="216"/>
        <w:rPr>
          <w:rFonts w:ascii="Calibri" w:eastAsia="Calibri" w:hAnsi="Calibri" w:cs="Calibri"/>
          <w:color w:val="auto"/>
          <w:sz w:val="12"/>
          <w:szCs w:val="12"/>
        </w:rPr>
      </w:pPr>
      <w:r>
        <w:rPr>
          <w:rFonts w:ascii="Calibri" w:eastAsia="Calibri" w:hAnsi="Calibri" w:cs="Calibri"/>
          <w:color w:val="auto"/>
          <w:sz w:val="12"/>
          <w:szCs w:val="12"/>
        </w:rPr>
        <w:t>potental penaltes or other adverse consequences for violatons of ant-corrupton, ant-bribery and other similar laws and regulatons, including the United States Foreign Corrupt Practces Act and the United Kingdom Bribery Act.</w:t>
      </w:r>
    </w:p>
    <w:p>
      <w:pPr>
        <w:spacing w:after="0" w:line="97"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If AbbVie does not efectvely and proftably commercialize its products, AbbVie's revenues and fnancial conditon could be adversely afected.</w:t>
      </w:r>
    </w:p>
    <w:p>
      <w:pPr>
        <w:spacing w:after="0" w:line="92"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AbbVie must efectvely and proftably commercialize its principal products by creatng and meetng contnued market demand; achieving market acceptance and generatng product sales; ensuring that the actve pharmaceutcal ingredient(s) for a product and the fnished product are manufactured in sufcient quanttes and in compliance with requirements of the FDA and similar foreign regulatory agencies and with acceptable quality and pricing to meet commercial demand; and ensuring that the entre supply chain efciently and consistently delivers AbbVie's products to its customers. The commercializaton of AbbVie products may not be successful due to, among other things, unexpected challenges from compettors, new safety issues or concerns being reported that may impact or narrow approved indicatons, the relatve price of AbbVie's product as compared to alternatve treatment optons and changes to a product's label that further restrict its marketng. If the commercializaton of AbbVie's principal products is unsuccessful, AbbVie's revenues and fnancial conditon could be adversely afected.</w:t>
      </w:r>
    </w:p>
    <w:p>
      <w:pPr>
        <w:spacing w:after="0" w:line="97"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AbbVie may acquire other businesses, license rights to technologies or products, form alliances, or dispose of assets, which could cause it to incur signifcant expenses and could negatvely afect proftability.</w:t>
      </w:r>
    </w:p>
    <w:p>
      <w:pPr>
        <w:spacing w:after="0" w:line="101" w:lineRule="exact"/>
        <w:rPr>
          <w:color w:val="auto"/>
          <w:sz w:val="20"/>
          <w:szCs w:val="20"/>
        </w:rPr>
      </w:pPr>
    </w:p>
    <w:p>
      <w:pPr>
        <w:spacing w:after="0" w:line="235" w:lineRule="auto"/>
        <w:ind w:right="140" w:firstLine="297"/>
        <w:rPr>
          <w:color w:val="auto"/>
          <w:sz w:val="20"/>
          <w:szCs w:val="20"/>
        </w:rPr>
      </w:pPr>
      <w:r>
        <w:rPr>
          <w:rFonts w:ascii="Calibri" w:eastAsia="Calibri" w:hAnsi="Calibri" w:cs="Calibri"/>
          <w:color w:val="auto"/>
          <w:sz w:val="12"/>
          <w:szCs w:val="12"/>
        </w:rPr>
        <w:t>AbbVie from tme to tme pursues acquisitons, technology licensing arrangements, joint ventures and strategic alliances, and/or disposes of some of its assets, as part of its business strategy. AbbVie may not complete these transactons in a tmely manner, on a cost-efectve basis, or at all, and may not realize the expected benefts. If AbbVie is successful in making an acquisiton, the products and technologies that are acquired may not be successful or may require signifcantly greater resources and investments than originally antcipated. AbbVie may not be able to integrate acquisitons successfully into its existng business and could incur or assume signifcant debt and unknown or contngent liabilites. AbbVie could also</w:t>
      </w:r>
    </w:p>
    <w:p>
      <w:pPr>
        <w:spacing w:after="0" w:line="20" w:lineRule="exact"/>
        <w:rPr>
          <w:color w:val="auto"/>
          <w:sz w:val="20"/>
          <w:szCs w:val="20"/>
        </w:rPr>
      </w:pPr>
      <w:r>
        <w:rPr>
          <w:color w:val="auto"/>
          <w:sz w:val="20"/>
          <w:szCs w:val="20"/>
        </w:rPr>
        <w:drawing>
          <wp:anchor simplePos="0" relativeHeight="251709440" behindDoc="1" locked="0" layoutInCell="0" allowOverlap="1">
            <wp:simplePos x="0" y="0"/>
            <wp:positionH relativeFrom="column">
              <wp:posOffset>6475730</wp:posOffset>
            </wp:positionH>
            <wp:positionV relativeFrom="paragraph">
              <wp:posOffset>250825</wp:posOffset>
            </wp:positionV>
            <wp:extent cx="400050" cy="7429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20</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710464" behindDoc="1" locked="0" layoutInCell="0" allowOverlap="1">
            <wp:simplePos x="0" y="0"/>
            <wp:positionH relativeFrom="column">
              <wp:posOffset>7154545</wp:posOffset>
            </wp:positionH>
            <wp:positionV relativeFrom="paragraph">
              <wp:posOffset>-23495</wp:posOffset>
            </wp:positionV>
            <wp:extent cx="31115" cy="3683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11488" behindDoc="1" locked="0" layoutInCell="0" allowOverlap="1">
            <wp:simplePos x="0" y="0"/>
            <wp:positionH relativeFrom="column">
              <wp:posOffset>-17145</wp:posOffset>
            </wp:positionH>
            <wp:positionV relativeFrom="paragraph">
              <wp:posOffset>-23495</wp:posOffset>
            </wp:positionV>
            <wp:extent cx="31115" cy="3683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22" w:name="page23"/>
    <w:bookmarkEnd w:id="22"/>
    <w:p>
      <w:pPr>
        <w:spacing w:after="0" w:line="234" w:lineRule="auto"/>
        <w:ind w:right="120"/>
        <w:rPr>
          <w:color w:val="auto"/>
          <w:sz w:val="20"/>
          <w:szCs w:val="20"/>
        </w:rPr>
      </w:pPr>
      <w:r>
        <w:rPr>
          <w:rFonts w:ascii="Calibri" w:eastAsia="Calibri" w:hAnsi="Calibri" w:cs="Calibri"/>
          <w:color w:val="auto"/>
          <w:sz w:val="12"/>
          <w:szCs w:val="12"/>
        </w:rPr>
        <w:t>experience negatve efects on its reported results of operatons from acquisiton or dispositon-related charges, amortzaton of expenses related to intangibles and charges for impairment of long-term assets. These efects could cause a deterioraton of AbbVie's credit ratng and result in increased borrowing costs and interest expense.</w:t>
      </w:r>
    </w:p>
    <w:p>
      <w:pPr>
        <w:spacing w:after="0" w:line="92"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Additonally, changes in AbbVie's structure, operatons, revenues, costs, or efciency resultng from major transactons such as acquisitons, divesttures, mergers, alliances, joint ventures, restructurings or other strategic initatves, may result in greater than expected costs, may take longer than expected to complete or encounter other difcultes, including the need for regulatory approval where appropriate.</w:t>
      </w:r>
    </w:p>
    <w:p>
      <w:pPr>
        <w:spacing w:after="0" w:line="101"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1"/>
          <w:szCs w:val="11"/>
        </w:rPr>
        <w:t>AbbVie is dependent on wholesale distributors for distributon of its products in the United States and, accordingly, its business and results of operatons could be adversely afected if they encounter fnancial or other difcultes.</w:t>
      </w:r>
    </w:p>
    <w:p>
      <w:pPr>
        <w:spacing w:after="0" w:line="109"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In 2024, three wholesale distributors (McKesson Corporaton, Cardinal Health, Inc. and Cencora, Inc.) accounted for substantally all of AbbVie's pharmaceutcal product sales in the United States. If one of its signifcant wholesale distributors encounters fnancial or other difcultes, such distributor may decrease the amount of business that it does with AbbVie, and AbbVie may be unable to collect all the amounts that the distributor owes it on a tmely basis or at all, which could adversely afect AbbVie's business and results of operatons.</w:t>
      </w:r>
    </w:p>
    <w:p>
      <w:pPr>
        <w:spacing w:after="0" w:line="89"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AbbVie has debt obligatons that could adversely afect its business and its ability to meet its obligatons.</w:t>
      </w:r>
    </w:p>
    <w:p>
      <w:pPr>
        <w:spacing w:after="0" w:line="101" w:lineRule="exact"/>
        <w:rPr>
          <w:color w:val="auto"/>
          <w:sz w:val="20"/>
          <w:szCs w:val="20"/>
        </w:rPr>
      </w:pPr>
    </w:p>
    <w:p>
      <w:pPr>
        <w:spacing w:after="0" w:line="235" w:lineRule="auto"/>
        <w:ind w:right="200" w:firstLine="297"/>
        <w:rPr>
          <w:color w:val="auto"/>
          <w:sz w:val="20"/>
          <w:szCs w:val="20"/>
        </w:rPr>
      </w:pPr>
      <w:r>
        <w:rPr>
          <w:rFonts w:ascii="Calibri" w:eastAsia="Calibri" w:hAnsi="Calibri" w:cs="Calibri"/>
          <w:color w:val="auto"/>
          <w:sz w:val="12"/>
          <w:szCs w:val="12"/>
        </w:rPr>
        <w:t>The amount of debt that AbbVie has incurred and intends to incur could have important consequences to AbbVie and its investors. These consequences include, among other things, requiring a porton of AbbVie's cash fow from operatons to make interest payments on this debt and reducing the cash fow available to fund capital expenditures and other corporate purposes and to grow AbbVie's business. To the extent AbbVie incurs additonal indebtedness or interest rates increase, these risks could increase further. In additon, AbbVie's cash fow from operatons may not be sufcient to repay all of the outstanding debt as it becomes due, and AbbVie may not be able to borrow money, sell assets, or otherwise raise funds on acceptable terms, or at all, to refnance its debt.</w:t>
      </w:r>
    </w:p>
    <w:p>
      <w:pPr>
        <w:spacing w:after="0" w:line="97"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AbbVie may need additonal fnancing in the future to meet its capital needs or to make opportunistc acquisitons, and such fnancing may not be available on favorable terms, if at all.</w:t>
      </w:r>
    </w:p>
    <w:p>
      <w:pPr>
        <w:spacing w:after="0" w:line="92"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AbbVie may need additonal fnancing in the future to meet its capital needs or to make opportunistc acquisitons. For example, it may need to increase its investment in research and development actvites. The capital and credit markets may experience extreme volatlity and disrupton, which may lead to uncertainty and liquidity issues for both borrowers and investors, and AbbVie may be unable to obtain any desired additonal fnancing on terms favorable to it, if at all. If AbbVie loses its investment grade credit ratng or adequate funds are not available on acceptable terms, AbbVie may be unable to fund its expansion, successfully develop or enhance products, or respond to compettve pressures, any of which could negatvely afect AbbVie's business. If AbbVie raises additonal funds by issuing debt or entering into credit facilites, it may be subject to limitatons on its operatons due to restrictve covenants. Failure to comply with these covenants could adversely afect AbbVie's business.</w:t>
      </w:r>
    </w:p>
    <w:p>
      <w:pPr>
        <w:spacing w:after="0" w:line="102" w:lineRule="exact"/>
        <w:rPr>
          <w:color w:val="auto"/>
          <w:sz w:val="20"/>
          <w:szCs w:val="20"/>
        </w:rPr>
      </w:pPr>
    </w:p>
    <w:p>
      <w:pPr>
        <w:spacing w:after="0" w:line="234" w:lineRule="auto"/>
        <w:ind w:left="260"/>
        <w:rPr>
          <w:color w:val="auto"/>
          <w:sz w:val="20"/>
          <w:szCs w:val="20"/>
        </w:rPr>
      </w:pPr>
      <w:r>
        <w:rPr>
          <w:rFonts w:ascii="Calibri" w:eastAsia="Calibri" w:hAnsi="Calibri" w:cs="Calibri"/>
          <w:b/>
          <w:bCs/>
          <w:i/>
          <w:iCs/>
          <w:color w:val="auto"/>
          <w:sz w:val="12"/>
          <w:szCs w:val="12"/>
        </w:rPr>
        <w:t>AbbVie depends on informaton technology and a failure of, or signifcant disrupton to, those systems, or a failure to adequately adopt emerging technologies such as artfcial intelligence, could have a material adverse efect on AbbVie's business.</w:t>
      </w:r>
    </w:p>
    <w:p>
      <w:pPr>
        <w:spacing w:after="0" w:line="101" w:lineRule="exact"/>
        <w:rPr>
          <w:color w:val="auto"/>
          <w:sz w:val="20"/>
          <w:szCs w:val="20"/>
        </w:rPr>
      </w:pPr>
    </w:p>
    <w:p>
      <w:pPr>
        <w:spacing w:after="0" w:line="259" w:lineRule="auto"/>
        <w:ind w:right="80" w:firstLine="297"/>
        <w:rPr>
          <w:color w:val="auto"/>
          <w:sz w:val="20"/>
          <w:szCs w:val="20"/>
        </w:rPr>
      </w:pPr>
      <w:r>
        <w:rPr>
          <w:rFonts w:ascii="Calibri" w:eastAsia="Calibri" w:hAnsi="Calibri" w:cs="Calibri"/>
          <w:color w:val="auto"/>
          <w:sz w:val="11"/>
          <w:szCs w:val="11"/>
        </w:rPr>
        <w:t>AbbVie relies on sophistcated sofware applicatons and complex informaton technology systems (including cloud services) to operate its business, which are inherently vulnerable to malicious intrusion, random atack, loss of data privacy, disrupton, degradaton or breakdown. Certain of these applicatons and systems are managed, hosted, provided or used by third partes. Data privacy or security breaches of our internal systems or those of our informaton technology vendors may in the future result in the failure of critcal business operatons. Such breaches may cause sensitve data, including intellectual property, trade secrets or personal informaton belonging to AbbVie, its patents, customers, employees or business partners, to be exposed to unauthorized persons or to the public. To date, neither AbbVie’s business nor operatons have been materially impacted by such incidents, however, the healthcare industry remains a target of cyber-atacks. Cybersecurity atacks and incidents are increasing in their frequency, sophistcaton and intensity and, due to the nature of some of these atacks, there is a risk that they may remain undetected for a period of tme. AbbVie’s investments in the protecton of its data and informaton technology and its eforts to monitor its systems on an ongoing basis may be insufcient to prevent compromises in AbbVie's informaton technology systems that could have a material adverse efect on AbbVie's business. Such adverse consequences could include loss of revenue or the loss of critcal or sensitve informaton from AbbVie’s or third-party providers’ databases or informaton technology systems and could also result in legal, fnancial, reputatonal or business harm to AbbVie and potentally substantal remediaton costs. In additon, AbbVie’s cyber insurance may not be sufcient to</w:t>
      </w:r>
    </w:p>
    <w:p>
      <w:pPr>
        <w:spacing w:after="0" w:line="96"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21</w:t>
      </w:r>
      <w:r>
        <w:rPr>
          <w:color w:val="auto"/>
          <w:sz w:val="20"/>
          <w:szCs w:val="20"/>
        </w:rPr>
        <w:tab/>
      </w:r>
      <w:r>
        <w:rPr>
          <w:color w:val="auto"/>
          <w:sz w:val="1"/>
          <w:szCs w:val="1"/>
        </w:rPr>
        <w:drawing>
          <wp:inline distT="0" distB="0" distL="0" distR="0">
            <wp:extent cx="400050" cy="7429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12512" behindDoc="1" locked="0" layoutInCell="0" allowOverlap="1">
            <wp:simplePos x="0" y="0"/>
            <wp:positionH relativeFrom="column">
              <wp:posOffset>-17145</wp:posOffset>
            </wp:positionH>
            <wp:positionV relativeFrom="paragraph">
              <wp:posOffset>133985</wp:posOffset>
            </wp:positionV>
            <wp:extent cx="7203440" cy="3683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23" w:name="page24"/>
    <w:bookmarkEnd w:id="23"/>
    <w:p>
      <w:pPr>
        <w:spacing w:after="0"/>
        <w:rPr>
          <w:color w:val="auto"/>
          <w:sz w:val="20"/>
          <w:szCs w:val="20"/>
        </w:rPr>
      </w:pPr>
      <w:r>
        <w:rPr>
          <w:rFonts w:ascii="Calibri" w:eastAsia="Calibri" w:hAnsi="Calibri" w:cs="Calibri"/>
          <w:color w:val="auto"/>
          <w:sz w:val="12"/>
          <w:szCs w:val="12"/>
        </w:rPr>
        <w:t>cover the fnancial, legal, business or reputatonal losses that may result from an interrupton or breach of AbbVie systems or those of our third-party vendors.</w:t>
      </w:r>
    </w:p>
    <w:p>
      <w:pPr>
        <w:spacing w:after="0" w:line="101"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Additonally, AbbVie utlizes artfcial intelligence (AI) and other emerging technologies in select applicatons to support its operatons. These technologies may present opportunites for AbbVie's business but may also entail risks, including that AI-generated analyses utlized by AbbVie could be defcient or exacerbate regulatory, cybersecurity or other signifcant risks. Further, our failure to efectvely implement these technologies could hinder our ability to compete, as compettors' advancements in AI may lead to more efcient operatons.</w:t>
      </w:r>
    </w:p>
    <w:p>
      <w:pPr>
        <w:spacing w:after="0" w:line="166" w:lineRule="exact"/>
        <w:rPr>
          <w:color w:val="auto"/>
          <w:sz w:val="20"/>
          <w:szCs w:val="20"/>
        </w:rPr>
      </w:pPr>
    </w:p>
    <w:p>
      <w:pPr>
        <w:spacing w:after="0" w:line="234" w:lineRule="auto"/>
        <w:ind w:left="260" w:right="520"/>
        <w:rPr>
          <w:color w:val="auto"/>
          <w:sz w:val="20"/>
          <w:szCs w:val="20"/>
        </w:rPr>
      </w:pPr>
      <w:r>
        <w:rPr>
          <w:rFonts w:ascii="Calibri" w:eastAsia="Calibri" w:hAnsi="Calibri" w:cs="Calibri"/>
          <w:b/>
          <w:bCs/>
          <w:i/>
          <w:iCs/>
          <w:color w:val="auto"/>
          <w:sz w:val="12"/>
          <w:szCs w:val="12"/>
        </w:rPr>
        <w:t>AbbVie’s balances of intangible assets, including developed product rights and goodwill acquired, are subject to impairment testng and may result in impairment charges, which may adversely afect AbbVie’s results of operatons and fnancial conditon.</w:t>
      </w:r>
    </w:p>
    <w:p>
      <w:pPr>
        <w:spacing w:after="0" w:line="92" w:lineRule="exact"/>
        <w:rPr>
          <w:color w:val="auto"/>
          <w:sz w:val="20"/>
          <w:szCs w:val="20"/>
        </w:rPr>
      </w:pPr>
    </w:p>
    <w:p>
      <w:pPr>
        <w:spacing w:after="0" w:line="234" w:lineRule="auto"/>
        <w:ind w:right="260" w:firstLine="297"/>
        <w:rPr>
          <w:color w:val="auto"/>
          <w:sz w:val="20"/>
          <w:szCs w:val="20"/>
        </w:rPr>
      </w:pPr>
      <w:r>
        <w:rPr>
          <w:rFonts w:ascii="Calibri" w:eastAsia="Calibri" w:hAnsi="Calibri" w:cs="Calibri"/>
          <w:color w:val="auto"/>
          <w:sz w:val="12"/>
          <w:szCs w:val="12"/>
        </w:rPr>
        <w:t>A signifcant amount of AbbVie’s total assets is related to acquired intangibles and goodwill. As of December 31, 2024, the carrying value of AbbVie’s developed product rights and other intangible assets was $60.1 billion and the carrying value of AbbVie’s goodwill was $35.0 billion.</w:t>
      </w:r>
    </w:p>
    <w:p>
      <w:pPr>
        <w:spacing w:after="0" w:line="101" w:lineRule="exact"/>
        <w:rPr>
          <w:color w:val="auto"/>
          <w:sz w:val="20"/>
          <w:szCs w:val="20"/>
        </w:rPr>
      </w:pPr>
    </w:p>
    <w:p>
      <w:pPr>
        <w:spacing w:after="0" w:line="264" w:lineRule="auto"/>
        <w:ind w:right="20" w:firstLine="297"/>
        <w:rPr>
          <w:color w:val="auto"/>
          <w:sz w:val="20"/>
          <w:szCs w:val="20"/>
        </w:rPr>
      </w:pPr>
      <w:r>
        <w:rPr>
          <w:rFonts w:ascii="Calibri" w:eastAsia="Calibri" w:hAnsi="Calibri" w:cs="Calibri"/>
          <w:color w:val="auto"/>
          <w:sz w:val="11"/>
          <w:szCs w:val="11"/>
        </w:rPr>
        <w:t>AbbVie’s developed product rights are stated at cost, less accumulated amortzaton. AbbVie determines original fair value and amortzaton periods for developed product rights based on its assessment of various factors impactng estmated useful lives and cash fows of the acquired products. Signifcant adverse changes to any of these factors require AbbVie to perform an impairment test on the afected asset and, if evidence of impairment exists, require AbbVie to take an impairment charge with respect to the asset. For assets that are not impaired, AbbVie may adjust the remaining useful lives. Such a charge could adversely afect AbbVie’s results of operatons and fnancial conditon.</w:t>
      </w:r>
    </w:p>
    <w:p>
      <w:pPr>
        <w:spacing w:after="0" w:line="88"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AbbVie’s other signifcant intangible assets include in-process research and development (IPR&amp;D) intangible projects, acquired in recent business combinatons, which are indefnite-lived intangible assets. For IPR&amp;D assets, the risk of failure is signifcant, and there can be no certainty that these assets ultmately will yield successful products. AbbVie's ability to realize value on these signifcant investments is ofen contngent upon, among other things, regulatory approvals and market conditons. As such, IPR&amp;D assets may become impaired and/or be writen of at some point in the future if the associated research and development efort is abandoned or is curtailed.</w:t>
      </w:r>
    </w:p>
    <w:p>
      <w:pPr>
        <w:spacing w:after="0" w:line="94"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Goodwill and AbbVie’s IPR&amp;D intangible assets are tested for impairment annually, or when events occur, or circumstances change that could potentally reduce the fair value of the reportng unit or intangible asset. Impairment testng compares the fair value of the reportng unit or intangible asset to its carrying amount. A goodwill or IPR&amp;D impairment, if any, would be recorded in operatng income and could have a material adverse efect on AbbVie’s results of operatons and fnancial conditon.</w:t>
      </w:r>
    </w:p>
    <w:p>
      <w:pPr>
        <w:spacing w:after="0" w:line="98"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Failure to atract, develop and retain highly qualifed personnel could afect AbbVie’s ability to successfully develop and commercialize products.</w:t>
      </w:r>
    </w:p>
    <w:p>
      <w:pPr>
        <w:spacing w:after="0" w:line="101"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AbbVie’s success is largely dependent on its contnued ability to atract, develop and retain diverse, highly qualifed scientfc, technical and management personnel, as well as personnel with expertse in clinical research and development, governmental regulaton and commercializaton. Competton for qualifed personnel in the biopharmaceutcal feld is intense and increasing. AbbVie cannot be sure that it will be able to atract and retain quality personnel or that the costs of doing so will not materially increase.</w:t>
      </w:r>
    </w:p>
    <w:p>
      <w:pPr>
        <w:spacing w:after="0" w:line="89"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The illegal distributon and sale by third partes of counterfeit or unregistered versions of AbbVie products could have a material adverse impact on its reputaton, business and results of operatons.</w:t>
      </w:r>
    </w:p>
    <w:p>
      <w:pPr>
        <w:spacing w:after="0" w:line="101" w:lineRule="exact"/>
        <w:rPr>
          <w:color w:val="auto"/>
          <w:sz w:val="20"/>
          <w:szCs w:val="20"/>
        </w:rPr>
      </w:pPr>
    </w:p>
    <w:p>
      <w:pPr>
        <w:spacing w:after="0" w:line="235" w:lineRule="auto"/>
        <w:ind w:right="160" w:firstLine="297"/>
        <w:rPr>
          <w:color w:val="auto"/>
          <w:sz w:val="20"/>
          <w:szCs w:val="20"/>
        </w:rPr>
      </w:pPr>
      <w:r>
        <w:rPr>
          <w:rFonts w:ascii="Calibri" w:eastAsia="Calibri" w:hAnsi="Calibri" w:cs="Calibri"/>
          <w:color w:val="auto"/>
          <w:sz w:val="12"/>
          <w:szCs w:val="12"/>
        </w:rPr>
        <w:t>Third partes may illegally obtain, distribute, and sell counterfeit or illegally diverted from their intended market versions of AbbVie products. These versions of product would not meet AbbVie's rigorous manufacturing, testng, distributon and quality standards. A patent who receives a counterfeit, stolen, or diverted drug may be at risk for a number of dangerous health consequences. The prevalence of counterfeit/diverted medicines is an industry-wide issue due to a variety of factors, including the adopton of e-commerce, greatly enhancing consumers' ability to obtain prescriptons and other medical treatments via the internet in lieu of traditonal brick and mortar pharmacies. This can expose patents to greater risks as the internet is a preferred vehicle for dangerous counterfeit/diverted product ofers and scams because of the anonymity it</w:t>
      </w:r>
    </w:p>
    <w:p>
      <w:pPr>
        <w:spacing w:after="0" w:line="20" w:lineRule="exact"/>
        <w:rPr>
          <w:color w:val="auto"/>
          <w:sz w:val="20"/>
          <w:szCs w:val="20"/>
        </w:rPr>
      </w:pPr>
      <w:r>
        <w:rPr>
          <w:color w:val="auto"/>
          <w:sz w:val="20"/>
          <w:szCs w:val="20"/>
        </w:rPr>
        <w:drawing>
          <wp:anchor simplePos="0" relativeHeight="251713536" behindDoc="1" locked="0" layoutInCell="0" allowOverlap="1">
            <wp:simplePos x="0" y="0"/>
            <wp:positionH relativeFrom="column">
              <wp:posOffset>6475730</wp:posOffset>
            </wp:positionH>
            <wp:positionV relativeFrom="paragraph">
              <wp:posOffset>250825</wp:posOffset>
            </wp:positionV>
            <wp:extent cx="400050" cy="7429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22</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14560" behindDoc="1" locked="0" layoutInCell="0" allowOverlap="1">
            <wp:simplePos x="0" y="0"/>
            <wp:positionH relativeFrom="column">
              <wp:posOffset>7154545</wp:posOffset>
            </wp:positionH>
            <wp:positionV relativeFrom="paragraph">
              <wp:posOffset>-23495</wp:posOffset>
            </wp:positionV>
            <wp:extent cx="31115" cy="3683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15584" behindDoc="1" locked="0" layoutInCell="0" allowOverlap="1">
            <wp:simplePos x="0" y="0"/>
            <wp:positionH relativeFrom="column">
              <wp:posOffset>-17145</wp:posOffset>
            </wp:positionH>
            <wp:positionV relativeFrom="paragraph">
              <wp:posOffset>-23495</wp:posOffset>
            </wp:positionV>
            <wp:extent cx="31115" cy="3683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24" w:name="page25"/>
    <w:bookmarkEnd w:id="24"/>
    <w:p>
      <w:pPr>
        <w:spacing w:after="0"/>
        <w:rPr>
          <w:color w:val="auto"/>
          <w:sz w:val="20"/>
          <w:szCs w:val="20"/>
        </w:rPr>
      </w:pPr>
      <w:r>
        <w:rPr>
          <w:rFonts w:ascii="Calibri" w:eastAsia="Calibri" w:hAnsi="Calibri" w:cs="Calibri"/>
          <w:color w:val="auto"/>
          <w:sz w:val="12"/>
          <w:szCs w:val="12"/>
        </w:rPr>
        <w:t>afords. AbbVie's reputaton and business could sufer harm as a result of counterfeit or diverted drugs sold under its brand name which may also result in reduced revenues that could negatvely afect our results of operaton.</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b/>
          <w:bCs/>
          <w:i/>
          <w:iCs/>
          <w:color w:val="auto"/>
          <w:sz w:val="12"/>
          <w:szCs w:val="12"/>
        </w:rPr>
        <w:t>Other factors can have a material adverse efect on AbbVie's proftability and fnancial conditon.</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Many other factors can afect AbbVie's results of operatons, cash fows and fnancial conditon, including:</w:t>
      </w:r>
    </w:p>
    <w:p>
      <w:pPr>
        <w:spacing w:after="0" w:line="101" w:lineRule="exact"/>
        <w:rPr>
          <w:color w:val="auto"/>
          <w:sz w:val="20"/>
          <w:szCs w:val="20"/>
        </w:rPr>
      </w:pPr>
    </w:p>
    <w:p>
      <w:pPr>
        <w:numPr>
          <w:ilvl w:val="0"/>
          <w:numId w:val="3"/>
        </w:numPr>
        <w:tabs>
          <w:tab w:val="left" w:pos="635"/>
        </w:tabs>
        <w:spacing w:after="0" w:line="234" w:lineRule="auto"/>
        <w:ind w:left="640" w:right="40" w:hanging="216"/>
        <w:rPr>
          <w:rFonts w:ascii="Calibri" w:eastAsia="Calibri" w:hAnsi="Calibri" w:cs="Calibri"/>
          <w:color w:val="auto"/>
          <w:sz w:val="12"/>
          <w:szCs w:val="12"/>
        </w:rPr>
      </w:pPr>
      <w:r>
        <w:rPr>
          <w:rFonts w:ascii="Calibri" w:eastAsia="Calibri" w:hAnsi="Calibri" w:cs="Calibri"/>
          <w:color w:val="auto"/>
          <w:sz w:val="12"/>
          <w:szCs w:val="12"/>
        </w:rPr>
        <w:t>changes in or interpretatons of laws and regulatons, including changes in accountng standards, taxaton requirements, product marketng applicaton standards, data privacy laws, partcularly in the European Union and the United States and environmental laws;</w:t>
      </w:r>
    </w:p>
    <w:p>
      <w:pPr>
        <w:spacing w:after="0" w:line="92" w:lineRule="exact"/>
        <w:rPr>
          <w:rFonts w:ascii="Calibri" w:eastAsia="Calibri" w:hAnsi="Calibri" w:cs="Calibri"/>
          <w:color w:val="auto"/>
          <w:sz w:val="12"/>
          <w:szCs w:val="12"/>
        </w:rPr>
      </w:pPr>
    </w:p>
    <w:p>
      <w:pPr>
        <w:numPr>
          <w:ilvl w:val="0"/>
          <w:numId w:val="3"/>
        </w:numPr>
        <w:tabs>
          <w:tab w:val="left" w:pos="635"/>
        </w:tabs>
        <w:spacing w:after="0" w:line="234" w:lineRule="auto"/>
        <w:ind w:left="640" w:right="40" w:hanging="216"/>
        <w:rPr>
          <w:rFonts w:ascii="Calibri" w:eastAsia="Calibri" w:hAnsi="Calibri" w:cs="Calibri"/>
          <w:color w:val="auto"/>
          <w:sz w:val="12"/>
          <w:szCs w:val="12"/>
        </w:rPr>
      </w:pPr>
      <w:r>
        <w:rPr>
          <w:rFonts w:ascii="Calibri" w:eastAsia="Calibri" w:hAnsi="Calibri" w:cs="Calibri"/>
          <w:color w:val="auto"/>
          <w:sz w:val="12"/>
          <w:szCs w:val="12"/>
        </w:rPr>
        <w:t>diferences between the fair value measurement of assets and liabilites and their actual value, partcularly for pension and post-employment benefts, stock-based compensaton, intangibles and goodwill; and for contngent liabilites such as litgaton and contngent consideraton, the absence of a recorded amount, or an amount recorded at the minimum, compared to the actual amount;</w:t>
      </w:r>
    </w:p>
    <w:p>
      <w:pPr>
        <w:spacing w:after="0" w:line="101" w:lineRule="exact"/>
        <w:rPr>
          <w:rFonts w:ascii="Calibri" w:eastAsia="Calibri" w:hAnsi="Calibri" w:cs="Calibri"/>
          <w:color w:val="auto"/>
          <w:sz w:val="12"/>
          <w:szCs w:val="12"/>
        </w:rPr>
      </w:pPr>
    </w:p>
    <w:p>
      <w:pPr>
        <w:numPr>
          <w:ilvl w:val="0"/>
          <w:numId w:val="3"/>
        </w:numPr>
        <w:tabs>
          <w:tab w:val="left" w:pos="635"/>
        </w:tabs>
        <w:spacing w:after="0" w:line="234" w:lineRule="auto"/>
        <w:ind w:left="640" w:right="300" w:hanging="216"/>
        <w:rPr>
          <w:rFonts w:ascii="Calibri" w:eastAsia="Calibri" w:hAnsi="Calibri" w:cs="Calibri"/>
          <w:color w:val="auto"/>
          <w:sz w:val="12"/>
          <w:szCs w:val="12"/>
        </w:rPr>
      </w:pPr>
      <w:r>
        <w:rPr>
          <w:rFonts w:ascii="Calibri" w:eastAsia="Calibri" w:hAnsi="Calibri" w:cs="Calibri"/>
          <w:color w:val="auto"/>
          <w:sz w:val="12"/>
          <w:szCs w:val="12"/>
        </w:rPr>
        <w:t>changes in the rate of infaton (including the cost of raw materials, commodites and supplies), interest rates, market value of AbbVie's equity investments and the performance of investments held by it or its employee beneft trusts;</w:t>
      </w:r>
    </w:p>
    <w:p>
      <w:pPr>
        <w:spacing w:after="0" w:line="96" w:lineRule="exact"/>
        <w:rPr>
          <w:rFonts w:ascii="Calibri" w:eastAsia="Calibri" w:hAnsi="Calibri" w:cs="Calibri"/>
          <w:color w:val="auto"/>
          <w:sz w:val="12"/>
          <w:szCs w:val="12"/>
        </w:rPr>
      </w:pPr>
    </w:p>
    <w:p>
      <w:pPr>
        <w:numPr>
          <w:ilvl w:val="0"/>
          <w:numId w:val="3"/>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changes in the creditworthiness of counterpartes that transact business with or provide services to AbbVie or its employee beneft trusts;</w:t>
      </w:r>
    </w:p>
    <w:p>
      <w:pPr>
        <w:spacing w:after="0" w:line="87" w:lineRule="exact"/>
        <w:rPr>
          <w:rFonts w:ascii="Calibri" w:eastAsia="Calibri" w:hAnsi="Calibri" w:cs="Calibri"/>
          <w:color w:val="auto"/>
          <w:sz w:val="12"/>
          <w:szCs w:val="12"/>
        </w:rPr>
      </w:pPr>
    </w:p>
    <w:p>
      <w:pPr>
        <w:numPr>
          <w:ilvl w:val="0"/>
          <w:numId w:val="3"/>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environmental liabilites in connecton with AbbVie’s manufacturing processes and distributon logistcs, including the handling of hazardous materials;</w:t>
      </w:r>
    </w:p>
    <w:p>
      <w:pPr>
        <w:spacing w:after="0" w:line="96" w:lineRule="exact"/>
        <w:rPr>
          <w:rFonts w:ascii="Calibri" w:eastAsia="Calibri" w:hAnsi="Calibri" w:cs="Calibri"/>
          <w:color w:val="auto"/>
          <w:sz w:val="12"/>
          <w:szCs w:val="12"/>
        </w:rPr>
      </w:pPr>
    </w:p>
    <w:p>
      <w:pPr>
        <w:numPr>
          <w:ilvl w:val="0"/>
          <w:numId w:val="3"/>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changes in the ability of third partes that provide informaton technology, accountng, human resources, payroll and other outsourced services to AbbVie to meet their contractual obligatons to AbbVie;</w:t>
      </w:r>
    </w:p>
    <w:p>
      <w:pPr>
        <w:spacing w:after="0" w:line="96" w:lineRule="exact"/>
        <w:rPr>
          <w:rFonts w:ascii="Calibri" w:eastAsia="Calibri" w:hAnsi="Calibri" w:cs="Calibri"/>
          <w:color w:val="auto"/>
          <w:sz w:val="12"/>
          <w:szCs w:val="12"/>
        </w:rPr>
      </w:pPr>
    </w:p>
    <w:p>
      <w:pPr>
        <w:numPr>
          <w:ilvl w:val="0"/>
          <w:numId w:val="3"/>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the failure, perceived failure, or pursuit of achieving environmental, social and governance objectves;</w:t>
      </w:r>
    </w:p>
    <w:p>
      <w:pPr>
        <w:spacing w:after="0" w:line="87" w:lineRule="exact"/>
        <w:rPr>
          <w:rFonts w:ascii="Calibri" w:eastAsia="Calibri" w:hAnsi="Calibri" w:cs="Calibri"/>
          <w:color w:val="auto"/>
          <w:sz w:val="12"/>
          <w:szCs w:val="12"/>
        </w:rPr>
      </w:pPr>
    </w:p>
    <w:p>
      <w:pPr>
        <w:numPr>
          <w:ilvl w:val="0"/>
          <w:numId w:val="3"/>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informaton loss or damage to AbbVie's reputaton, brand, image or goodwill due to increased use of social media platorms;</w:t>
      </w:r>
    </w:p>
    <w:p>
      <w:pPr>
        <w:spacing w:after="0" w:line="96" w:lineRule="exact"/>
        <w:rPr>
          <w:rFonts w:ascii="Calibri" w:eastAsia="Calibri" w:hAnsi="Calibri" w:cs="Calibri"/>
          <w:color w:val="auto"/>
          <w:sz w:val="12"/>
          <w:szCs w:val="12"/>
        </w:rPr>
      </w:pPr>
    </w:p>
    <w:p>
      <w:pPr>
        <w:numPr>
          <w:ilvl w:val="0"/>
          <w:numId w:val="3"/>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business interruptons stemming from natural disasters, such as climate change, earthquakes, hurricanes, fooding, fres, or eforts taken by third partes to prevent or mitgate such disasters; and</w:t>
      </w:r>
    </w:p>
    <w:p>
      <w:pPr>
        <w:spacing w:after="0" w:line="101" w:lineRule="exact"/>
        <w:rPr>
          <w:rFonts w:ascii="Calibri" w:eastAsia="Calibri" w:hAnsi="Calibri" w:cs="Calibri"/>
          <w:color w:val="auto"/>
          <w:sz w:val="12"/>
          <w:szCs w:val="12"/>
        </w:rPr>
      </w:pPr>
    </w:p>
    <w:p>
      <w:pPr>
        <w:numPr>
          <w:ilvl w:val="0"/>
          <w:numId w:val="3"/>
        </w:numPr>
        <w:tabs>
          <w:tab w:val="left" w:pos="635"/>
        </w:tabs>
        <w:spacing w:after="0" w:line="234" w:lineRule="auto"/>
        <w:ind w:left="640" w:hanging="216"/>
        <w:rPr>
          <w:rFonts w:ascii="Calibri" w:eastAsia="Calibri" w:hAnsi="Calibri" w:cs="Calibri"/>
          <w:color w:val="auto"/>
          <w:sz w:val="12"/>
          <w:szCs w:val="12"/>
        </w:rPr>
      </w:pPr>
      <w:r>
        <w:rPr>
          <w:rFonts w:ascii="Calibri" w:eastAsia="Calibri" w:hAnsi="Calibri" w:cs="Calibri"/>
          <w:color w:val="auto"/>
          <w:sz w:val="12"/>
          <w:szCs w:val="12"/>
        </w:rPr>
        <w:t>changes in business, economic and politcal conditons, including: war, politcal instability, terrorist atacks, the threat of future terrorist actvity and related military acton; natural disasters; pandemics and epidemics, the cost and availability of insurance due to any of the foregoing events; labor disputes, strikes, slow-downs, or other forms of labor or union actvity; and pressure from third-party interest groups.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Risks Related to AbbVie's Common Stock</w:t>
      </w:r>
    </w:p>
    <w:p>
      <w:pPr>
        <w:spacing w:after="0" w:line="97"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AbbVie cannot guarantee the tming, amount, or payment of dividends on its common stock or the repurchase of its common stock.</w:t>
      </w:r>
    </w:p>
    <w:p>
      <w:pPr>
        <w:spacing w:after="0" w:line="101" w:lineRule="exact"/>
        <w:rPr>
          <w:color w:val="auto"/>
          <w:sz w:val="20"/>
          <w:szCs w:val="20"/>
        </w:rPr>
      </w:pPr>
    </w:p>
    <w:p>
      <w:pPr>
        <w:spacing w:after="0" w:line="235" w:lineRule="auto"/>
        <w:ind w:right="80" w:firstLine="297"/>
        <w:jc w:val="both"/>
        <w:rPr>
          <w:color w:val="auto"/>
          <w:sz w:val="20"/>
          <w:szCs w:val="20"/>
        </w:rPr>
      </w:pPr>
      <w:r>
        <w:rPr>
          <w:rFonts w:ascii="Calibri" w:eastAsia="Calibri" w:hAnsi="Calibri" w:cs="Calibri"/>
          <w:color w:val="auto"/>
          <w:sz w:val="12"/>
          <w:szCs w:val="12"/>
        </w:rPr>
        <w:t>Although AbbVie expects to pay regular cash dividends, the tming, declaraton, amount and payment of future dividends to stockholders will fall within the discreton of AbbVie's board of directors. The board's decisions regarding the payment of dividends will depend on many factors, such as AbbVie's fnancial conditon, earnings, capital requirements, debt service obligatons, industry practce, legal requirements, regulatory constraints and other factors that the board deems relevant. For more informaton, see Item 5, "Market for Registrant's Common Equity, Related Stockholder Maters and Issuer Purchases of Equity Securites." AbbVie's ability to pay dividends and repurchase shares under its stock repurchase program will depend on its ongoing ability to generate cash from operatons and access capital markets. AbbVie cannot guarantee that it will contnue to pay a dividend in the future.</w:t>
      </w:r>
    </w:p>
    <w:p>
      <w:pPr>
        <w:spacing w:after="0" w:line="88" w:lineRule="exact"/>
        <w:rPr>
          <w:color w:val="auto"/>
          <w:sz w:val="20"/>
          <w:szCs w:val="20"/>
        </w:rPr>
      </w:pPr>
    </w:p>
    <w:p>
      <w:pPr>
        <w:spacing w:after="0"/>
        <w:ind w:left="260"/>
        <w:rPr>
          <w:color w:val="auto"/>
          <w:sz w:val="20"/>
          <w:szCs w:val="20"/>
        </w:rPr>
      </w:pPr>
      <w:r>
        <w:rPr>
          <w:rFonts w:ascii="Calibri" w:eastAsia="Calibri" w:hAnsi="Calibri" w:cs="Calibri"/>
          <w:b/>
          <w:bCs/>
          <w:i/>
          <w:iCs/>
          <w:color w:val="auto"/>
          <w:sz w:val="12"/>
          <w:szCs w:val="12"/>
        </w:rPr>
        <w:t>An AbbVie stockholder's percentage of ownership in AbbVie may be diluted in the future.</w:t>
      </w:r>
    </w:p>
    <w:p>
      <w:pPr>
        <w:spacing w:after="0" w:line="101"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In the future, a stockholder's percentage ownership in AbbVie may be diluted because of equity issuances for capital market transactons, equity awards that AbbVie will be grantng to AbbVie's directors, ofcers and employees, acquisitons or other purposes. AbbVie antcipates its compensaton commitee will grant additonal stock optons or other stock-based awards to its employees. Such awards will have a dilutve efect on AbbVie's earnings per share, which could adversely afect the market price of AbbVie's common stock. From tme to tme, AbbVie will issue additonal optons or other stock-based awards to its employees under AbbVie's employee benefts plans.</w:t>
      </w:r>
    </w:p>
    <w:p>
      <w:pPr>
        <w:spacing w:after="0" w:line="206"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23</w:t>
      </w:r>
      <w:r>
        <w:rPr>
          <w:color w:val="auto"/>
          <w:sz w:val="20"/>
          <w:szCs w:val="20"/>
        </w:rPr>
        <w:tab/>
      </w:r>
      <w:r>
        <w:rPr>
          <w:color w:val="auto"/>
          <w:sz w:val="1"/>
          <w:szCs w:val="1"/>
        </w:rPr>
        <w:drawing>
          <wp:inline distT="0" distB="0" distL="0" distR="0">
            <wp:extent cx="400050" cy="7429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16608" behindDoc="1" locked="0" layoutInCell="0" allowOverlap="1">
            <wp:simplePos x="0" y="0"/>
            <wp:positionH relativeFrom="column">
              <wp:posOffset>-17145</wp:posOffset>
            </wp:positionH>
            <wp:positionV relativeFrom="paragraph">
              <wp:posOffset>128270</wp:posOffset>
            </wp:positionV>
            <wp:extent cx="7203440" cy="3683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59" w:bottom="1440" w:left="300" w:header="0" w:footer="0" w:gutter="0"/>
          <w:cols w:num="1" w:space="720" w:equalWidth="0">
            <w:col w:w="11240" w:space="0"/>
          </w:cols>
        </w:sectPr>
      </w:pPr>
    </w:p>
    <w:bookmarkStart w:id="25" w:name="page26"/>
    <w:bookmarkEnd w:id="25"/>
    <w:p>
      <w:pPr>
        <w:spacing w:after="0" w:line="235" w:lineRule="auto"/>
        <w:ind w:right="60" w:firstLine="297"/>
        <w:rPr>
          <w:color w:val="auto"/>
          <w:sz w:val="20"/>
          <w:szCs w:val="20"/>
        </w:rPr>
      </w:pPr>
      <w:r>
        <w:rPr>
          <w:rFonts w:ascii="Calibri" w:eastAsia="Calibri" w:hAnsi="Calibri" w:cs="Calibri"/>
          <w:color w:val="auto"/>
          <w:sz w:val="12"/>
          <w:szCs w:val="12"/>
        </w:rPr>
        <w:t>In additon, AbbVie's amended and restated certfcate of incorporaton authorizes AbbVie to issue, without the approval of AbbVie's stockholders, one or more classes or series of preferred stock having such designaton, powers, preferences and relatve, partcipatng, optonal and other special rights, including preferences over AbbVie's common stock respectng dividends and distributons, as AbbVie's board of directors generally may determine. The terms of one or more classes or series of preferred stock could dilute the votng power or reduce the value of AbbVie's common stock. For example, AbbVie could grant the holders of preferred stock the right to elect some number of AbbVie's directors in all events or on the happening of specifed events or the right to veto specifed transactons. Similarly, the repurchase or redempton rights or liquidaton preferences AbbVie could assign to holders of preferred stock could afect the residual value of the common stock.</w:t>
      </w:r>
    </w:p>
    <w:p>
      <w:pPr>
        <w:spacing w:after="0" w:line="93" w:lineRule="exact"/>
        <w:rPr>
          <w:color w:val="auto"/>
          <w:sz w:val="20"/>
          <w:szCs w:val="20"/>
        </w:rPr>
      </w:pPr>
    </w:p>
    <w:p>
      <w:pPr>
        <w:spacing w:after="0" w:line="234" w:lineRule="auto"/>
        <w:ind w:left="260" w:right="20"/>
        <w:rPr>
          <w:color w:val="auto"/>
          <w:sz w:val="20"/>
          <w:szCs w:val="20"/>
        </w:rPr>
      </w:pPr>
      <w:r>
        <w:rPr>
          <w:rFonts w:ascii="Calibri" w:eastAsia="Calibri" w:hAnsi="Calibri" w:cs="Calibri"/>
          <w:b/>
          <w:bCs/>
          <w:i/>
          <w:iCs/>
          <w:color w:val="auto"/>
          <w:sz w:val="12"/>
          <w:szCs w:val="12"/>
        </w:rPr>
        <w:t>Certain provisions in AbbVie's amended and restated certfcate of incorporaton and amended and restated by-laws, and of Delaware law, may prevent or delay an acquisiton of AbbVie, which could decrease the trading price of AbbVie's common stock.</w:t>
      </w:r>
    </w:p>
    <w:p>
      <w:pPr>
        <w:spacing w:after="0" w:line="101"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AbbVie's amended and restated certfcate of incorporaton and amended and restated by-laws contain, and Delaware law contains, provisions that are intended to deter coercive takeover practces and inadequate takeover bids by encouraging prospectve acquirors to negotate with AbbVie's board of directors rather than to atempt a hostle takeover. These provisions include, among others:</w:t>
      </w:r>
    </w:p>
    <w:p>
      <w:pPr>
        <w:spacing w:after="0" w:line="97" w:lineRule="exact"/>
        <w:rPr>
          <w:color w:val="auto"/>
          <w:sz w:val="20"/>
          <w:szCs w:val="20"/>
        </w:rPr>
      </w:pPr>
    </w:p>
    <w:p>
      <w:pPr>
        <w:numPr>
          <w:ilvl w:val="0"/>
          <w:numId w:val="4"/>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the inability of AbbVie's stockholders to call a special meetng;</w:t>
      </w:r>
    </w:p>
    <w:p>
      <w:pPr>
        <w:spacing w:after="0" w:line="87" w:lineRule="exact"/>
        <w:rPr>
          <w:rFonts w:ascii="Calibri" w:eastAsia="Calibri" w:hAnsi="Calibri" w:cs="Calibri"/>
          <w:color w:val="auto"/>
          <w:sz w:val="12"/>
          <w:szCs w:val="12"/>
        </w:rPr>
      </w:pPr>
    </w:p>
    <w:p>
      <w:pPr>
        <w:numPr>
          <w:ilvl w:val="0"/>
          <w:numId w:val="4"/>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the division of AbbVie's board of directors into three classes of directors, with each class serving a staggered three-year term;</w:t>
      </w:r>
    </w:p>
    <w:p>
      <w:pPr>
        <w:spacing w:after="0" w:line="96" w:lineRule="exact"/>
        <w:rPr>
          <w:rFonts w:ascii="Calibri" w:eastAsia="Calibri" w:hAnsi="Calibri" w:cs="Calibri"/>
          <w:color w:val="auto"/>
          <w:sz w:val="12"/>
          <w:szCs w:val="12"/>
        </w:rPr>
      </w:pPr>
    </w:p>
    <w:p>
      <w:pPr>
        <w:numPr>
          <w:ilvl w:val="0"/>
          <w:numId w:val="4"/>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a provision that stockholders may only remove directors for cause;</w:t>
      </w:r>
    </w:p>
    <w:p>
      <w:pPr>
        <w:spacing w:after="0" w:line="96" w:lineRule="exact"/>
        <w:rPr>
          <w:rFonts w:ascii="Calibri" w:eastAsia="Calibri" w:hAnsi="Calibri" w:cs="Calibri"/>
          <w:color w:val="auto"/>
          <w:sz w:val="12"/>
          <w:szCs w:val="12"/>
        </w:rPr>
      </w:pPr>
    </w:p>
    <w:p>
      <w:pPr>
        <w:numPr>
          <w:ilvl w:val="0"/>
          <w:numId w:val="4"/>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the ability of AbbVie's directors, and not stockholders, to fll vacancies on AbbVie's board of directors; and</w:t>
      </w:r>
    </w:p>
    <w:p>
      <w:pPr>
        <w:spacing w:after="0" w:line="92" w:lineRule="exact"/>
        <w:rPr>
          <w:rFonts w:ascii="Calibri" w:eastAsia="Calibri" w:hAnsi="Calibri" w:cs="Calibri"/>
          <w:color w:val="auto"/>
          <w:sz w:val="12"/>
          <w:szCs w:val="12"/>
        </w:rPr>
      </w:pPr>
    </w:p>
    <w:p>
      <w:pPr>
        <w:numPr>
          <w:ilvl w:val="0"/>
          <w:numId w:val="4"/>
        </w:numPr>
        <w:tabs>
          <w:tab w:val="left" w:pos="635"/>
        </w:tabs>
        <w:spacing w:after="0" w:line="271" w:lineRule="auto"/>
        <w:ind w:left="640" w:right="100" w:hanging="216"/>
        <w:rPr>
          <w:rFonts w:ascii="Calibri" w:eastAsia="Calibri" w:hAnsi="Calibri" w:cs="Calibri"/>
          <w:color w:val="auto"/>
          <w:sz w:val="11"/>
          <w:szCs w:val="11"/>
        </w:rPr>
      </w:pPr>
      <w:r>
        <w:rPr>
          <w:rFonts w:ascii="Calibri" w:eastAsia="Calibri" w:hAnsi="Calibri" w:cs="Calibri"/>
          <w:color w:val="auto"/>
          <w:sz w:val="11"/>
          <w:szCs w:val="11"/>
        </w:rPr>
        <w:t>the requirement that the afrmatve vote of stockholders holding at least 80% of AbbVie's votng stock is required to amend certain provisions in AbbVie's amended and restated certfcate of incorporaton and AbbVie's amended and restated by-laws relatng to the number, term and electon of AbbVie's directors, the flling of board vacancies, the calling of special meetngs of stockholders and director and ofcer indemnifcaton provisions.</w:t>
      </w:r>
    </w:p>
    <w:p>
      <w:pPr>
        <w:spacing w:after="0" w:line="84" w:lineRule="exact"/>
        <w:rPr>
          <w:color w:val="auto"/>
          <w:sz w:val="20"/>
          <w:szCs w:val="20"/>
        </w:rPr>
      </w:pPr>
    </w:p>
    <w:p>
      <w:pPr>
        <w:spacing w:after="0" w:line="234" w:lineRule="auto"/>
        <w:ind w:right="200" w:firstLine="297"/>
        <w:rPr>
          <w:color w:val="auto"/>
          <w:sz w:val="20"/>
          <w:szCs w:val="20"/>
        </w:rPr>
      </w:pPr>
      <w:r>
        <w:rPr>
          <w:rFonts w:ascii="Calibri" w:eastAsia="Calibri" w:hAnsi="Calibri" w:cs="Calibri"/>
          <w:color w:val="auto"/>
          <w:sz w:val="12"/>
          <w:szCs w:val="12"/>
        </w:rPr>
        <w:t>In additon, Secton 203 of the Delaware General Corporaton Law provides that, subject to limited exceptons, persons that acquire, or are afliated with a person that acquires, more than 15% of the outstanding votng stock of a Delaware corporaton shall not engage in any business combinaton with that corporaton, including by merger, consolidaton or acquisitons of additonal shares, for a three-year period following the date on which that person or its afliates becomes the holder of more than 15% of the corporaton's outstanding votng stock.</w:t>
      </w:r>
    </w:p>
    <w:p>
      <w:pPr>
        <w:spacing w:after="0" w:line="103"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AbbVie believes these provisions protect its stockholders from coercive or otherwise unfair takeover tactcs by requiring potental acquirors to negotate with AbbVie's board of directors and by providing AbbVie's board of directors with more tme to assess any acquisiton proposal. These provisions are not intended to make the company immune from takeovers. However, these provisions apply even if the ofer may be considered benefcial by some stockholders and could delay or prevent an acquisiton that AbbVie's board of directors determines is not in the best interests of AbbVie and AbbVie's stockholders. These provisions may also prevent or discourage atempts to remove and replace incumbent directors.</w:t>
      </w:r>
    </w:p>
    <w:p>
      <w:pPr>
        <w:spacing w:after="0" w:line="20" w:lineRule="exact"/>
        <w:rPr>
          <w:color w:val="auto"/>
          <w:sz w:val="20"/>
          <w:szCs w:val="20"/>
        </w:rPr>
      </w:pPr>
      <w:r>
        <w:rPr>
          <w:color w:val="auto"/>
          <w:sz w:val="20"/>
          <w:szCs w:val="20"/>
        </w:rPr>
        <w:drawing>
          <wp:anchor simplePos="0" relativeHeight="251717632" behindDoc="1" locked="0" layoutInCell="0" allowOverlap="1">
            <wp:simplePos x="0" y="0"/>
            <wp:positionH relativeFrom="column">
              <wp:posOffset>6475730</wp:posOffset>
            </wp:positionH>
            <wp:positionV relativeFrom="paragraph">
              <wp:posOffset>250825</wp:posOffset>
            </wp:positionV>
            <wp:extent cx="400050" cy="7429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24</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718656" behindDoc="1" locked="0" layoutInCell="0" allowOverlap="1">
            <wp:simplePos x="0" y="0"/>
            <wp:positionH relativeFrom="column">
              <wp:posOffset>7154545</wp:posOffset>
            </wp:positionH>
            <wp:positionV relativeFrom="paragraph">
              <wp:posOffset>-23495</wp:posOffset>
            </wp:positionV>
            <wp:extent cx="31115" cy="3683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19680" behindDoc="1" locked="0" layoutInCell="0" allowOverlap="1">
            <wp:simplePos x="0" y="0"/>
            <wp:positionH relativeFrom="column">
              <wp:posOffset>-17145</wp:posOffset>
            </wp:positionH>
            <wp:positionV relativeFrom="paragraph">
              <wp:posOffset>-23495</wp:posOffset>
            </wp:positionV>
            <wp:extent cx="31115" cy="3683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26" w:name="page27"/>
    <w:bookmarkEnd w:id="26"/>
    <w:p>
      <w:pPr>
        <w:spacing w:after="0"/>
        <w:jc w:val="center"/>
        <w:rPr>
          <w:color w:val="auto"/>
          <w:sz w:val="20"/>
          <w:szCs w:val="20"/>
        </w:rPr>
      </w:pPr>
      <w:r>
        <w:rPr>
          <w:rFonts w:ascii="Calibri" w:eastAsia="Calibri" w:hAnsi="Calibri" w:cs="Calibri"/>
          <w:b/>
          <w:bCs/>
          <w:color w:val="444867"/>
          <w:sz w:val="14"/>
          <w:szCs w:val="14"/>
        </w:rPr>
        <w:t>CAUTIONARY STATEMENT REGARDING FORWARD-LOOKING STATEMENTS</w:t>
      </w:r>
    </w:p>
    <w:p>
      <w:pPr>
        <w:spacing w:after="0" w:line="104"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This Annual Report on Form 10-K contains certain forward-looking statements regarding business strategies, market potental, future fnancial performance and other maters. The words "believe," "expect," "antcipate," "project" and similar expressions and uses of future or conditonal verbs, generally identfy "forward looking statements," which speak only as of the date the statements were made. The maters discussed in these forward-looking statements are subject to risks, uncertaintes and other factors that could cause actual results to difer materially from those expressed or implied in the forward-looking statements. In partcular, informaton included under Item 1, "Business," Item 1A, "Risk Factors," and Item 7, "Management's Discussion and Analysis of Financial Conditon and Results of Operatons" contain forward looking statements. Where, in any forward looking statement, an expectaton or belief as to future results or events is expressed or implied, such expectaton or belief is based on the current plans and expectatons of AbbVie management and expressed in good faith and believed to have a reasonable basis, but there can be no assurance that the expectaton or belief will result or be achieved or accomplished. Factors that could cause actual results or events to difer materially from those antcipated include, but are not limited to, the maters described under Item 1A, "Risk Factors" and Item 7, "Management's Discussion and Analysis of Financial Conditon and Results of Operatons." AbbVie does not undertake, and specifcally declines, any obligaton to update the forward-looking statements included in this Annual Report on Form 10-K to refect events or circumstances afer the date hereof, unless AbbVie is required by applicable securites law to do so.</w:t>
      </w:r>
    </w:p>
    <w:p>
      <w:pPr>
        <w:spacing w:after="0" w:line="162"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1B. UNRESOLVED STAFF COMMENTS</w:t>
      </w:r>
    </w:p>
    <w:p>
      <w:pPr>
        <w:spacing w:after="0" w:line="20" w:lineRule="exact"/>
        <w:rPr>
          <w:color w:val="auto"/>
          <w:sz w:val="20"/>
          <w:szCs w:val="20"/>
        </w:rPr>
      </w:pPr>
      <w:r>
        <w:rPr>
          <w:color w:val="auto"/>
          <w:sz w:val="20"/>
          <w:szCs w:val="20"/>
        </w:rPr>
        <w:drawing>
          <wp:anchor simplePos="0" relativeHeight="251720704" behindDoc="1" locked="0" layoutInCell="0" allowOverlap="1">
            <wp:simplePos x="0" y="0"/>
            <wp:positionH relativeFrom="column">
              <wp:posOffset>-4445</wp:posOffset>
            </wp:positionH>
            <wp:positionV relativeFrom="paragraph">
              <wp:posOffset>24130</wp:posOffset>
            </wp:positionV>
            <wp:extent cx="7166610" cy="571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None.</w:t>
      </w:r>
    </w:p>
    <w:p>
      <w:pPr>
        <w:spacing w:after="0" w:line="159"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1C. CYBERSECURITY</w:t>
      </w:r>
    </w:p>
    <w:p>
      <w:pPr>
        <w:spacing w:after="0" w:line="20" w:lineRule="exact"/>
        <w:rPr>
          <w:color w:val="auto"/>
          <w:sz w:val="20"/>
          <w:szCs w:val="20"/>
        </w:rPr>
      </w:pPr>
      <w:r>
        <w:rPr>
          <w:color w:val="auto"/>
          <w:sz w:val="20"/>
          <w:szCs w:val="20"/>
        </w:rPr>
        <w:drawing>
          <wp:anchor simplePos="0" relativeHeight="251721728" behindDoc="1" locked="0" layoutInCell="0" allowOverlap="1">
            <wp:simplePos x="0" y="0"/>
            <wp:positionH relativeFrom="column">
              <wp:posOffset>-4445</wp:posOffset>
            </wp:positionH>
            <wp:positionV relativeFrom="paragraph">
              <wp:posOffset>29845</wp:posOffset>
            </wp:positionV>
            <wp:extent cx="7166610" cy="571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02"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We rely on complex informaton technology systems and various sofware applicatons to operate our business. We have developed a comprehensive cybersecurity program designed to protect our systems and the confdentality, integrity and availability of our data.</w:t>
      </w:r>
    </w:p>
    <w:p>
      <w:pPr>
        <w:spacing w:after="0" w:line="164"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We have implemented processes that are intended to govern, manage and reduce cybersecurity risks. We maintain a global incident response plan and disaster recovery management plan, each designed to protect against, identfy, detect, respond to and recover from an incident. These plans antcipate an array of potental scenarios and provide for the assembly of a cybersecurity incident response team in the event of a cyber incident. The incident response team is a cross-functonal group that may be composed of both company personnel and external service providers, and which is tailored to a partcular incident so that individuals with appropriate experience and expertse are available. We regularly conduct exercises to help ensure the plans’ efectveness and our overall preparedness.</w:t>
      </w:r>
    </w:p>
    <w:p>
      <w:pPr>
        <w:spacing w:after="0" w:line="155" w:lineRule="exact"/>
        <w:rPr>
          <w:color w:val="auto"/>
          <w:sz w:val="20"/>
          <w:szCs w:val="20"/>
        </w:rPr>
      </w:pPr>
    </w:p>
    <w:p>
      <w:pPr>
        <w:spacing w:after="0" w:line="224" w:lineRule="auto"/>
        <w:ind w:right="40" w:firstLine="297"/>
        <w:rPr>
          <w:color w:val="auto"/>
          <w:sz w:val="20"/>
          <w:szCs w:val="20"/>
        </w:rPr>
      </w:pPr>
      <w:r>
        <w:rPr>
          <w:rFonts w:ascii="Calibri" w:eastAsia="Calibri" w:hAnsi="Calibri" w:cs="Calibri"/>
          <w:color w:val="auto"/>
          <w:sz w:val="12"/>
          <w:szCs w:val="12"/>
        </w:rPr>
        <w:t>We also have invested in tools and technologies to protect our and our patents' and customers' data and informaton technology, and we regularly monitor our informaton technology systems and infrastructure to identfy and assess cybersecurity risks. We have designed a Threat Intelligence functon that actvely looks for emerging threats and risks that target the pharmaceutcal industry generally or AbbVie specifcally. We rely in part on third partes (including assessors, consultants, advisors and others) in connecton with our processes for assessing, identfying, managing and reducing cyber risks.</w:t>
      </w:r>
    </w:p>
    <w:p>
      <w:pPr>
        <w:spacing w:after="0" w:line="157" w:lineRule="exact"/>
        <w:rPr>
          <w:color w:val="auto"/>
          <w:sz w:val="20"/>
          <w:szCs w:val="20"/>
        </w:rPr>
      </w:pPr>
    </w:p>
    <w:p>
      <w:pPr>
        <w:spacing w:after="0" w:line="224" w:lineRule="auto"/>
        <w:ind w:right="40" w:firstLine="297"/>
        <w:jc w:val="both"/>
        <w:rPr>
          <w:color w:val="auto"/>
          <w:sz w:val="20"/>
          <w:szCs w:val="20"/>
        </w:rPr>
      </w:pPr>
      <w:r>
        <w:rPr>
          <w:rFonts w:ascii="Calibri" w:eastAsia="Calibri" w:hAnsi="Calibri" w:cs="Calibri"/>
          <w:color w:val="auto"/>
          <w:sz w:val="12"/>
          <w:szCs w:val="12"/>
        </w:rPr>
        <w:t>In additon, we have implemented a cybersecurity awareness program designed to educate and train our entre employee network on how to identfy and report cybersecurity threats. Training programs are conducted on a periodic basis and are focused on giving employees informaton to manage and defend against the most relevant and prevalent cybersecurity risks to AbbVie. We also provide specialized training for employees in specialized informaton technology roles and for business functons who may be impacted by a cyber incident. We conduct regular drills, such as tabletop exercises, to help with our overall preparedness.</w:t>
      </w:r>
    </w:p>
    <w:p>
      <w:pPr>
        <w:spacing w:after="0" w:line="166" w:lineRule="exact"/>
        <w:rPr>
          <w:color w:val="auto"/>
          <w:sz w:val="20"/>
          <w:szCs w:val="20"/>
        </w:rPr>
      </w:pPr>
    </w:p>
    <w:p>
      <w:pPr>
        <w:spacing w:after="0" w:line="264" w:lineRule="auto"/>
        <w:ind w:right="120" w:firstLine="297"/>
        <w:rPr>
          <w:color w:val="auto"/>
          <w:sz w:val="20"/>
          <w:szCs w:val="20"/>
        </w:rPr>
      </w:pPr>
      <w:r>
        <w:rPr>
          <w:rFonts w:ascii="Calibri" w:eastAsia="Calibri" w:hAnsi="Calibri" w:cs="Calibri"/>
          <w:color w:val="auto"/>
          <w:sz w:val="11"/>
          <w:szCs w:val="11"/>
        </w:rPr>
        <w:t>We take measures to regularly update and improve our cybersecurity program, including conductng independent program assessments, penetraton testng and scanning of our systems for vulnerabilites. We follow the Natonal Insttute of Standards and Technology (NIST) Cybersecurity Framework and undergo a third-party assessment every two years to measure the maturity of our cybersecurity program against the NIST Cybersecurity Framework. In additon, we periodically engage third-party advisors to assess the efectveness and capabilites of our cybersecurity program, strengthen our cybersecurity policies and practces and identfy potental vulnerabilites of our systems.</w:t>
      </w:r>
    </w:p>
    <w:p>
      <w:pPr>
        <w:spacing w:after="0" w:line="151" w:lineRule="exact"/>
        <w:rPr>
          <w:color w:val="auto"/>
          <w:sz w:val="20"/>
          <w:szCs w:val="20"/>
        </w:rPr>
      </w:pPr>
    </w:p>
    <w:p>
      <w:pPr>
        <w:spacing w:after="0"/>
        <w:ind w:left="280"/>
        <w:rPr>
          <w:color w:val="auto"/>
          <w:sz w:val="20"/>
          <w:szCs w:val="20"/>
        </w:rPr>
      </w:pPr>
      <w:r>
        <w:rPr>
          <w:rFonts w:ascii="Calibri" w:eastAsia="Calibri" w:hAnsi="Calibri" w:cs="Calibri"/>
          <w:color w:val="auto"/>
          <w:sz w:val="11"/>
          <w:szCs w:val="11"/>
        </w:rPr>
        <w:t>With respect to third-party service providers, our informaton security program includes conductng due diligence of relevant service providers’ informaton security programs prior to onboarding. We also contractually require third-</w:t>
      </w:r>
    </w:p>
    <w:p>
      <w:pPr>
        <w:spacing w:after="0" w:line="5" w:lineRule="exact"/>
        <w:rPr>
          <w:color w:val="auto"/>
          <w:sz w:val="20"/>
          <w:szCs w:val="20"/>
        </w:rPr>
      </w:pPr>
    </w:p>
    <w:p>
      <w:pPr>
        <w:spacing w:after="0"/>
        <w:rPr>
          <w:color w:val="auto"/>
          <w:sz w:val="20"/>
          <w:szCs w:val="20"/>
        </w:rPr>
      </w:pPr>
      <w:r>
        <w:rPr>
          <w:rFonts w:ascii="Calibri" w:eastAsia="Calibri" w:hAnsi="Calibri" w:cs="Calibri"/>
          <w:color w:val="auto"/>
          <w:sz w:val="12"/>
          <w:szCs w:val="12"/>
        </w:rPr>
        <w:t>party</w:t>
      </w:r>
    </w:p>
    <w:p>
      <w:pPr>
        <w:spacing w:after="0" w:line="105"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25</w:t>
      </w:r>
      <w:r>
        <w:rPr>
          <w:color w:val="auto"/>
          <w:sz w:val="20"/>
          <w:szCs w:val="20"/>
        </w:rPr>
        <w:tab/>
      </w:r>
      <w:r>
        <w:rPr>
          <w:color w:val="auto"/>
          <w:sz w:val="1"/>
          <w:szCs w:val="1"/>
        </w:rPr>
        <w:drawing>
          <wp:inline distT="0" distB="0" distL="0" distR="0">
            <wp:extent cx="400050" cy="742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22752" behindDoc="1" locked="0" layoutInCell="0" allowOverlap="1">
            <wp:simplePos x="0" y="0"/>
            <wp:positionH relativeFrom="column">
              <wp:posOffset>-17145</wp:posOffset>
            </wp:positionH>
            <wp:positionV relativeFrom="paragraph">
              <wp:posOffset>133985</wp:posOffset>
            </wp:positionV>
            <wp:extent cx="7203440" cy="3683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660" w:right="319" w:bottom="1440" w:left="300" w:header="0" w:footer="0" w:gutter="0"/>
          <w:cols w:num="1" w:space="720" w:equalWidth="0">
            <w:col w:w="11280" w:space="0"/>
          </w:cols>
        </w:sectPr>
      </w:pPr>
    </w:p>
    <w:bookmarkStart w:id="27" w:name="page28"/>
    <w:bookmarkEnd w:id="27"/>
    <w:p>
      <w:pPr>
        <w:spacing w:after="0" w:line="235" w:lineRule="auto"/>
        <w:ind w:right="80"/>
        <w:rPr>
          <w:color w:val="auto"/>
          <w:sz w:val="20"/>
          <w:szCs w:val="20"/>
        </w:rPr>
      </w:pPr>
      <w:r>
        <w:rPr>
          <w:rFonts w:ascii="Calibri" w:eastAsia="Calibri" w:hAnsi="Calibri" w:cs="Calibri"/>
          <w:color w:val="auto"/>
          <w:sz w:val="12"/>
          <w:szCs w:val="12"/>
        </w:rPr>
        <w:t>service providers with access to our informaton technology systems, sensitve business data or personally identfable informaton to implement and maintain appropriate security controls and contractually restrict their ability to use our data, including personally identfable informaton, for purposes other than to provide services to us, except as required by law. To oversee the risks associated with these service providers, we work with them to help ensure that their cybersecurity protocols are appropriate to the risk presented by their access to or use of our systems and/or data, including notfcaton and coordinaton concerning incidents occurring on third-party systems that may afect us. These relevant service providers are contractually required to notfy us promptly of informaton security incidents that may afect our systems or data, including personally identfable informaton. While we conduct due diligence on the security and business controls of our third-party service providers and take steps to monitor their compliance with our security requirements, we may not have the ability in all cases to efectvely monitor or oversee the implementaton of these control measures.</w:t>
      </w:r>
    </w:p>
    <w:p>
      <w:pPr>
        <w:spacing w:after="0" w:line="165" w:lineRule="exact"/>
        <w:rPr>
          <w:color w:val="auto"/>
          <w:sz w:val="20"/>
          <w:szCs w:val="20"/>
        </w:rPr>
      </w:pPr>
    </w:p>
    <w:p>
      <w:pPr>
        <w:spacing w:after="0" w:line="235" w:lineRule="auto"/>
        <w:ind w:right="140" w:firstLine="297"/>
        <w:rPr>
          <w:color w:val="auto"/>
          <w:sz w:val="20"/>
          <w:szCs w:val="20"/>
        </w:rPr>
      </w:pPr>
      <w:r>
        <w:rPr>
          <w:rFonts w:ascii="Calibri" w:eastAsia="Calibri" w:hAnsi="Calibri" w:cs="Calibri"/>
          <w:color w:val="auto"/>
          <w:sz w:val="12"/>
          <w:szCs w:val="12"/>
        </w:rPr>
        <w:t>As of December 31, 2024, cybersecurity risks have not materially afected our business, strategy, results of operatons, or fnancial conditon. Although we have invested in the protecton of our data and informaton technology and monitor our systems on an ongoing basis, there can be no assurance that such eforts will in the future prevent material compromises to our informaton technology systems that could have a material adverse efect on our business. We maintain cybersecurity insurance coverage to mitgate our fnancial exposure to certain incidents. For additonal informaton about our cybersecurity risks, see Item 1A, "Risk Factors - AbbVie depends on informaton technology and a failure of, or signifcant disrupton to, those systems could have a material adverse efect on AbbVie's business."</w:t>
      </w:r>
    </w:p>
    <w:p>
      <w:pPr>
        <w:spacing w:after="0" w:line="164" w:lineRule="exact"/>
        <w:rPr>
          <w:color w:val="auto"/>
          <w:sz w:val="20"/>
          <w:szCs w:val="20"/>
        </w:rPr>
      </w:pPr>
    </w:p>
    <w:p>
      <w:pPr>
        <w:spacing w:after="0" w:line="234" w:lineRule="auto"/>
        <w:ind w:right="120" w:firstLine="297"/>
        <w:jc w:val="both"/>
        <w:rPr>
          <w:color w:val="auto"/>
          <w:sz w:val="20"/>
          <w:szCs w:val="20"/>
        </w:rPr>
      </w:pPr>
      <w:r>
        <w:rPr>
          <w:rFonts w:ascii="Calibri" w:eastAsia="Calibri" w:hAnsi="Calibri" w:cs="Calibri"/>
          <w:color w:val="auto"/>
          <w:sz w:val="12"/>
          <w:szCs w:val="12"/>
        </w:rPr>
        <w:t>Our board of directors has risk oversight responsibility for AbbVie and administers this responsibility both directly and with assistance from its commitees. Each of the commitees periodically reports to the board of directors on its risk oversight actvites. Cybersecurity is a critcal component of our enterprise risk management program, which is designed to be business aligned, risk-focused and mult-faceted to protect our and our patents', customers' and business partners' data. Our board of directors is actvely involved in reviewing our informaton security and technology risks and opportunites (including cybersecurity) and discusses these topics on a regular basis.</w:t>
      </w:r>
    </w:p>
    <w:p>
      <w:pPr>
        <w:spacing w:after="0" w:line="166" w:lineRule="exact"/>
        <w:rPr>
          <w:color w:val="auto"/>
          <w:sz w:val="20"/>
          <w:szCs w:val="20"/>
        </w:rPr>
      </w:pPr>
    </w:p>
    <w:p>
      <w:pPr>
        <w:spacing w:after="0" w:line="234" w:lineRule="auto"/>
        <w:ind w:right="180" w:firstLine="297"/>
        <w:rPr>
          <w:color w:val="auto"/>
          <w:sz w:val="20"/>
          <w:szCs w:val="20"/>
        </w:rPr>
      </w:pPr>
      <w:r>
        <w:rPr>
          <w:rFonts w:ascii="Calibri" w:eastAsia="Calibri" w:hAnsi="Calibri" w:cs="Calibri"/>
          <w:color w:val="auto"/>
          <w:sz w:val="12"/>
          <w:szCs w:val="12"/>
        </w:rPr>
        <w:t>The Audit Commitee, comprised solely of independent directors, oversees our enterprise risk management program and assists the board of directors in fulflling its oversight responsibility with respect to our informaton security and technology risks (including cybersecurity), which are fully integrated into our enterprise risk management program. The Audit Commitee reviews and discusses our informaton security and technology risks (such as cybersecurity), including our informaton security and risk management programs.</w:t>
      </w:r>
    </w:p>
    <w:p>
      <w:pPr>
        <w:spacing w:after="0" w:line="166"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Our cybersecurity program is led by our Chief Informaton Security Ofcer, who is responsible for assessing and managing our informaton security and technology risks (including cybersecurity). He has more than 25 years of experience in informaton security and informaton technology risk management, holding chief informaton security ofcer positons with Fortune 500 companies in the retail, healthcare and life sciences industries. He has also served on the Health-ISAC board of directors and is a Certfed Informaton System Security Professional (CISSP).</w:t>
      </w:r>
    </w:p>
    <w:p>
      <w:pPr>
        <w:spacing w:after="0" w:line="166" w:lineRule="exact"/>
        <w:rPr>
          <w:color w:val="auto"/>
          <w:sz w:val="20"/>
          <w:szCs w:val="20"/>
        </w:rPr>
      </w:pPr>
    </w:p>
    <w:p>
      <w:pPr>
        <w:spacing w:after="0" w:line="234" w:lineRule="auto"/>
        <w:ind w:right="580" w:firstLine="297"/>
        <w:rPr>
          <w:color w:val="auto"/>
          <w:sz w:val="20"/>
          <w:szCs w:val="20"/>
        </w:rPr>
      </w:pPr>
      <w:r>
        <w:rPr>
          <w:rFonts w:ascii="Calibri" w:eastAsia="Calibri" w:hAnsi="Calibri" w:cs="Calibri"/>
          <w:color w:val="auto"/>
          <w:sz w:val="12"/>
          <w:szCs w:val="12"/>
        </w:rPr>
        <w:t>Our Chief Informaton Security Ofcer meets regularly with our informaton technology teams as well as other members of management to review and discuss our cybersecurity and other informaton technology risks and opportunites. Our global incident response plan sets forth a detailed security incident management and reportng protocol, with escalaton tmelines and responsibilites.</w:t>
      </w:r>
    </w:p>
    <w:p>
      <w:pPr>
        <w:spacing w:after="0" w:line="155" w:lineRule="exact"/>
        <w:rPr>
          <w:color w:val="auto"/>
          <w:sz w:val="20"/>
          <w:szCs w:val="20"/>
        </w:rPr>
      </w:pPr>
    </w:p>
    <w:p>
      <w:pPr>
        <w:spacing w:after="0" w:line="255" w:lineRule="auto"/>
        <w:ind w:right="480" w:firstLine="297"/>
        <w:rPr>
          <w:color w:val="auto"/>
          <w:sz w:val="20"/>
          <w:szCs w:val="20"/>
        </w:rPr>
      </w:pPr>
      <w:r>
        <w:rPr>
          <w:rFonts w:ascii="Calibri" w:eastAsia="Calibri" w:hAnsi="Calibri" w:cs="Calibri"/>
          <w:color w:val="auto"/>
          <w:sz w:val="11"/>
          <w:szCs w:val="11"/>
        </w:rPr>
        <w:t>The Audit Commitee receives regular updates from the Chief Informaton Security Ofcer and other members of management on our cybersecurity program, including on informaton security and technology risks, program assessments, and risk management practces. Our Chief Informaton Security Ofcer and other senior informaton technology executves also provides similar topical updates to the full board of directors at least annually.</w:t>
      </w:r>
    </w:p>
    <w:p>
      <w:pPr>
        <w:spacing w:after="0" w:line="20" w:lineRule="exact"/>
        <w:rPr>
          <w:color w:val="auto"/>
          <w:sz w:val="20"/>
          <w:szCs w:val="20"/>
        </w:rPr>
      </w:pPr>
      <w:r>
        <w:rPr>
          <w:color w:val="auto"/>
          <w:sz w:val="20"/>
          <w:szCs w:val="20"/>
        </w:rPr>
        <w:drawing>
          <wp:anchor simplePos="0" relativeHeight="251723776" behindDoc="1" locked="0" layoutInCell="0" allowOverlap="1">
            <wp:simplePos x="0" y="0"/>
            <wp:positionH relativeFrom="column">
              <wp:posOffset>6475730</wp:posOffset>
            </wp:positionH>
            <wp:positionV relativeFrom="paragraph">
              <wp:posOffset>285750</wp:posOffset>
            </wp:positionV>
            <wp:extent cx="400050" cy="7429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64"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26</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24800" behindDoc="1" locked="0" layoutInCell="0" allowOverlap="1">
            <wp:simplePos x="0" y="0"/>
            <wp:positionH relativeFrom="column">
              <wp:posOffset>7154545</wp:posOffset>
            </wp:positionH>
            <wp:positionV relativeFrom="paragraph">
              <wp:posOffset>-23495</wp:posOffset>
            </wp:positionV>
            <wp:extent cx="31115" cy="3683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25824" behindDoc="1" locked="0" layoutInCell="0" allowOverlap="1">
            <wp:simplePos x="0" y="0"/>
            <wp:positionH relativeFrom="column">
              <wp:posOffset>-17145</wp:posOffset>
            </wp:positionH>
            <wp:positionV relativeFrom="paragraph">
              <wp:posOffset>-23495</wp:posOffset>
            </wp:positionV>
            <wp:extent cx="31115" cy="3683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5" w:right="299" w:bottom="1440" w:left="300" w:header="0" w:footer="0" w:gutter="0"/>
          <w:cols w:num="1" w:space="720" w:equalWidth="0">
            <w:col w:w="11300" w:space="0"/>
          </w:cols>
        </w:sectPr>
      </w:pPr>
    </w:p>
    <w:bookmarkStart w:id="28" w:name="page29"/>
    <w:bookmarkEnd w:id="28"/>
    <w:p>
      <w:pPr>
        <w:spacing w:after="0"/>
        <w:rPr>
          <w:color w:val="auto"/>
          <w:sz w:val="20"/>
          <w:szCs w:val="20"/>
        </w:rPr>
      </w:pPr>
      <w:r>
        <w:rPr>
          <w:rFonts w:ascii="Calibri" w:eastAsia="Calibri" w:hAnsi="Calibri" w:cs="Calibri"/>
          <w:b/>
          <w:bCs/>
          <w:color w:val="444867"/>
          <w:sz w:val="14"/>
          <w:szCs w:val="14"/>
        </w:rPr>
        <w:t>ITEM 2. PROPERTIES</w:t>
      </w:r>
    </w:p>
    <w:p>
      <w:pPr>
        <w:spacing w:after="0" w:line="20" w:lineRule="exact"/>
        <w:rPr>
          <w:color w:val="auto"/>
          <w:sz w:val="20"/>
          <w:szCs w:val="20"/>
        </w:rPr>
      </w:pPr>
      <w:r>
        <w:rPr>
          <w:color w:val="auto"/>
          <w:sz w:val="20"/>
          <w:szCs w:val="20"/>
        </w:rPr>
        <w:drawing>
          <wp:anchor simplePos="0" relativeHeight="251726848" behindDoc="1" locked="0" layoutInCell="0" allowOverlap="1">
            <wp:simplePos x="0" y="0"/>
            <wp:positionH relativeFrom="column">
              <wp:posOffset>-4445</wp:posOffset>
            </wp:positionH>
            <wp:positionV relativeFrom="paragraph">
              <wp:posOffset>24130</wp:posOffset>
            </wp:positionV>
            <wp:extent cx="7166610" cy="571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01" w:lineRule="exact"/>
        <w:rPr>
          <w:color w:val="auto"/>
          <w:sz w:val="20"/>
          <w:szCs w:val="20"/>
        </w:rPr>
      </w:pPr>
    </w:p>
    <w:p>
      <w:pPr>
        <w:spacing w:after="0" w:line="234" w:lineRule="auto"/>
        <w:ind w:right="660" w:firstLine="297"/>
        <w:rPr>
          <w:color w:val="auto"/>
          <w:sz w:val="20"/>
          <w:szCs w:val="20"/>
        </w:rPr>
      </w:pPr>
      <w:r>
        <w:rPr>
          <w:rFonts w:ascii="Calibri" w:eastAsia="Calibri" w:hAnsi="Calibri" w:cs="Calibri"/>
          <w:color w:val="auto"/>
          <w:sz w:val="12"/>
          <w:szCs w:val="12"/>
        </w:rPr>
        <w:t>AbbVie's corporate ofces are located at 1 North Waukegan Road, North Chicago, Illinois 60064-6400. As of December 31, 2024, AbbVie owns or leases approximately 602 facilites worldwide, containing an aggregate of approximately 19.7 million square feet of foor space dedicated to producton, distributon and administraton. AbbVie's signifcant manufacturing facilites are in the following locatons:</w:t>
      </w:r>
    </w:p>
    <w:p>
      <w:pPr>
        <w:spacing w:after="0" w:line="106" w:lineRule="exact"/>
        <w:rPr>
          <w:color w:val="auto"/>
          <w:sz w:val="20"/>
          <w:szCs w:val="20"/>
        </w:rPr>
      </w:pPr>
    </w:p>
    <w:tbl>
      <w:tblPr>
        <w:tblInd w:w="0" w:type="dxa"/>
        <w:tblLayout w:type="fixed"/>
        <w:tblCellMar>
          <w:top w:w="0" w:type="dxa"/>
          <w:left w:w="0" w:type="dxa"/>
          <w:bottom w:w="0" w:type="dxa"/>
          <w:right w:w="0" w:type="dxa"/>
        </w:tblCellMar>
      </w:tblPr>
      <w:tblGrid>
        <w:gridCol w:w="4820"/>
        <w:gridCol w:w="6460"/>
      </w:tblGrid>
      <w:tr>
        <w:tblPrEx>
          <w:tblInd w:w="0" w:type="dxa"/>
          <w:tblLayout w:type="fixed"/>
        </w:tblPrEx>
        <w:trPr>
          <w:trHeight w:val="122"/>
        </w:trPr>
        <w:tc>
          <w:tcPr>
            <w:tcW w:w="4820" w:type="dxa"/>
            <w:vAlign w:val="bottom"/>
          </w:tcPr>
          <w:p>
            <w:pPr>
              <w:spacing w:after="0"/>
              <w:rPr>
                <w:color w:val="auto"/>
                <w:sz w:val="20"/>
                <w:szCs w:val="20"/>
              </w:rPr>
            </w:pPr>
            <w:r>
              <w:rPr>
                <w:rFonts w:ascii="Calibri" w:eastAsia="Calibri" w:hAnsi="Calibri" w:cs="Calibri"/>
                <w:b/>
                <w:bCs/>
                <w:color w:val="auto"/>
                <w:sz w:val="10"/>
                <w:szCs w:val="10"/>
              </w:rPr>
              <w:t>United States</w:t>
            </w:r>
          </w:p>
        </w:tc>
        <w:tc>
          <w:tcPr>
            <w:tcW w:w="6460" w:type="dxa"/>
            <w:vAlign w:val="bottom"/>
          </w:tcPr>
          <w:p>
            <w:pPr>
              <w:spacing w:after="0"/>
              <w:ind w:left="1060"/>
              <w:rPr>
                <w:color w:val="auto"/>
                <w:sz w:val="20"/>
                <w:szCs w:val="20"/>
              </w:rPr>
            </w:pPr>
            <w:r>
              <w:rPr>
                <w:rFonts w:ascii="Calibri" w:eastAsia="Calibri" w:hAnsi="Calibri" w:cs="Calibri"/>
                <w:b/>
                <w:bCs/>
                <w:color w:val="auto"/>
                <w:sz w:val="10"/>
                <w:szCs w:val="10"/>
              </w:rPr>
              <w:t>Outside the United States</w:t>
            </w:r>
          </w:p>
        </w:tc>
      </w:tr>
      <w:tr>
        <w:tblPrEx>
          <w:tblInd w:w="0" w:type="dxa"/>
          <w:tblLayout w:type="fixed"/>
        </w:tblPrEx>
        <w:trPr>
          <w:trHeight w:val="32"/>
        </w:trPr>
        <w:tc>
          <w:tcPr>
            <w:tcW w:w="4820" w:type="dxa"/>
            <w:tcBorders>
              <w:bottom w:val="single" w:sz="8" w:space="0" w:color="auto"/>
            </w:tcBorders>
            <w:vAlign w:val="bottom"/>
          </w:tcPr>
          <w:p>
            <w:pPr>
              <w:spacing w:after="0"/>
              <w:rPr>
                <w:color w:val="auto"/>
                <w:sz w:val="2"/>
                <w:szCs w:val="2"/>
              </w:rPr>
            </w:pPr>
          </w:p>
        </w:tc>
        <w:tc>
          <w:tcPr>
            <w:tcW w:w="646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8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Abbot Park, Illinois*</w:t>
            </w:r>
          </w:p>
        </w:tc>
        <w:tc>
          <w:tcPr>
            <w:tcW w:w="6460" w:type="dxa"/>
            <w:shd w:val="clear" w:color="auto" w:fill="CCEEFF"/>
            <w:vAlign w:val="bottom"/>
          </w:tcPr>
          <w:p>
            <w:pPr>
              <w:spacing w:after="0" w:line="142" w:lineRule="exact"/>
              <w:ind w:left="1060"/>
              <w:rPr>
                <w:color w:val="auto"/>
                <w:sz w:val="20"/>
                <w:szCs w:val="20"/>
              </w:rPr>
            </w:pPr>
            <w:r>
              <w:rPr>
                <w:rFonts w:ascii="Calibri" w:eastAsia="Calibri" w:hAnsi="Calibri" w:cs="Calibri"/>
                <w:color w:val="auto"/>
                <w:sz w:val="12"/>
                <w:szCs w:val="12"/>
              </w:rPr>
              <w:t>Campoverde di Aprilia, Italy</w:t>
            </w:r>
          </w:p>
        </w:tc>
      </w:tr>
      <w:tr>
        <w:tblPrEx>
          <w:tblInd w:w="0" w:type="dxa"/>
          <w:tblLayout w:type="fixed"/>
        </w:tblPrEx>
        <w:trPr>
          <w:trHeight w:val="147"/>
        </w:trPr>
        <w:tc>
          <w:tcPr>
            <w:tcW w:w="4820" w:type="dxa"/>
            <w:vAlign w:val="bottom"/>
          </w:tcPr>
          <w:p>
            <w:pPr>
              <w:spacing w:after="0" w:line="142" w:lineRule="exact"/>
              <w:rPr>
                <w:color w:val="auto"/>
                <w:sz w:val="20"/>
                <w:szCs w:val="20"/>
              </w:rPr>
            </w:pPr>
            <w:r>
              <w:rPr>
                <w:rFonts w:ascii="Calibri" w:eastAsia="Calibri" w:hAnsi="Calibri" w:cs="Calibri"/>
                <w:color w:val="auto"/>
                <w:sz w:val="12"/>
                <w:szCs w:val="12"/>
              </w:rPr>
              <w:t>Barceloneta, Puerto Rico</w:t>
            </w:r>
          </w:p>
        </w:tc>
        <w:tc>
          <w:tcPr>
            <w:tcW w:w="6460" w:type="dxa"/>
            <w:vAlign w:val="bottom"/>
          </w:tcPr>
          <w:p>
            <w:pPr>
              <w:spacing w:after="0" w:line="142" w:lineRule="exact"/>
              <w:ind w:left="1060"/>
              <w:rPr>
                <w:color w:val="auto"/>
                <w:sz w:val="20"/>
                <w:szCs w:val="20"/>
              </w:rPr>
            </w:pPr>
            <w:r>
              <w:rPr>
                <w:rFonts w:ascii="Calibri" w:eastAsia="Calibri" w:hAnsi="Calibri" w:cs="Calibri"/>
                <w:color w:val="auto"/>
                <w:sz w:val="12"/>
                <w:szCs w:val="12"/>
              </w:rPr>
              <w:t>Clonshaugh, Ireland</w:t>
            </w:r>
          </w:p>
        </w:tc>
      </w:tr>
      <w:tr>
        <w:tblPrEx>
          <w:tblInd w:w="0" w:type="dxa"/>
          <w:tblLayout w:type="fixed"/>
        </w:tblPrEx>
        <w:trPr>
          <w:trHeight w:val="159"/>
        </w:trPr>
        <w:tc>
          <w:tcPr>
            <w:tcW w:w="4820" w:type="dxa"/>
            <w:shd w:val="clear" w:color="auto" w:fill="CCEEFF"/>
            <w:vAlign w:val="bottom"/>
          </w:tcPr>
          <w:p>
            <w:pPr>
              <w:spacing w:after="0"/>
              <w:rPr>
                <w:color w:val="auto"/>
                <w:sz w:val="20"/>
                <w:szCs w:val="20"/>
              </w:rPr>
            </w:pPr>
            <w:r>
              <w:rPr>
                <w:rFonts w:ascii="Calibri" w:eastAsia="Calibri" w:hAnsi="Calibri" w:cs="Calibri"/>
                <w:color w:val="auto"/>
                <w:sz w:val="12"/>
                <w:szCs w:val="12"/>
              </w:rPr>
              <w:t>Branchburg, New Jersey*</w:t>
            </w:r>
          </w:p>
        </w:tc>
        <w:tc>
          <w:tcPr>
            <w:tcW w:w="6460" w:type="dxa"/>
            <w:shd w:val="clear" w:color="auto" w:fill="CCEEFF"/>
            <w:vAlign w:val="bottom"/>
          </w:tcPr>
          <w:p>
            <w:pPr>
              <w:spacing w:after="0"/>
              <w:ind w:left="1060"/>
              <w:rPr>
                <w:color w:val="auto"/>
                <w:sz w:val="20"/>
                <w:szCs w:val="20"/>
              </w:rPr>
            </w:pPr>
            <w:r>
              <w:rPr>
                <w:rFonts w:ascii="Calibri" w:eastAsia="Calibri" w:hAnsi="Calibri" w:cs="Calibri"/>
                <w:color w:val="auto"/>
                <w:sz w:val="12"/>
                <w:szCs w:val="12"/>
              </w:rPr>
              <w:t>Cork, Ireland</w:t>
            </w:r>
          </w:p>
        </w:tc>
      </w:tr>
      <w:tr>
        <w:tblPrEx>
          <w:tblInd w:w="0" w:type="dxa"/>
          <w:tblLayout w:type="fixed"/>
        </w:tblPrEx>
        <w:trPr>
          <w:trHeight w:val="147"/>
        </w:trPr>
        <w:tc>
          <w:tcPr>
            <w:tcW w:w="4820" w:type="dxa"/>
            <w:vAlign w:val="bottom"/>
          </w:tcPr>
          <w:p>
            <w:pPr>
              <w:spacing w:after="0" w:line="142" w:lineRule="exact"/>
              <w:rPr>
                <w:color w:val="auto"/>
                <w:sz w:val="20"/>
                <w:szCs w:val="20"/>
              </w:rPr>
            </w:pPr>
            <w:r>
              <w:rPr>
                <w:rFonts w:ascii="Calibri" w:eastAsia="Calibri" w:hAnsi="Calibri" w:cs="Calibri"/>
                <w:color w:val="auto"/>
                <w:sz w:val="12"/>
                <w:szCs w:val="12"/>
              </w:rPr>
              <w:t>Cincinnat, Ohio</w:t>
            </w:r>
          </w:p>
        </w:tc>
        <w:tc>
          <w:tcPr>
            <w:tcW w:w="6460" w:type="dxa"/>
            <w:vAlign w:val="bottom"/>
          </w:tcPr>
          <w:p>
            <w:pPr>
              <w:spacing w:after="0" w:line="142" w:lineRule="exact"/>
              <w:ind w:left="1060"/>
              <w:rPr>
                <w:color w:val="auto"/>
                <w:sz w:val="20"/>
                <w:szCs w:val="20"/>
              </w:rPr>
            </w:pPr>
            <w:r>
              <w:rPr>
                <w:rFonts w:ascii="Calibri" w:eastAsia="Calibri" w:hAnsi="Calibri" w:cs="Calibri"/>
                <w:color w:val="auto"/>
                <w:sz w:val="12"/>
                <w:szCs w:val="12"/>
              </w:rPr>
              <w:t>La Aurora, Costa Rica</w:t>
            </w:r>
          </w:p>
        </w:tc>
      </w:tr>
      <w:tr>
        <w:tblPrEx>
          <w:tblInd w:w="0" w:type="dxa"/>
          <w:tblLayout w:type="fixed"/>
        </w:tblPrEx>
        <w:trPr>
          <w:trHeight w:val="159"/>
        </w:trPr>
        <w:tc>
          <w:tcPr>
            <w:tcW w:w="4820" w:type="dxa"/>
            <w:shd w:val="clear" w:color="auto" w:fill="CCEEFF"/>
            <w:vAlign w:val="bottom"/>
          </w:tcPr>
          <w:p>
            <w:pPr>
              <w:spacing w:after="0"/>
              <w:rPr>
                <w:color w:val="auto"/>
                <w:sz w:val="20"/>
                <w:szCs w:val="20"/>
              </w:rPr>
            </w:pPr>
            <w:r>
              <w:rPr>
                <w:rFonts w:ascii="Calibri" w:eastAsia="Calibri" w:hAnsi="Calibri" w:cs="Calibri"/>
                <w:color w:val="auto"/>
                <w:sz w:val="12"/>
                <w:szCs w:val="12"/>
              </w:rPr>
              <w:t>Dublin, California*</w:t>
            </w:r>
          </w:p>
        </w:tc>
        <w:tc>
          <w:tcPr>
            <w:tcW w:w="6460" w:type="dxa"/>
            <w:shd w:val="clear" w:color="auto" w:fill="CCEEFF"/>
            <w:vAlign w:val="bottom"/>
          </w:tcPr>
          <w:p>
            <w:pPr>
              <w:spacing w:after="0"/>
              <w:ind w:left="1060"/>
              <w:rPr>
                <w:color w:val="auto"/>
                <w:sz w:val="20"/>
                <w:szCs w:val="20"/>
              </w:rPr>
            </w:pPr>
            <w:r>
              <w:rPr>
                <w:rFonts w:ascii="Calibri" w:eastAsia="Calibri" w:hAnsi="Calibri" w:cs="Calibri"/>
                <w:color w:val="auto"/>
                <w:sz w:val="12"/>
                <w:szCs w:val="12"/>
              </w:rPr>
              <w:t>Ludwigshafen, Germany</w:t>
            </w:r>
          </w:p>
        </w:tc>
      </w:tr>
      <w:tr>
        <w:tblPrEx>
          <w:tblInd w:w="0" w:type="dxa"/>
          <w:tblLayout w:type="fixed"/>
        </w:tblPrEx>
        <w:trPr>
          <w:trHeight w:val="147"/>
        </w:trPr>
        <w:tc>
          <w:tcPr>
            <w:tcW w:w="4820" w:type="dxa"/>
            <w:vAlign w:val="bottom"/>
          </w:tcPr>
          <w:p>
            <w:pPr>
              <w:spacing w:after="0" w:line="142" w:lineRule="exact"/>
              <w:rPr>
                <w:color w:val="auto"/>
                <w:sz w:val="20"/>
                <w:szCs w:val="20"/>
              </w:rPr>
            </w:pPr>
            <w:r>
              <w:rPr>
                <w:rFonts w:ascii="Calibri" w:eastAsia="Calibri" w:hAnsi="Calibri" w:cs="Calibri"/>
                <w:color w:val="auto"/>
                <w:sz w:val="12"/>
                <w:szCs w:val="12"/>
              </w:rPr>
              <w:t>Irvine, California</w:t>
            </w:r>
          </w:p>
        </w:tc>
        <w:tc>
          <w:tcPr>
            <w:tcW w:w="6460" w:type="dxa"/>
            <w:vAlign w:val="bottom"/>
          </w:tcPr>
          <w:p>
            <w:pPr>
              <w:spacing w:after="0" w:line="142" w:lineRule="exact"/>
              <w:ind w:left="1060"/>
              <w:rPr>
                <w:color w:val="auto"/>
                <w:sz w:val="20"/>
                <w:szCs w:val="20"/>
              </w:rPr>
            </w:pPr>
            <w:r>
              <w:rPr>
                <w:rFonts w:ascii="Calibri" w:eastAsia="Calibri" w:hAnsi="Calibri" w:cs="Calibri"/>
                <w:color w:val="auto"/>
                <w:sz w:val="12"/>
                <w:szCs w:val="12"/>
              </w:rPr>
              <w:t>Pringy, France</w:t>
            </w:r>
          </w:p>
        </w:tc>
      </w:tr>
      <w:tr>
        <w:tblPrEx>
          <w:tblInd w:w="0" w:type="dxa"/>
          <w:tblLayout w:type="fixed"/>
        </w:tblPrEx>
        <w:trPr>
          <w:trHeight w:val="159"/>
        </w:trPr>
        <w:tc>
          <w:tcPr>
            <w:tcW w:w="4820" w:type="dxa"/>
            <w:shd w:val="clear" w:color="auto" w:fill="CCEEFF"/>
            <w:vAlign w:val="bottom"/>
          </w:tcPr>
          <w:p>
            <w:pPr>
              <w:spacing w:after="0"/>
              <w:rPr>
                <w:color w:val="auto"/>
                <w:sz w:val="20"/>
                <w:szCs w:val="20"/>
              </w:rPr>
            </w:pPr>
            <w:r>
              <w:rPr>
                <w:rFonts w:ascii="Calibri" w:eastAsia="Calibri" w:hAnsi="Calibri" w:cs="Calibri"/>
                <w:color w:val="auto"/>
                <w:sz w:val="12"/>
                <w:szCs w:val="12"/>
              </w:rPr>
              <w:t>North Chicago, Illinois</w:t>
            </w:r>
          </w:p>
        </w:tc>
        <w:tc>
          <w:tcPr>
            <w:tcW w:w="6460" w:type="dxa"/>
            <w:shd w:val="clear" w:color="auto" w:fill="CCEEFF"/>
            <w:vAlign w:val="bottom"/>
          </w:tcPr>
          <w:p>
            <w:pPr>
              <w:spacing w:after="0"/>
              <w:ind w:left="1060"/>
              <w:rPr>
                <w:color w:val="auto"/>
                <w:sz w:val="20"/>
                <w:szCs w:val="20"/>
              </w:rPr>
            </w:pPr>
            <w:r>
              <w:rPr>
                <w:rFonts w:ascii="Calibri" w:eastAsia="Calibri" w:hAnsi="Calibri" w:cs="Calibri"/>
                <w:color w:val="auto"/>
                <w:sz w:val="12"/>
                <w:szCs w:val="12"/>
              </w:rPr>
              <w:t>Singapore*</w:t>
            </w:r>
          </w:p>
        </w:tc>
      </w:tr>
      <w:tr>
        <w:tblPrEx>
          <w:tblInd w:w="0" w:type="dxa"/>
          <w:tblLayout w:type="fixed"/>
        </w:tblPrEx>
        <w:trPr>
          <w:trHeight w:val="147"/>
        </w:trPr>
        <w:tc>
          <w:tcPr>
            <w:tcW w:w="4820" w:type="dxa"/>
            <w:vAlign w:val="bottom"/>
          </w:tcPr>
          <w:p>
            <w:pPr>
              <w:spacing w:after="0" w:line="142" w:lineRule="exact"/>
              <w:rPr>
                <w:color w:val="auto"/>
                <w:sz w:val="20"/>
                <w:szCs w:val="20"/>
              </w:rPr>
            </w:pPr>
            <w:r>
              <w:rPr>
                <w:rFonts w:ascii="Calibri" w:eastAsia="Calibri" w:hAnsi="Calibri" w:cs="Calibri"/>
                <w:color w:val="auto"/>
                <w:sz w:val="12"/>
                <w:szCs w:val="12"/>
              </w:rPr>
              <w:t>Waco, Texas</w:t>
            </w:r>
          </w:p>
        </w:tc>
        <w:tc>
          <w:tcPr>
            <w:tcW w:w="6460" w:type="dxa"/>
            <w:vAlign w:val="bottom"/>
          </w:tcPr>
          <w:p>
            <w:pPr>
              <w:spacing w:after="0" w:line="142" w:lineRule="exact"/>
              <w:ind w:left="1060"/>
              <w:rPr>
                <w:color w:val="auto"/>
                <w:sz w:val="20"/>
                <w:szCs w:val="20"/>
              </w:rPr>
            </w:pPr>
            <w:r>
              <w:rPr>
                <w:rFonts w:ascii="Calibri" w:eastAsia="Calibri" w:hAnsi="Calibri" w:cs="Calibri"/>
                <w:color w:val="auto"/>
                <w:sz w:val="12"/>
                <w:szCs w:val="12"/>
              </w:rPr>
              <w:t>Sligo, Ireland</w:t>
            </w:r>
          </w:p>
        </w:tc>
      </w:tr>
      <w:tr>
        <w:tblPrEx>
          <w:tblInd w:w="0" w:type="dxa"/>
          <w:tblLayout w:type="fixed"/>
        </w:tblPrEx>
        <w:trPr>
          <w:trHeight w:val="159"/>
        </w:trPr>
        <w:tc>
          <w:tcPr>
            <w:tcW w:w="4820" w:type="dxa"/>
            <w:shd w:val="clear" w:color="auto" w:fill="CCEEFF"/>
            <w:vAlign w:val="bottom"/>
          </w:tcPr>
          <w:p>
            <w:pPr>
              <w:spacing w:after="0"/>
              <w:rPr>
                <w:color w:val="auto"/>
                <w:sz w:val="20"/>
                <w:szCs w:val="20"/>
              </w:rPr>
            </w:pPr>
            <w:r>
              <w:rPr>
                <w:rFonts w:ascii="Calibri" w:eastAsia="Calibri" w:hAnsi="Calibri" w:cs="Calibri"/>
                <w:color w:val="auto"/>
                <w:sz w:val="12"/>
                <w:szCs w:val="12"/>
              </w:rPr>
              <w:t>Worcester, Massachusets*</w:t>
            </w:r>
          </w:p>
        </w:tc>
        <w:tc>
          <w:tcPr>
            <w:tcW w:w="6460" w:type="dxa"/>
            <w:shd w:val="clear" w:color="auto" w:fill="CCEEFF"/>
            <w:vAlign w:val="bottom"/>
          </w:tcPr>
          <w:p>
            <w:pPr>
              <w:spacing w:after="0"/>
              <w:ind w:left="1060"/>
              <w:rPr>
                <w:color w:val="auto"/>
                <w:sz w:val="20"/>
                <w:szCs w:val="20"/>
              </w:rPr>
            </w:pPr>
            <w:r>
              <w:rPr>
                <w:rFonts w:ascii="Calibri" w:eastAsia="Calibri" w:hAnsi="Calibri" w:cs="Calibri"/>
                <w:color w:val="auto"/>
                <w:sz w:val="12"/>
                <w:szCs w:val="12"/>
              </w:rPr>
              <w:t>Westport, Ireland*</w:t>
            </w:r>
          </w:p>
        </w:tc>
      </w:tr>
      <w:tr>
        <w:tblPrEx>
          <w:tblInd w:w="0" w:type="dxa"/>
          <w:tblLayout w:type="fixed"/>
        </w:tblPrEx>
        <w:trPr>
          <w:trHeight w:val="142"/>
        </w:trPr>
        <w:tc>
          <w:tcPr>
            <w:tcW w:w="4820" w:type="dxa"/>
            <w:vAlign w:val="bottom"/>
          </w:tcPr>
          <w:p>
            <w:pPr>
              <w:spacing w:after="0" w:line="142" w:lineRule="exact"/>
              <w:rPr>
                <w:color w:val="auto"/>
                <w:sz w:val="20"/>
                <w:szCs w:val="20"/>
              </w:rPr>
            </w:pPr>
            <w:r>
              <w:rPr>
                <w:rFonts w:ascii="Calibri" w:eastAsia="Calibri" w:hAnsi="Calibri" w:cs="Calibri"/>
                <w:color w:val="auto"/>
                <w:sz w:val="12"/>
                <w:szCs w:val="12"/>
              </w:rPr>
              <w:t>Wyandote, Michigan*</w:t>
            </w:r>
          </w:p>
        </w:tc>
        <w:tc>
          <w:tcPr>
            <w:tcW w:w="6460" w:type="dxa"/>
            <w:vAlign w:val="bottom"/>
          </w:tcPr>
          <w:p>
            <w:pPr>
              <w:spacing w:after="0"/>
              <w:rPr>
                <w:color w:val="auto"/>
                <w:sz w:val="12"/>
                <w:szCs w:val="12"/>
              </w:rPr>
            </w:pPr>
          </w:p>
        </w:tc>
      </w:tr>
      <w:tr>
        <w:tblPrEx>
          <w:tblInd w:w="0" w:type="dxa"/>
          <w:tblLayout w:type="fixed"/>
        </w:tblPrEx>
        <w:trPr>
          <w:trHeight w:val="438"/>
        </w:trPr>
        <w:tc>
          <w:tcPr>
            <w:tcW w:w="4820" w:type="dxa"/>
            <w:vAlign w:val="bottom"/>
          </w:tcPr>
          <w:p>
            <w:pPr>
              <w:spacing w:after="0"/>
              <w:rPr>
                <w:color w:val="auto"/>
                <w:sz w:val="20"/>
                <w:szCs w:val="20"/>
              </w:rPr>
            </w:pPr>
            <w:r>
              <w:rPr>
                <w:rFonts w:ascii="Calibri" w:eastAsia="Calibri" w:hAnsi="Calibri" w:cs="Calibri"/>
                <w:color w:val="auto"/>
                <w:sz w:val="10"/>
                <w:szCs w:val="10"/>
              </w:rPr>
              <w:t>_______________________________________________________________________________</w:t>
            </w:r>
          </w:p>
        </w:tc>
        <w:tc>
          <w:tcPr>
            <w:tcW w:w="6460" w:type="dxa"/>
            <w:vAlign w:val="bottom"/>
          </w:tcPr>
          <w:p>
            <w:pPr>
              <w:spacing w:after="0"/>
              <w:rPr>
                <w:color w:val="auto"/>
                <w:sz w:val="24"/>
                <w:szCs w:val="24"/>
              </w:rPr>
            </w:pPr>
          </w:p>
        </w:tc>
      </w:tr>
      <w:tr>
        <w:tblPrEx>
          <w:tblInd w:w="0" w:type="dxa"/>
          <w:tblLayout w:type="fixed"/>
        </w:tblPrEx>
        <w:trPr>
          <w:trHeight w:val="249"/>
        </w:trPr>
        <w:tc>
          <w:tcPr>
            <w:tcW w:w="4820" w:type="dxa"/>
            <w:vAlign w:val="bottom"/>
          </w:tcPr>
          <w:p>
            <w:pPr>
              <w:spacing w:after="0"/>
              <w:rPr>
                <w:color w:val="auto"/>
                <w:sz w:val="20"/>
                <w:szCs w:val="20"/>
              </w:rPr>
            </w:pPr>
            <w:r>
              <w:rPr>
                <w:rFonts w:ascii="Calibri" w:eastAsia="Calibri" w:hAnsi="Calibri" w:cs="Calibri"/>
                <w:color w:val="auto"/>
                <w:sz w:val="12"/>
                <w:szCs w:val="12"/>
              </w:rPr>
              <w:t>*  Leased property.</w:t>
            </w:r>
          </w:p>
        </w:tc>
        <w:tc>
          <w:tcPr>
            <w:tcW w:w="6460" w:type="dxa"/>
            <w:vAlign w:val="bottom"/>
          </w:tcPr>
          <w:p>
            <w:pPr>
              <w:spacing w:after="0"/>
              <w:rPr>
                <w:color w:val="auto"/>
                <w:sz w:val="21"/>
                <w:szCs w:val="21"/>
              </w:rPr>
            </w:pPr>
          </w:p>
        </w:tc>
      </w:tr>
    </w:tbl>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AbbVie believes its facilites are suitable and provide adequate producton capacity for its current and projected operatons. There are no material encumbrances on AbbVie's owned propertes.</w:t>
      </w:r>
    </w:p>
    <w:p>
      <w:pPr>
        <w:spacing w:after="0" w:line="92"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AbbVie distributes products through a network of central and regional distributon centers, with its central distributon centers located in the U.S. and Europe. AbbVie also has research and development facilites in the United States located at: Abbot Park, Illinois; Branchburg, New Jersey; Cambridge, Massachusets; Irvine, California; Madison, New Jersey; North Chicago, Illinois; Pleasanton, California; South San Francisco, California; Waltham, Massachusets, and Worcester, Massachusets. Outside the United States, AbbVie's principal research and development facilites are located in Ludwigshafen, Germany.</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3. LEGAL PROCEEDINGS</w:t>
      </w:r>
    </w:p>
    <w:p>
      <w:pPr>
        <w:spacing w:after="0" w:line="20" w:lineRule="exact"/>
        <w:rPr>
          <w:color w:val="auto"/>
          <w:sz w:val="20"/>
          <w:szCs w:val="20"/>
        </w:rPr>
      </w:pPr>
      <w:r>
        <w:rPr>
          <w:color w:val="auto"/>
          <w:sz w:val="20"/>
          <w:szCs w:val="20"/>
        </w:rPr>
        <w:drawing>
          <wp:anchor simplePos="0" relativeHeight="251727872" behindDoc="1" locked="0" layoutInCell="0" allowOverlap="1">
            <wp:simplePos x="0" y="0"/>
            <wp:positionH relativeFrom="column">
              <wp:posOffset>-4445</wp:posOffset>
            </wp:positionH>
            <wp:positionV relativeFrom="paragraph">
              <wp:posOffset>24130</wp:posOffset>
            </wp:positionV>
            <wp:extent cx="7166610" cy="571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2" w:lineRule="exact"/>
        <w:rPr>
          <w:color w:val="auto"/>
          <w:sz w:val="20"/>
          <w:szCs w:val="20"/>
        </w:rPr>
      </w:pPr>
    </w:p>
    <w:p>
      <w:pPr>
        <w:spacing w:after="0" w:line="234" w:lineRule="auto"/>
        <w:ind w:right="260" w:firstLine="297"/>
        <w:rPr>
          <w:color w:val="auto"/>
          <w:sz w:val="20"/>
          <w:szCs w:val="20"/>
        </w:rPr>
      </w:pPr>
      <w:r>
        <w:rPr>
          <w:rFonts w:ascii="Calibri" w:eastAsia="Calibri" w:hAnsi="Calibri" w:cs="Calibri"/>
          <w:color w:val="auto"/>
          <w:sz w:val="12"/>
          <w:szCs w:val="12"/>
        </w:rPr>
        <w:t>Informaton pertaining to legal proceedings is provided in Note 15, "Legal Proceedings and Contngencies" to the Consolidated Financial Statements included under Item 8, "Financial Statements and Supplementary Data," and is incorporated by reference herein.</w:t>
      </w:r>
    </w:p>
    <w:p>
      <w:pPr>
        <w:spacing w:after="0" w:line="159"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4. MINE SAFETY DISCLOSURES</w:t>
      </w:r>
    </w:p>
    <w:p>
      <w:pPr>
        <w:spacing w:after="0" w:line="20" w:lineRule="exact"/>
        <w:rPr>
          <w:color w:val="auto"/>
          <w:sz w:val="20"/>
          <w:szCs w:val="20"/>
        </w:rPr>
      </w:pPr>
      <w:r>
        <w:rPr>
          <w:color w:val="auto"/>
          <w:sz w:val="20"/>
          <w:szCs w:val="20"/>
        </w:rPr>
        <w:drawing>
          <wp:anchor simplePos="0" relativeHeight="251728896" behindDoc="1" locked="0" layoutInCell="0" allowOverlap="1">
            <wp:simplePos x="0" y="0"/>
            <wp:positionH relativeFrom="column">
              <wp:posOffset>-4445</wp:posOffset>
            </wp:positionH>
            <wp:positionV relativeFrom="paragraph">
              <wp:posOffset>29845</wp:posOffset>
            </wp:positionV>
            <wp:extent cx="7166610" cy="571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Not applicable.</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27</w:t>
      </w:r>
      <w:r>
        <w:rPr>
          <w:color w:val="auto"/>
          <w:sz w:val="20"/>
          <w:szCs w:val="20"/>
        </w:rPr>
        <w:tab/>
      </w:r>
      <w:r>
        <w:rPr>
          <w:color w:val="auto"/>
          <w:sz w:val="1"/>
          <w:szCs w:val="1"/>
        </w:rPr>
        <w:drawing>
          <wp:inline distT="0" distB="0" distL="0" distR="0">
            <wp:extent cx="400050" cy="7429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29920" behindDoc="1" locked="0" layoutInCell="0" allowOverlap="1">
            <wp:simplePos x="0" y="0"/>
            <wp:positionH relativeFrom="column">
              <wp:posOffset>-17145</wp:posOffset>
            </wp:positionH>
            <wp:positionV relativeFrom="paragraph">
              <wp:posOffset>133985</wp:posOffset>
            </wp:positionV>
            <wp:extent cx="7203440" cy="3683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660" w:right="319" w:bottom="1440" w:left="300" w:header="0" w:footer="0" w:gutter="0"/>
          <w:cols w:num="1" w:space="720" w:equalWidth="0">
            <w:col w:w="11280" w:space="0"/>
          </w:cols>
        </w:sectPr>
      </w:pPr>
    </w:p>
    <w:bookmarkStart w:id="29" w:name="page30"/>
    <w:bookmarkEnd w:id="29"/>
    <w:tbl>
      <w:tblPr>
        <w:tblInd w:w="0" w:type="dxa"/>
        <w:tblLayout w:type="fixed"/>
        <w:tblCellMar>
          <w:top w:w="0" w:type="dxa"/>
          <w:left w:w="0" w:type="dxa"/>
          <w:bottom w:w="0" w:type="dxa"/>
          <w:right w:w="0" w:type="dxa"/>
        </w:tblCellMar>
      </w:tblPr>
      <w:tblGrid>
        <w:gridCol w:w="2440"/>
        <w:gridCol w:w="1440"/>
        <w:gridCol w:w="7380"/>
      </w:tblGrid>
      <w:tr>
        <w:tblPrEx>
          <w:tblInd w:w="0" w:type="dxa"/>
          <w:tblLayout w:type="fixed"/>
        </w:tblPrEx>
        <w:trPr>
          <w:trHeight w:val="171"/>
        </w:trPr>
        <w:tc>
          <w:tcPr>
            <w:tcW w:w="2440" w:type="dxa"/>
            <w:vAlign w:val="bottom"/>
          </w:tcPr>
          <w:p>
            <w:pPr>
              <w:spacing w:after="0"/>
              <w:rPr>
                <w:color w:val="auto"/>
                <w:sz w:val="14"/>
                <w:szCs w:val="14"/>
              </w:rPr>
            </w:pPr>
          </w:p>
        </w:tc>
        <w:tc>
          <w:tcPr>
            <w:tcW w:w="1440" w:type="dxa"/>
            <w:vAlign w:val="bottom"/>
          </w:tcPr>
          <w:p>
            <w:pPr>
              <w:spacing w:after="0"/>
              <w:rPr>
                <w:color w:val="auto"/>
                <w:sz w:val="14"/>
                <w:szCs w:val="14"/>
              </w:rPr>
            </w:pPr>
          </w:p>
        </w:tc>
        <w:tc>
          <w:tcPr>
            <w:tcW w:w="7380" w:type="dxa"/>
            <w:vAlign w:val="bottom"/>
          </w:tcPr>
          <w:p>
            <w:pPr>
              <w:spacing w:after="0"/>
              <w:ind w:left="300"/>
              <w:rPr>
                <w:color w:val="auto"/>
                <w:sz w:val="20"/>
                <w:szCs w:val="20"/>
              </w:rPr>
            </w:pPr>
            <w:r>
              <w:rPr>
                <w:rFonts w:ascii="Calibri" w:eastAsia="Calibri" w:hAnsi="Calibri" w:cs="Calibri"/>
                <w:b/>
                <w:bCs/>
                <w:color w:val="444867"/>
                <w:sz w:val="14"/>
                <w:szCs w:val="14"/>
              </w:rPr>
              <w:t>INFORMATION ABOUT OUR EXECUTIVE OFFICERS</w:t>
            </w:r>
          </w:p>
        </w:tc>
      </w:tr>
      <w:tr>
        <w:tblPrEx>
          <w:tblInd w:w="0" w:type="dxa"/>
          <w:tblLayout w:type="fixed"/>
        </w:tblPrEx>
        <w:trPr>
          <w:trHeight w:val="240"/>
        </w:trPr>
        <w:tc>
          <w:tcPr>
            <w:tcW w:w="2440" w:type="dxa"/>
            <w:vAlign w:val="bottom"/>
          </w:tcPr>
          <w:p>
            <w:pPr>
              <w:spacing w:after="0"/>
              <w:rPr>
                <w:color w:val="auto"/>
                <w:sz w:val="20"/>
                <w:szCs w:val="20"/>
              </w:rPr>
            </w:pPr>
            <w:r>
              <w:rPr>
                <w:rFonts w:ascii="Calibri" w:eastAsia="Calibri" w:hAnsi="Calibri" w:cs="Calibri"/>
                <w:b/>
                <w:bCs/>
                <w:color w:val="auto"/>
                <w:sz w:val="10"/>
                <w:szCs w:val="10"/>
              </w:rPr>
              <w:t>Name</w:t>
            </w:r>
          </w:p>
        </w:tc>
        <w:tc>
          <w:tcPr>
            <w:tcW w:w="1440" w:type="dxa"/>
            <w:vAlign w:val="bottom"/>
          </w:tcPr>
          <w:p>
            <w:pPr>
              <w:spacing w:after="0"/>
              <w:ind w:left="1100"/>
              <w:rPr>
                <w:color w:val="auto"/>
                <w:sz w:val="20"/>
                <w:szCs w:val="20"/>
              </w:rPr>
            </w:pPr>
            <w:r>
              <w:rPr>
                <w:rFonts w:ascii="Calibri" w:eastAsia="Calibri" w:hAnsi="Calibri" w:cs="Calibri"/>
                <w:b/>
                <w:bCs/>
                <w:color w:val="auto"/>
                <w:sz w:val="10"/>
                <w:szCs w:val="10"/>
              </w:rPr>
              <w:t>Age</w:t>
            </w:r>
          </w:p>
        </w:tc>
        <w:tc>
          <w:tcPr>
            <w:tcW w:w="7380" w:type="dxa"/>
            <w:vAlign w:val="bottom"/>
          </w:tcPr>
          <w:p>
            <w:pPr>
              <w:spacing w:after="0"/>
              <w:ind w:left="180"/>
              <w:rPr>
                <w:color w:val="auto"/>
                <w:sz w:val="20"/>
                <w:szCs w:val="20"/>
              </w:rPr>
            </w:pPr>
            <w:r>
              <w:rPr>
                <w:rFonts w:ascii="Calibri" w:eastAsia="Calibri" w:hAnsi="Calibri" w:cs="Calibri"/>
                <w:b/>
                <w:bCs/>
                <w:color w:val="auto"/>
                <w:sz w:val="10"/>
                <w:szCs w:val="10"/>
              </w:rPr>
              <w:t>Positon</w:t>
            </w:r>
          </w:p>
        </w:tc>
      </w:tr>
      <w:tr>
        <w:tblPrEx>
          <w:tblInd w:w="0" w:type="dxa"/>
          <w:tblLayout w:type="fixed"/>
        </w:tblPrEx>
        <w:trPr>
          <w:trHeight w:val="32"/>
        </w:trPr>
        <w:tc>
          <w:tcPr>
            <w:tcW w:w="2440" w:type="dxa"/>
            <w:tcBorders>
              <w:bottom w:val="single" w:sz="8" w:space="0" w:color="auto"/>
            </w:tcBorders>
            <w:vAlign w:val="bottom"/>
          </w:tcPr>
          <w:p>
            <w:pPr>
              <w:spacing w:after="0"/>
              <w:rPr>
                <w:color w:val="auto"/>
                <w:sz w:val="2"/>
                <w:szCs w:val="2"/>
              </w:rPr>
            </w:pPr>
          </w:p>
        </w:tc>
        <w:tc>
          <w:tcPr>
            <w:tcW w:w="1440" w:type="dxa"/>
            <w:tcBorders>
              <w:bottom w:val="single" w:sz="8" w:space="0" w:color="auto"/>
            </w:tcBorders>
            <w:vAlign w:val="bottom"/>
          </w:tcPr>
          <w:p>
            <w:pPr>
              <w:spacing w:after="0"/>
              <w:rPr>
                <w:color w:val="auto"/>
                <w:sz w:val="2"/>
                <w:szCs w:val="2"/>
              </w:rPr>
            </w:pPr>
          </w:p>
        </w:tc>
        <w:tc>
          <w:tcPr>
            <w:tcW w:w="73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24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Richard A. Gonzalez</w:t>
            </w:r>
          </w:p>
        </w:tc>
        <w:tc>
          <w:tcPr>
            <w:tcW w:w="1440" w:type="dxa"/>
            <w:shd w:val="clear" w:color="auto" w:fill="CCEEFF"/>
            <w:vAlign w:val="bottom"/>
          </w:tcPr>
          <w:p>
            <w:pPr>
              <w:spacing w:after="0" w:line="142" w:lineRule="exact"/>
              <w:ind w:left="1120"/>
              <w:rPr>
                <w:color w:val="auto"/>
                <w:sz w:val="20"/>
                <w:szCs w:val="20"/>
              </w:rPr>
            </w:pPr>
            <w:r>
              <w:rPr>
                <w:rFonts w:ascii="Calibri" w:eastAsia="Calibri" w:hAnsi="Calibri" w:cs="Calibri"/>
                <w:color w:val="auto"/>
                <w:sz w:val="12"/>
                <w:szCs w:val="12"/>
              </w:rPr>
              <w:t>71</w:t>
            </w:r>
          </w:p>
        </w:tc>
        <w:tc>
          <w:tcPr>
            <w:tcW w:w="7380" w:type="dxa"/>
            <w:shd w:val="clear" w:color="auto" w:fill="CCEEFF"/>
            <w:vAlign w:val="bottom"/>
          </w:tcPr>
          <w:p>
            <w:pPr>
              <w:spacing w:after="0" w:line="142" w:lineRule="exact"/>
              <w:ind w:left="180"/>
              <w:rPr>
                <w:color w:val="auto"/>
                <w:sz w:val="20"/>
                <w:szCs w:val="20"/>
              </w:rPr>
            </w:pPr>
            <w:r>
              <w:rPr>
                <w:rFonts w:ascii="Calibri" w:eastAsia="Calibri" w:hAnsi="Calibri" w:cs="Calibri"/>
                <w:color w:val="auto"/>
                <w:sz w:val="12"/>
                <w:szCs w:val="12"/>
              </w:rPr>
              <w:t>Executve Chairman of the Board and Retred Chief Executve Ofcer</w:t>
            </w:r>
          </w:p>
        </w:tc>
      </w:tr>
      <w:tr>
        <w:tblPrEx>
          <w:tblInd w:w="0" w:type="dxa"/>
          <w:tblLayout w:type="fixed"/>
        </w:tblPrEx>
        <w:trPr>
          <w:trHeight w:val="147"/>
        </w:trPr>
        <w:tc>
          <w:tcPr>
            <w:tcW w:w="2440" w:type="dxa"/>
            <w:vAlign w:val="bottom"/>
          </w:tcPr>
          <w:p>
            <w:pPr>
              <w:spacing w:after="0" w:line="142" w:lineRule="exact"/>
              <w:rPr>
                <w:color w:val="auto"/>
                <w:sz w:val="20"/>
                <w:szCs w:val="20"/>
              </w:rPr>
            </w:pPr>
            <w:r>
              <w:rPr>
                <w:rFonts w:ascii="Calibri" w:eastAsia="Calibri" w:hAnsi="Calibri" w:cs="Calibri"/>
                <w:color w:val="auto"/>
                <w:sz w:val="12"/>
                <w:szCs w:val="12"/>
              </w:rPr>
              <w:t>Robert A. Michael</w:t>
            </w:r>
          </w:p>
        </w:tc>
        <w:tc>
          <w:tcPr>
            <w:tcW w:w="1440" w:type="dxa"/>
            <w:vAlign w:val="bottom"/>
          </w:tcPr>
          <w:p>
            <w:pPr>
              <w:spacing w:after="0" w:line="142" w:lineRule="exact"/>
              <w:ind w:left="1120"/>
              <w:rPr>
                <w:color w:val="auto"/>
                <w:sz w:val="20"/>
                <w:szCs w:val="20"/>
              </w:rPr>
            </w:pPr>
            <w:r>
              <w:rPr>
                <w:rFonts w:ascii="Calibri" w:eastAsia="Calibri" w:hAnsi="Calibri" w:cs="Calibri"/>
                <w:color w:val="auto"/>
                <w:sz w:val="12"/>
                <w:szCs w:val="12"/>
              </w:rPr>
              <w:t>54</w:t>
            </w:r>
          </w:p>
        </w:tc>
        <w:tc>
          <w:tcPr>
            <w:tcW w:w="7380" w:type="dxa"/>
            <w:vAlign w:val="bottom"/>
          </w:tcPr>
          <w:p>
            <w:pPr>
              <w:spacing w:after="0" w:line="142" w:lineRule="exact"/>
              <w:ind w:left="180"/>
              <w:rPr>
                <w:color w:val="auto"/>
                <w:sz w:val="20"/>
                <w:szCs w:val="20"/>
              </w:rPr>
            </w:pPr>
            <w:r>
              <w:rPr>
                <w:rFonts w:ascii="Calibri" w:eastAsia="Calibri" w:hAnsi="Calibri" w:cs="Calibri"/>
                <w:color w:val="auto"/>
                <w:sz w:val="12"/>
                <w:szCs w:val="12"/>
              </w:rPr>
              <w:t>Chief Executve Ofcer</w:t>
            </w:r>
          </w:p>
        </w:tc>
      </w:tr>
      <w:tr>
        <w:tblPrEx>
          <w:tblInd w:w="0" w:type="dxa"/>
          <w:tblLayout w:type="fixed"/>
        </w:tblPrEx>
        <w:trPr>
          <w:trHeight w:val="159"/>
        </w:trPr>
        <w:tc>
          <w:tcPr>
            <w:tcW w:w="2440" w:type="dxa"/>
            <w:shd w:val="clear" w:color="auto" w:fill="CCEEFF"/>
            <w:vAlign w:val="bottom"/>
          </w:tcPr>
          <w:p>
            <w:pPr>
              <w:spacing w:after="0"/>
              <w:rPr>
                <w:color w:val="auto"/>
                <w:sz w:val="20"/>
                <w:szCs w:val="20"/>
              </w:rPr>
            </w:pPr>
            <w:r>
              <w:rPr>
                <w:rFonts w:ascii="Calibri" w:eastAsia="Calibri" w:hAnsi="Calibri" w:cs="Calibri"/>
                <w:color w:val="auto"/>
                <w:sz w:val="12"/>
                <w:szCs w:val="12"/>
              </w:rPr>
              <w:t>Scot T. Reents</w:t>
            </w:r>
          </w:p>
        </w:tc>
        <w:tc>
          <w:tcPr>
            <w:tcW w:w="1440" w:type="dxa"/>
            <w:shd w:val="clear" w:color="auto" w:fill="CCEEFF"/>
            <w:vAlign w:val="bottom"/>
          </w:tcPr>
          <w:p>
            <w:pPr>
              <w:spacing w:after="0"/>
              <w:ind w:left="1120"/>
              <w:rPr>
                <w:color w:val="auto"/>
                <w:sz w:val="20"/>
                <w:szCs w:val="20"/>
              </w:rPr>
            </w:pPr>
            <w:r>
              <w:rPr>
                <w:rFonts w:ascii="Calibri" w:eastAsia="Calibri" w:hAnsi="Calibri" w:cs="Calibri"/>
                <w:color w:val="auto"/>
                <w:sz w:val="12"/>
                <w:szCs w:val="12"/>
              </w:rPr>
              <w:t>57</w:t>
            </w:r>
          </w:p>
        </w:tc>
        <w:tc>
          <w:tcPr>
            <w:tcW w:w="7380" w:type="dxa"/>
            <w:shd w:val="clear" w:color="auto" w:fill="CCEEFF"/>
            <w:vAlign w:val="bottom"/>
          </w:tcPr>
          <w:p>
            <w:pPr>
              <w:spacing w:after="0"/>
              <w:ind w:left="180"/>
              <w:rPr>
                <w:color w:val="auto"/>
                <w:sz w:val="20"/>
                <w:szCs w:val="20"/>
              </w:rPr>
            </w:pPr>
            <w:r>
              <w:rPr>
                <w:rFonts w:ascii="Calibri" w:eastAsia="Calibri" w:hAnsi="Calibri" w:cs="Calibri"/>
                <w:color w:val="auto"/>
                <w:sz w:val="12"/>
                <w:szCs w:val="12"/>
              </w:rPr>
              <w:t>Executve Vice President, Chief Financial Ofcer</w:t>
            </w:r>
          </w:p>
        </w:tc>
      </w:tr>
      <w:tr>
        <w:tblPrEx>
          <w:tblInd w:w="0" w:type="dxa"/>
          <w:tblLayout w:type="fixed"/>
        </w:tblPrEx>
        <w:trPr>
          <w:trHeight w:val="147"/>
        </w:trPr>
        <w:tc>
          <w:tcPr>
            <w:tcW w:w="2440" w:type="dxa"/>
            <w:vAlign w:val="bottom"/>
          </w:tcPr>
          <w:p>
            <w:pPr>
              <w:spacing w:after="0" w:line="142" w:lineRule="exact"/>
              <w:rPr>
                <w:color w:val="auto"/>
                <w:sz w:val="20"/>
                <w:szCs w:val="20"/>
              </w:rPr>
            </w:pPr>
            <w:r>
              <w:rPr>
                <w:rFonts w:ascii="Calibri" w:eastAsia="Calibri" w:hAnsi="Calibri" w:cs="Calibri"/>
                <w:color w:val="auto"/>
                <w:sz w:val="12"/>
                <w:szCs w:val="12"/>
              </w:rPr>
              <w:t>Nicholas J. Donoghoe, M.D.</w:t>
            </w:r>
          </w:p>
        </w:tc>
        <w:tc>
          <w:tcPr>
            <w:tcW w:w="1440" w:type="dxa"/>
            <w:vAlign w:val="bottom"/>
          </w:tcPr>
          <w:p>
            <w:pPr>
              <w:spacing w:after="0" w:line="142" w:lineRule="exact"/>
              <w:ind w:left="1120"/>
              <w:rPr>
                <w:color w:val="auto"/>
                <w:sz w:val="20"/>
                <w:szCs w:val="20"/>
              </w:rPr>
            </w:pPr>
            <w:r>
              <w:rPr>
                <w:rFonts w:ascii="Calibri" w:eastAsia="Calibri" w:hAnsi="Calibri" w:cs="Calibri"/>
                <w:color w:val="auto"/>
                <w:sz w:val="12"/>
                <w:szCs w:val="12"/>
              </w:rPr>
              <w:t>44</w:t>
            </w:r>
          </w:p>
        </w:tc>
        <w:tc>
          <w:tcPr>
            <w:tcW w:w="7380" w:type="dxa"/>
            <w:vAlign w:val="bottom"/>
          </w:tcPr>
          <w:p>
            <w:pPr>
              <w:spacing w:after="0" w:line="142" w:lineRule="exact"/>
              <w:ind w:left="180"/>
              <w:rPr>
                <w:color w:val="auto"/>
                <w:sz w:val="20"/>
                <w:szCs w:val="20"/>
              </w:rPr>
            </w:pPr>
            <w:r>
              <w:rPr>
                <w:rFonts w:ascii="Calibri" w:eastAsia="Calibri" w:hAnsi="Calibri" w:cs="Calibri"/>
                <w:color w:val="auto"/>
                <w:sz w:val="12"/>
                <w:szCs w:val="12"/>
              </w:rPr>
              <w:t>Executve Vice President, Chief Business and Strategy Ofcer</w:t>
            </w:r>
          </w:p>
        </w:tc>
      </w:tr>
      <w:tr>
        <w:tblPrEx>
          <w:tblInd w:w="0" w:type="dxa"/>
          <w:tblLayout w:type="fixed"/>
        </w:tblPrEx>
        <w:trPr>
          <w:trHeight w:val="159"/>
        </w:trPr>
        <w:tc>
          <w:tcPr>
            <w:tcW w:w="2440" w:type="dxa"/>
            <w:shd w:val="clear" w:color="auto" w:fill="CCEEFF"/>
            <w:vAlign w:val="bottom"/>
          </w:tcPr>
          <w:p>
            <w:pPr>
              <w:spacing w:after="0"/>
              <w:rPr>
                <w:color w:val="auto"/>
                <w:sz w:val="20"/>
                <w:szCs w:val="20"/>
              </w:rPr>
            </w:pPr>
            <w:r>
              <w:rPr>
                <w:rFonts w:ascii="Calibri" w:eastAsia="Calibri" w:hAnsi="Calibri" w:cs="Calibri"/>
                <w:color w:val="auto"/>
                <w:sz w:val="12"/>
                <w:szCs w:val="12"/>
              </w:rPr>
              <w:t>Timothy J. Richmond</w:t>
            </w:r>
          </w:p>
        </w:tc>
        <w:tc>
          <w:tcPr>
            <w:tcW w:w="1440" w:type="dxa"/>
            <w:shd w:val="clear" w:color="auto" w:fill="CCEEFF"/>
            <w:vAlign w:val="bottom"/>
          </w:tcPr>
          <w:p>
            <w:pPr>
              <w:spacing w:after="0"/>
              <w:ind w:left="1120"/>
              <w:rPr>
                <w:color w:val="auto"/>
                <w:sz w:val="20"/>
                <w:szCs w:val="20"/>
              </w:rPr>
            </w:pPr>
            <w:r>
              <w:rPr>
                <w:rFonts w:ascii="Calibri" w:eastAsia="Calibri" w:hAnsi="Calibri" w:cs="Calibri"/>
                <w:color w:val="auto"/>
                <w:sz w:val="12"/>
                <w:szCs w:val="12"/>
              </w:rPr>
              <w:t>58</w:t>
            </w:r>
          </w:p>
        </w:tc>
        <w:tc>
          <w:tcPr>
            <w:tcW w:w="7380" w:type="dxa"/>
            <w:shd w:val="clear" w:color="auto" w:fill="CCEEFF"/>
            <w:vAlign w:val="bottom"/>
          </w:tcPr>
          <w:p>
            <w:pPr>
              <w:spacing w:after="0"/>
              <w:ind w:left="180"/>
              <w:rPr>
                <w:color w:val="auto"/>
                <w:sz w:val="20"/>
                <w:szCs w:val="20"/>
              </w:rPr>
            </w:pPr>
            <w:r>
              <w:rPr>
                <w:rFonts w:ascii="Calibri" w:eastAsia="Calibri" w:hAnsi="Calibri" w:cs="Calibri"/>
                <w:color w:val="auto"/>
                <w:sz w:val="12"/>
                <w:szCs w:val="12"/>
              </w:rPr>
              <w:t>Executve Vice President, Chief Human Resources Ofcer</w:t>
            </w:r>
          </w:p>
        </w:tc>
      </w:tr>
      <w:tr>
        <w:tblPrEx>
          <w:tblInd w:w="0" w:type="dxa"/>
          <w:tblLayout w:type="fixed"/>
        </w:tblPrEx>
        <w:trPr>
          <w:trHeight w:val="147"/>
        </w:trPr>
        <w:tc>
          <w:tcPr>
            <w:tcW w:w="2440" w:type="dxa"/>
            <w:vAlign w:val="bottom"/>
          </w:tcPr>
          <w:p>
            <w:pPr>
              <w:spacing w:after="0" w:line="142" w:lineRule="exact"/>
              <w:rPr>
                <w:color w:val="auto"/>
                <w:sz w:val="20"/>
                <w:szCs w:val="20"/>
              </w:rPr>
            </w:pPr>
            <w:r>
              <w:rPr>
                <w:rFonts w:ascii="Calibri" w:eastAsia="Calibri" w:hAnsi="Calibri" w:cs="Calibri"/>
                <w:color w:val="auto"/>
                <w:sz w:val="12"/>
                <w:szCs w:val="12"/>
              </w:rPr>
              <w:t>Azita Saleki-Gerhardt, Ph.D.</w:t>
            </w:r>
          </w:p>
        </w:tc>
        <w:tc>
          <w:tcPr>
            <w:tcW w:w="1440" w:type="dxa"/>
            <w:vAlign w:val="bottom"/>
          </w:tcPr>
          <w:p>
            <w:pPr>
              <w:spacing w:after="0" w:line="142" w:lineRule="exact"/>
              <w:ind w:left="1120"/>
              <w:rPr>
                <w:color w:val="auto"/>
                <w:sz w:val="20"/>
                <w:szCs w:val="20"/>
              </w:rPr>
            </w:pPr>
            <w:r>
              <w:rPr>
                <w:rFonts w:ascii="Calibri" w:eastAsia="Calibri" w:hAnsi="Calibri" w:cs="Calibri"/>
                <w:color w:val="auto"/>
                <w:sz w:val="12"/>
                <w:szCs w:val="12"/>
              </w:rPr>
              <w:t>61</w:t>
            </w:r>
          </w:p>
        </w:tc>
        <w:tc>
          <w:tcPr>
            <w:tcW w:w="7380" w:type="dxa"/>
            <w:vAlign w:val="bottom"/>
          </w:tcPr>
          <w:p>
            <w:pPr>
              <w:spacing w:after="0" w:line="142" w:lineRule="exact"/>
              <w:ind w:left="180"/>
              <w:rPr>
                <w:color w:val="auto"/>
                <w:sz w:val="20"/>
                <w:szCs w:val="20"/>
              </w:rPr>
            </w:pPr>
            <w:r>
              <w:rPr>
                <w:rFonts w:ascii="Calibri" w:eastAsia="Calibri" w:hAnsi="Calibri" w:cs="Calibri"/>
                <w:color w:val="auto"/>
                <w:sz w:val="12"/>
                <w:szCs w:val="12"/>
              </w:rPr>
              <w:t>Executve Vice President, Chief Operatons Ofcer</w:t>
            </w:r>
          </w:p>
        </w:tc>
      </w:tr>
      <w:tr>
        <w:tblPrEx>
          <w:tblInd w:w="0" w:type="dxa"/>
          <w:tblLayout w:type="fixed"/>
        </w:tblPrEx>
        <w:trPr>
          <w:trHeight w:val="159"/>
        </w:trPr>
        <w:tc>
          <w:tcPr>
            <w:tcW w:w="2440" w:type="dxa"/>
            <w:shd w:val="clear" w:color="auto" w:fill="CCEEFF"/>
            <w:vAlign w:val="bottom"/>
          </w:tcPr>
          <w:p>
            <w:pPr>
              <w:spacing w:after="0"/>
              <w:rPr>
                <w:color w:val="auto"/>
                <w:sz w:val="20"/>
                <w:szCs w:val="20"/>
              </w:rPr>
            </w:pPr>
            <w:r>
              <w:rPr>
                <w:rFonts w:ascii="Calibri" w:eastAsia="Calibri" w:hAnsi="Calibri" w:cs="Calibri"/>
                <w:color w:val="auto"/>
                <w:sz w:val="12"/>
                <w:szCs w:val="12"/>
              </w:rPr>
              <w:t>Perry C. Siats</w:t>
            </w:r>
          </w:p>
        </w:tc>
        <w:tc>
          <w:tcPr>
            <w:tcW w:w="1440" w:type="dxa"/>
            <w:shd w:val="clear" w:color="auto" w:fill="CCEEFF"/>
            <w:vAlign w:val="bottom"/>
          </w:tcPr>
          <w:p>
            <w:pPr>
              <w:spacing w:after="0"/>
              <w:ind w:left="1120"/>
              <w:rPr>
                <w:color w:val="auto"/>
                <w:sz w:val="20"/>
                <w:szCs w:val="20"/>
              </w:rPr>
            </w:pPr>
            <w:r>
              <w:rPr>
                <w:rFonts w:ascii="Calibri" w:eastAsia="Calibri" w:hAnsi="Calibri" w:cs="Calibri"/>
                <w:color w:val="auto"/>
                <w:sz w:val="12"/>
                <w:szCs w:val="12"/>
              </w:rPr>
              <w:t>50</w:t>
            </w:r>
          </w:p>
        </w:tc>
        <w:tc>
          <w:tcPr>
            <w:tcW w:w="7380" w:type="dxa"/>
            <w:shd w:val="clear" w:color="auto" w:fill="CCEEFF"/>
            <w:vAlign w:val="bottom"/>
          </w:tcPr>
          <w:p>
            <w:pPr>
              <w:spacing w:after="0"/>
              <w:ind w:left="180"/>
              <w:rPr>
                <w:color w:val="auto"/>
                <w:sz w:val="20"/>
                <w:szCs w:val="20"/>
              </w:rPr>
            </w:pPr>
            <w:r>
              <w:rPr>
                <w:rFonts w:ascii="Calibri" w:eastAsia="Calibri" w:hAnsi="Calibri" w:cs="Calibri"/>
                <w:color w:val="auto"/>
                <w:sz w:val="12"/>
                <w:szCs w:val="12"/>
              </w:rPr>
              <w:t>Executve Vice President, General Counsel and Secretary</w:t>
            </w:r>
          </w:p>
        </w:tc>
      </w:tr>
      <w:tr>
        <w:tblPrEx>
          <w:tblInd w:w="0" w:type="dxa"/>
          <w:tblLayout w:type="fixed"/>
        </w:tblPrEx>
        <w:trPr>
          <w:trHeight w:val="147"/>
        </w:trPr>
        <w:tc>
          <w:tcPr>
            <w:tcW w:w="2440" w:type="dxa"/>
            <w:vAlign w:val="bottom"/>
          </w:tcPr>
          <w:p>
            <w:pPr>
              <w:spacing w:after="0" w:line="142" w:lineRule="exact"/>
              <w:rPr>
                <w:color w:val="auto"/>
                <w:sz w:val="20"/>
                <w:szCs w:val="20"/>
              </w:rPr>
            </w:pPr>
            <w:r>
              <w:rPr>
                <w:rFonts w:ascii="Calibri" w:eastAsia="Calibri" w:hAnsi="Calibri" w:cs="Calibri"/>
                <w:color w:val="auto"/>
                <w:sz w:val="12"/>
                <w:szCs w:val="12"/>
              </w:rPr>
              <w:t>Jefrey R. Stewart</w:t>
            </w:r>
          </w:p>
        </w:tc>
        <w:tc>
          <w:tcPr>
            <w:tcW w:w="1440" w:type="dxa"/>
            <w:vAlign w:val="bottom"/>
          </w:tcPr>
          <w:p>
            <w:pPr>
              <w:spacing w:after="0" w:line="142" w:lineRule="exact"/>
              <w:ind w:left="1120"/>
              <w:rPr>
                <w:color w:val="auto"/>
                <w:sz w:val="20"/>
                <w:szCs w:val="20"/>
              </w:rPr>
            </w:pPr>
            <w:r>
              <w:rPr>
                <w:rFonts w:ascii="Calibri" w:eastAsia="Calibri" w:hAnsi="Calibri" w:cs="Calibri"/>
                <w:color w:val="auto"/>
                <w:sz w:val="12"/>
                <w:szCs w:val="12"/>
              </w:rPr>
              <w:t>56</w:t>
            </w:r>
          </w:p>
        </w:tc>
        <w:tc>
          <w:tcPr>
            <w:tcW w:w="7380" w:type="dxa"/>
            <w:vAlign w:val="bottom"/>
          </w:tcPr>
          <w:p>
            <w:pPr>
              <w:spacing w:after="0" w:line="142" w:lineRule="exact"/>
              <w:ind w:left="180"/>
              <w:rPr>
                <w:color w:val="auto"/>
                <w:sz w:val="20"/>
                <w:szCs w:val="20"/>
              </w:rPr>
            </w:pPr>
            <w:r>
              <w:rPr>
                <w:rFonts w:ascii="Calibri" w:eastAsia="Calibri" w:hAnsi="Calibri" w:cs="Calibri"/>
                <w:color w:val="auto"/>
                <w:sz w:val="12"/>
                <w:szCs w:val="12"/>
              </w:rPr>
              <w:t>Executve Vice President, Chief Commercial Ofcer</w:t>
            </w:r>
          </w:p>
        </w:tc>
      </w:tr>
      <w:tr>
        <w:tblPrEx>
          <w:tblInd w:w="0" w:type="dxa"/>
          <w:tblLayout w:type="fixed"/>
        </w:tblPrEx>
        <w:trPr>
          <w:trHeight w:val="159"/>
        </w:trPr>
        <w:tc>
          <w:tcPr>
            <w:tcW w:w="2440" w:type="dxa"/>
            <w:shd w:val="clear" w:color="auto" w:fill="CCEEFF"/>
            <w:vAlign w:val="bottom"/>
          </w:tcPr>
          <w:p>
            <w:pPr>
              <w:spacing w:after="0"/>
              <w:rPr>
                <w:color w:val="auto"/>
                <w:sz w:val="20"/>
                <w:szCs w:val="20"/>
              </w:rPr>
            </w:pPr>
            <w:r>
              <w:rPr>
                <w:rFonts w:ascii="Calibri" w:eastAsia="Calibri" w:hAnsi="Calibri" w:cs="Calibri"/>
                <w:color w:val="auto"/>
                <w:sz w:val="12"/>
                <w:szCs w:val="12"/>
              </w:rPr>
              <w:t>Roopal Thakkar, M.D.</w:t>
            </w:r>
          </w:p>
        </w:tc>
        <w:tc>
          <w:tcPr>
            <w:tcW w:w="1440" w:type="dxa"/>
            <w:shd w:val="clear" w:color="auto" w:fill="CCEEFF"/>
            <w:vAlign w:val="bottom"/>
          </w:tcPr>
          <w:p>
            <w:pPr>
              <w:spacing w:after="0"/>
              <w:ind w:left="1120"/>
              <w:rPr>
                <w:color w:val="auto"/>
                <w:sz w:val="20"/>
                <w:szCs w:val="20"/>
              </w:rPr>
            </w:pPr>
            <w:r>
              <w:rPr>
                <w:rFonts w:ascii="Calibri" w:eastAsia="Calibri" w:hAnsi="Calibri" w:cs="Calibri"/>
                <w:color w:val="auto"/>
                <w:sz w:val="12"/>
                <w:szCs w:val="12"/>
              </w:rPr>
              <w:t>53</w:t>
            </w:r>
          </w:p>
        </w:tc>
        <w:tc>
          <w:tcPr>
            <w:tcW w:w="7380" w:type="dxa"/>
            <w:shd w:val="clear" w:color="auto" w:fill="CCEEFF"/>
            <w:vAlign w:val="bottom"/>
          </w:tcPr>
          <w:p>
            <w:pPr>
              <w:spacing w:after="0"/>
              <w:ind w:left="180"/>
              <w:rPr>
                <w:color w:val="auto"/>
                <w:sz w:val="20"/>
                <w:szCs w:val="20"/>
              </w:rPr>
            </w:pPr>
            <w:r>
              <w:rPr>
                <w:rFonts w:ascii="Calibri" w:eastAsia="Calibri" w:hAnsi="Calibri" w:cs="Calibri"/>
                <w:color w:val="auto"/>
                <w:sz w:val="12"/>
                <w:szCs w:val="12"/>
              </w:rPr>
              <w:t>Executve Vice President, Research &amp; Development and Chief Scientfc Ofcer</w:t>
            </w:r>
          </w:p>
        </w:tc>
      </w:tr>
      <w:tr>
        <w:tblPrEx>
          <w:tblInd w:w="0" w:type="dxa"/>
          <w:tblLayout w:type="fixed"/>
        </w:tblPrEx>
        <w:trPr>
          <w:trHeight w:val="142"/>
        </w:trPr>
        <w:tc>
          <w:tcPr>
            <w:tcW w:w="2440" w:type="dxa"/>
            <w:vAlign w:val="bottom"/>
          </w:tcPr>
          <w:p>
            <w:pPr>
              <w:spacing w:after="0" w:line="142" w:lineRule="exact"/>
              <w:rPr>
                <w:color w:val="auto"/>
                <w:sz w:val="20"/>
                <w:szCs w:val="20"/>
              </w:rPr>
            </w:pPr>
            <w:r>
              <w:rPr>
                <w:rFonts w:ascii="Calibri" w:eastAsia="Calibri" w:hAnsi="Calibri" w:cs="Calibri"/>
                <w:color w:val="auto"/>
                <w:sz w:val="12"/>
                <w:szCs w:val="12"/>
              </w:rPr>
              <w:t>Kevin K. Buckbee</w:t>
            </w:r>
          </w:p>
        </w:tc>
        <w:tc>
          <w:tcPr>
            <w:tcW w:w="1440" w:type="dxa"/>
            <w:vAlign w:val="bottom"/>
          </w:tcPr>
          <w:p>
            <w:pPr>
              <w:spacing w:after="0" w:line="142" w:lineRule="exact"/>
              <w:ind w:left="1120"/>
              <w:rPr>
                <w:color w:val="auto"/>
                <w:sz w:val="20"/>
                <w:szCs w:val="20"/>
              </w:rPr>
            </w:pPr>
            <w:r>
              <w:rPr>
                <w:rFonts w:ascii="Calibri" w:eastAsia="Calibri" w:hAnsi="Calibri" w:cs="Calibri"/>
                <w:color w:val="auto"/>
                <w:sz w:val="12"/>
                <w:szCs w:val="12"/>
              </w:rPr>
              <w:t>59</w:t>
            </w:r>
          </w:p>
        </w:tc>
        <w:tc>
          <w:tcPr>
            <w:tcW w:w="7380" w:type="dxa"/>
            <w:vAlign w:val="bottom"/>
          </w:tcPr>
          <w:p>
            <w:pPr>
              <w:spacing w:after="0" w:line="142" w:lineRule="exact"/>
              <w:ind w:left="180"/>
              <w:rPr>
                <w:color w:val="auto"/>
                <w:sz w:val="20"/>
                <w:szCs w:val="20"/>
              </w:rPr>
            </w:pPr>
            <w:r>
              <w:rPr>
                <w:rFonts w:ascii="Calibri" w:eastAsia="Calibri" w:hAnsi="Calibri" w:cs="Calibri"/>
                <w:color w:val="auto"/>
                <w:sz w:val="12"/>
                <w:szCs w:val="12"/>
              </w:rPr>
              <w:t>Senior Vice President, Controller</w:t>
            </w:r>
          </w:p>
        </w:tc>
      </w:tr>
    </w:tbl>
    <w:p>
      <w:pPr>
        <w:spacing w:after="0" w:line="37" w:lineRule="exact"/>
        <w:rPr>
          <w:color w:val="auto"/>
          <w:sz w:val="20"/>
          <w:szCs w:val="20"/>
        </w:rPr>
      </w:pPr>
    </w:p>
    <w:p>
      <w:pPr>
        <w:spacing w:after="0"/>
        <w:rPr>
          <w:color w:val="auto"/>
          <w:sz w:val="20"/>
          <w:szCs w:val="20"/>
        </w:rPr>
      </w:pPr>
      <w:r>
        <w:rPr>
          <w:rFonts w:ascii="Calibri" w:eastAsia="Calibri" w:hAnsi="Calibri" w:cs="Calibri"/>
          <w:color w:val="auto"/>
          <w:sz w:val="10"/>
          <w:szCs w:val="10"/>
        </w:rPr>
        <w:t>_______________________________________________________________________________</w:t>
      </w:r>
    </w:p>
    <w:p>
      <w:pPr>
        <w:spacing w:after="0" w:line="170"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Mr. Gonzalez is the Executve Chairman of the Board. Mr. Gonzalez served as Chairman and Chief Executve Ofcer of AbbVie from 2013 to June 2024. He served as Abbot’s Executve Vice President of the pharmaceutcal products group from July 2010 to December 2012, and was responsible for Abbot’s worldwide pharmaceutcal business, including commercial operatons, research and development, and manufacturing. He also served as President, Abbot Ventures Inc., Abbot’s medical technology investment arm, from 2009 to 2011. Mr. Gonzalez joined Abbot in 1977 and held various management positons before briefy retring in 2007, including: Abbot’s President and Chief Operatng Ofcer; President, Chief Operatng Ofcer of Abbot’s Medical Products Group; Senior Vice President and President of Abbot’s former Hospital Products Division; Vice President and President of Abbot’s Health Systems Division; and Divisional Vice President and General Manager for Abbot’s Diagnostcs Operatons in the United States and Canada. On February 13, 2025, the Board of Directors of AbbVie unanimously elected Mr. Michael to succeed Mr. Gonzalez as Chairman of the Board of Directors, efectve July 1, 2025, at which tme Mr. Gonzalez will retre from the Board.</w:t>
      </w:r>
    </w:p>
    <w:p>
      <w:pPr>
        <w:spacing w:after="0" w:line="165"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Mr. Michael is AbbVie’s Chief Executve Ofcer, a positon he has held since July 2024, and serves on its Board of Directors. Mr. Michael previously served as President and Chief Operatng Ofcer from July 2023 to June 2024, as Vice Chairman and President from June 2022 to July 2023, as Vice Chairman, Finance and Commercial Operatons and Chief Financial Ofcer from June 2021 to June 2022, as Executve Vice President, Chief Financial Ofcer from 2019 to 2021, as Senior Vice President, Chief Financial Ofcer from 2018 to 2019 and as Vice President, Controller from 2017 to 2018. He served as AbbVie's Vice President, Treasurer from 2015 to 2016, as Vice President, Controller, Commercial Operatons from 2013 to 2015 and as Vice President, Financial Planning and Analysis from 2012 to 2013. At Abbot, Mr. Michael served as Division Controller, Nutriton Supply Chain from 2010 to 2012. Mr. Michael joined Abbot in 1993 and was frst appointed as an AbbVie corporate ofcer in March 2017. On February 13, 2025, the Board of Directors of AbbVie unanimously elected Mr. Michael to succeed Mr. Gonzalez as Chairman of the Board of Directors, efectve July 1, 2025, at which tme Mr. Gonzalez will retre from the Board.</w:t>
      </w:r>
    </w:p>
    <w:p>
      <w:pPr>
        <w:spacing w:after="0" w:line="165"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Mr. Reents is AbbVie’s Executve Vice President, Chief Financial Ofcer. He previously served as Senior Vice President, Chief Financial Ofcer from June 2022 to November 2022, as Vice President, Tax and Treasury from 2019 to June 2022, and as Vice President, Tax from 2013 to 2019. Mr. Reents joined Abbot in 2008 and was frst appointed as an AbbVie corporate ofcer in June 2022.</w:t>
      </w:r>
    </w:p>
    <w:p>
      <w:pPr>
        <w:spacing w:after="0" w:line="164" w:lineRule="exact"/>
        <w:rPr>
          <w:color w:val="auto"/>
          <w:sz w:val="20"/>
          <w:szCs w:val="20"/>
        </w:rPr>
      </w:pPr>
    </w:p>
    <w:p>
      <w:pPr>
        <w:spacing w:after="0" w:line="234" w:lineRule="auto"/>
        <w:ind w:right="160" w:firstLine="297"/>
        <w:jc w:val="both"/>
        <w:rPr>
          <w:color w:val="auto"/>
          <w:sz w:val="20"/>
          <w:szCs w:val="20"/>
        </w:rPr>
      </w:pPr>
      <w:r>
        <w:rPr>
          <w:rFonts w:ascii="Calibri" w:eastAsia="Calibri" w:hAnsi="Calibri" w:cs="Calibri"/>
          <w:color w:val="auto"/>
          <w:sz w:val="12"/>
          <w:szCs w:val="12"/>
        </w:rPr>
        <w:t>Dr. Donoghoe is AbbVie’s Executve Vice President, Chief Business and Strategy Ofcer. He has previously served as AbbVie’s Senior Vice President, Chief Operatng Ofcer, R&amp;D from 2022 to 2023, as Senior Vice President, Portolio Innovaton from 2021 to 2022, as Senior Vice President, Global Strategy and Operatons, Allergan Aesthetcs, from 2020 to 2021, and as Senior Vice President, Enterprise Innovaton from 2019 to 2020. Prior to joining AbbVie in 2019, he served as a Partner at McKinsey &amp; Company where he was a leader of the frm's Pharma and Biotechnology practce for over a decade.</w:t>
      </w:r>
    </w:p>
    <w:p>
      <w:pPr>
        <w:spacing w:after="0" w:line="166" w:lineRule="exact"/>
        <w:rPr>
          <w:color w:val="auto"/>
          <w:sz w:val="20"/>
          <w:szCs w:val="20"/>
        </w:rPr>
      </w:pPr>
    </w:p>
    <w:p>
      <w:pPr>
        <w:spacing w:after="0" w:line="234" w:lineRule="auto"/>
        <w:ind w:right="200" w:firstLine="297"/>
        <w:rPr>
          <w:color w:val="auto"/>
          <w:sz w:val="20"/>
          <w:szCs w:val="20"/>
        </w:rPr>
      </w:pPr>
      <w:r>
        <w:rPr>
          <w:rFonts w:ascii="Calibri" w:eastAsia="Calibri" w:hAnsi="Calibri" w:cs="Calibri"/>
          <w:color w:val="auto"/>
          <w:sz w:val="12"/>
          <w:szCs w:val="12"/>
        </w:rPr>
        <w:t>Mr. Richmond is AbbVie’s Executve Vice President, Chief Human Resources Ofcer. He served as Senior Vice President, Human Resources from 2013 to 2018. Mr. Richmond served as Abbot’s Divisional Vice President of Compensaton &amp; Benefts from 2008 to 2012, as Group Vice President of Talent and Rewards from 2007 to 2008 and as Divisional Vice President of Talent Acquisiton from 2006 to 2007. Mr. Richmond joined Abbot in 2006 and was frst appointed as an AbbVie corporate ofcer in December 2012.</w:t>
      </w:r>
    </w:p>
    <w:p>
      <w:pPr>
        <w:spacing w:after="0" w:line="20" w:lineRule="exact"/>
        <w:rPr>
          <w:color w:val="auto"/>
          <w:sz w:val="20"/>
          <w:szCs w:val="20"/>
        </w:rPr>
      </w:pPr>
      <w:r>
        <w:rPr>
          <w:color w:val="auto"/>
          <w:sz w:val="20"/>
          <w:szCs w:val="20"/>
        </w:rPr>
        <w:drawing>
          <wp:anchor simplePos="0" relativeHeight="251730944" behindDoc="1" locked="0" layoutInCell="0" allowOverlap="1">
            <wp:simplePos x="0" y="0"/>
            <wp:positionH relativeFrom="column">
              <wp:posOffset>6475730</wp:posOffset>
            </wp:positionH>
            <wp:positionV relativeFrom="paragraph">
              <wp:posOffset>274320</wp:posOffset>
            </wp:positionV>
            <wp:extent cx="400050" cy="7429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47"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28</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31968" behindDoc="1" locked="0" layoutInCell="0" allowOverlap="1">
            <wp:simplePos x="0" y="0"/>
            <wp:positionH relativeFrom="column">
              <wp:posOffset>7154545</wp:posOffset>
            </wp:positionH>
            <wp:positionV relativeFrom="paragraph">
              <wp:posOffset>-23495</wp:posOffset>
            </wp:positionV>
            <wp:extent cx="31115" cy="3683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32992" behindDoc="1" locked="0" layoutInCell="0" allowOverlap="1">
            <wp:simplePos x="0" y="0"/>
            <wp:positionH relativeFrom="column">
              <wp:posOffset>-17145</wp:posOffset>
            </wp:positionH>
            <wp:positionV relativeFrom="paragraph">
              <wp:posOffset>-23495</wp:posOffset>
            </wp:positionV>
            <wp:extent cx="31115" cy="3683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32" w:right="299" w:bottom="1440" w:left="300" w:header="0" w:footer="0" w:gutter="0"/>
          <w:cols w:num="1" w:space="720" w:equalWidth="0">
            <w:col w:w="11300" w:space="0"/>
          </w:cols>
        </w:sectPr>
      </w:pPr>
    </w:p>
    <w:bookmarkStart w:id="30" w:name="page31"/>
    <w:bookmarkEnd w:id="30"/>
    <w:p>
      <w:pPr>
        <w:spacing w:after="0" w:line="234" w:lineRule="auto"/>
        <w:ind w:right="140" w:firstLine="297"/>
        <w:jc w:val="both"/>
        <w:rPr>
          <w:color w:val="auto"/>
          <w:sz w:val="20"/>
          <w:szCs w:val="20"/>
        </w:rPr>
      </w:pPr>
      <w:r>
        <w:rPr>
          <w:rFonts w:ascii="Calibri" w:eastAsia="Calibri" w:hAnsi="Calibri" w:cs="Calibri"/>
          <w:color w:val="auto"/>
          <w:sz w:val="12"/>
          <w:szCs w:val="12"/>
        </w:rPr>
        <w:t>Dr. Saleki-Gerhardt is AbbVie’s Executve Vice President, Chief Operatons Ofcer. She served as Executve Vice President, Operatons from 2018 to July 2023, and as Senior Vice President, Operatons from 2013 to 2018. Dr. Saleki-Gerhardt served as Abbot’s Vice President, Pharmaceutcals Manufacturing and Supply from 2011 to 2012, and as Divisional Vice President, Quality Assurance, Global Pharmaceutcal Operatons from 2008 to 2011. Dr. Saleki-Gerhardt joined Abbot in 1993 and was frst appointed as an AbbVie corporate ofcer in December 2012. She serves on the board of Entegris Inc.</w:t>
      </w:r>
    </w:p>
    <w:p>
      <w:pPr>
        <w:spacing w:after="0" w:line="166"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Mr. Siats is AbbVie’s Executve Vice President, General Counsel and Secretary. Mr. Siats previously served as Senior Vice President, Deputy General Counsel from September 2021 untl October 2022. From 2013 untl 2021, Mr. Siats also served in various roles including as Senior Vice President, Legal and Chief Ethics and Compliance Ofcer; Senior Vice President of Legal Transactons and R&amp;D/Alliance Management and Chief Ethics and Compliance Ofcer; and Vice President, Biologic Strategic Development and Legal Regulatory. Mr. Siats joined Abbot in 2005 and was frst appointed as an AbbVie corporate ofcer in October 2022.</w:t>
      </w:r>
    </w:p>
    <w:p>
      <w:pPr>
        <w:spacing w:after="0" w:line="166"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Mr. Stewart is AbbVie’s Executve Vice President, Chief Commercial Ofcer. He previously served as Senior Vice President, U.S. Commercial Operatons from 2018 to 2020 and as AbbVie’s President, Commercial Operatons from 2013 to 2018. Prior to AbbVie’s separaton from Abbot, he served as Vice President, Abbot Proprietary Pharmaceutcal Division, United States. Mr. Stewart joined Abbot in 1992 and was frst appointed as an AbbVie corporate ofcer in December 2018.</w:t>
      </w:r>
    </w:p>
    <w:p>
      <w:pPr>
        <w:spacing w:after="0" w:line="166"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Dr. Thakkar serves as AbbVie's Executve Vice President, Research &amp; Development and Chief Scientfc Ofcer. He previously served as Senior Vice President of Development and Regulatory Afairs and Chief Medical Ofcer at AbbVie from 2022 untl 2023, as Vice President, Global Regulatory Afairs and R&amp;D Quality Assurance from 2019 to 2022, and as Vice President, Global Regulatory Afairs from 2015 to 2019. Dr. Thakkar joined Abbot in 2003 and was frst appointed as a corporate ofcer in December 2023.</w:t>
      </w:r>
    </w:p>
    <w:p>
      <w:pPr>
        <w:spacing w:after="0" w:line="103"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Mr. Buckbee is AbbVie’s Senior Vice President, Controller. Mr. Buckbee previously served as AbbVie’s Vice President, Controller, Global Commercial Operatons from January 2016 untl March 2023, and as Vice President, Controller, U.S. Commercial Operatons from AbbVie’s separaton from Abbot in 2013 untl December 2015. Mr. Buckbee joined Abbot in 1991 and held several positons in the fnance organizaton.</w:t>
      </w:r>
    </w:p>
    <w:p>
      <w:pPr>
        <w:spacing w:after="0" w:line="92"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The executve ofcers of AbbVie are elected annually by the board of directors. All other ofcers are elected by the board or appointed by the Chairman of the Board. All ofcers are either elected at the frst meetng of the board of directors held afer the annual stockholder meetng or appointed by the Chairman of the Board afer that board meetng. Each ofcer holds ofce untl a successor has been duly elected or appointed and qualifed or untl the ofcer's death, resignaton, or removal. There are no family relatonships between any of the executve ofcers listed above.</w:t>
      </w:r>
    </w:p>
    <w:p>
      <w:pPr>
        <w:spacing w:after="0" w:line="179"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29</w:t>
      </w:r>
      <w:r>
        <w:rPr>
          <w:color w:val="auto"/>
          <w:sz w:val="20"/>
          <w:szCs w:val="20"/>
        </w:rPr>
        <w:tab/>
      </w:r>
      <w:r>
        <w:rPr>
          <w:color w:val="auto"/>
          <w:sz w:val="1"/>
          <w:szCs w:val="1"/>
        </w:rPr>
        <w:drawing>
          <wp:inline distT="0" distB="0" distL="0" distR="0">
            <wp:extent cx="400050" cy="7429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34016" behindDoc="1" locked="0" layoutInCell="0" allowOverlap="1">
            <wp:simplePos x="0" y="0"/>
            <wp:positionH relativeFrom="column">
              <wp:posOffset>-17145</wp:posOffset>
            </wp:positionH>
            <wp:positionV relativeFrom="paragraph">
              <wp:posOffset>133985</wp:posOffset>
            </wp:positionV>
            <wp:extent cx="7203440" cy="3683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638" w:right="379" w:bottom="1440" w:left="300" w:header="0" w:footer="0" w:gutter="0"/>
          <w:cols w:num="1" w:space="720" w:equalWidth="0">
            <w:col w:w="11220" w:space="0"/>
          </w:cols>
        </w:sectPr>
      </w:pPr>
    </w:p>
    <w:bookmarkStart w:id="31" w:name="page32"/>
    <w:bookmarkEnd w:id="31"/>
    <w:p>
      <w:pPr>
        <w:spacing w:after="0"/>
        <w:jc w:val="center"/>
        <w:rPr>
          <w:color w:val="auto"/>
          <w:sz w:val="20"/>
          <w:szCs w:val="20"/>
        </w:rPr>
      </w:pPr>
      <w:r>
        <w:rPr>
          <w:rFonts w:ascii="Calibri" w:eastAsia="Calibri" w:hAnsi="Calibri" w:cs="Calibri"/>
          <w:b/>
          <w:bCs/>
          <w:color w:val="444867"/>
          <w:sz w:val="14"/>
          <w:szCs w:val="14"/>
        </w:rPr>
        <w:t>PART II</w:t>
      </w:r>
    </w:p>
    <w:p>
      <w:pPr>
        <w:spacing w:after="0" w:line="144"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5. MARKET FOR REGISTRANT'S COMMON EQUITY, RELATED STOCKHOLDER MATTERS AND ISSUER PURCHASES OF EQUITY SECURITIES</w:t>
      </w:r>
    </w:p>
    <w:p>
      <w:pPr>
        <w:spacing w:after="0" w:line="20" w:lineRule="exact"/>
        <w:rPr>
          <w:color w:val="auto"/>
          <w:sz w:val="20"/>
          <w:szCs w:val="20"/>
        </w:rPr>
      </w:pPr>
      <w:r>
        <w:rPr>
          <w:color w:val="auto"/>
          <w:sz w:val="20"/>
          <w:szCs w:val="20"/>
        </w:rPr>
        <w:drawing>
          <wp:anchor simplePos="0" relativeHeight="251735040" behindDoc="1" locked="0" layoutInCell="0" allowOverlap="1">
            <wp:simplePos x="0" y="0"/>
            <wp:positionH relativeFrom="column">
              <wp:posOffset>-4445</wp:posOffset>
            </wp:positionH>
            <wp:positionV relativeFrom="paragraph">
              <wp:posOffset>24130</wp:posOffset>
            </wp:positionV>
            <wp:extent cx="7166610" cy="5715"/>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15"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Principal Market</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principal market for AbbVie's common stock is the New York Stock Exchange (Symbol: ABBV). AbbVie's common stock is also listed on the Chicago Stock Exchange and traded on various regional and electronic exchanges.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Stockholders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There were 56,544 stockholders of record of AbbVie common stock as of January 31, 2025.</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Performance Graph</w:t>
      </w:r>
    </w:p>
    <w:p>
      <w:pPr>
        <w:spacing w:after="0" w:line="92" w:lineRule="exact"/>
        <w:rPr>
          <w:color w:val="auto"/>
          <w:sz w:val="20"/>
          <w:szCs w:val="20"/>
        </w:rPr>
      </w:pPr>
    </w:p>
    <w:p>
      <w:pPr>
        <w:spacing w:after="0" w:line="271" w:lineRule="auto"/>
        <w:ind w:right="80" w:firstLine="297"/>
        <w:jc w:val="both"/>
        <w:rPr>
          <w:color w:val="auto"/>
          <w:sz w:val="20"/>
          <w:szCs w:val="20"/>
        </w:rPr>
      </w:pPr>
      <w:r>
        <w:rPr>
          <w:rFonts w:ascii="Calibri" w:eastAsia="Calibri" w:hAnsi="Calibri" w:cs="Calibri"/>
          <w:color w:val="auto"/>
          <w:sz w:val="11"/>
          <w:szCs w:val="11"/>
        </w:rPr>
        <w:t>The following graph compares the cumulatve total returns of AbbVie, the S&amp;P 500 Index and the NYSE Arca Pharmaceutcals Index for the period from December 31, 2019 through December 31, 2024. This graph assumes $100 was invested in AbbVie common stock and each index on December 31, 2019 and also assumes the reinvestment of dividends. The stock price performance on the following graph is not necessarily indicatve of future stock price performance.</w:t>
      </w:r>
    </w:p>
    <w:p>
      <w:pPr>
        <w:spacing w:after="0" w:line="20" w:lineRule="exact"/>
        <w:rPr>
          <w:color w:val="auto"/>
          <w:sz w:val="20"/>
          <w:szCs w:val="20"/>
        </w:rPr>
      </w:pPr>
      <w:r>
        <w:rPr>
          <w:color w:val="auto"/>
          <w:sz w:val="20"/>
          <w:szCs w:val="20"/>
        </w:rPr>
        <w:drawing>
          <wp:anchor simplePos="0" relativeHeight="251736064" behindDoc="1" locked="0" layoutInCell="0" allowOverlap="1">
            <wp:simplePos x="0" y="0"/>
            <wp:positionH relativeFrom="column">
              <wp:posOffset>1835150</wp:posOffset>
            </wp:positionH>
            <wp:positionV relativeFrom="paragraph">
              <wp:posOffset>62865</wp:posOffset>
            </wp:positionV>
            <wp:extent cx="3503295" cy="274320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03295" cy="2743200"/>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47"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This performance graph is furnished and shall not be deemed "fled" with the SEC or subject to Secton 18 of the Securites Exchange Act of 1934, nor shall it be deemed incorporated by reference in any of AbbVie's flings under the Securites Act of 1933, as amended.</w:t>
      </w:r>
    </w:p>
    <w:p>
      <w:pPr>
        <w:spacing w:after="0" w:line="20" w:lineRule="exact"/>
        <w:rPr>
          <w:color w:val="auto"/>
          <w:sz w:val="20"/>
          <w:szCs w:val="20"/>
        </w:rPr>
      </w:pPr>
      <w:r>
        <w:rPr>
          <w:color w:val="auto"/>
          <w:sz w:val="20"/>
          <w:szCs w:val="20"/>
        </w:rPr>
        <w:drawing>
          <wp:anchor simplePos="0" relativeHeight="251737088" behindDoc="1" locked="0" layoutInCell="0" allowOverlap="1">
            <wp:simplePos x="0" y="0"/>
            <wp:positionH relativeFrom="column">
              <wp:posOffset>6475730</wp:posOffset>
            </wp:positionH>
            <wp:positionV relativeFrom="paragraph">
              <wp:posOffset>187960</wp:posOffset>
            </wp:positionV>
            <wp:extent cx="400050" cy="7429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30</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38112" behindDoc="1" locked="0" layoutInCell="0" allowOverlap="1">
            <wp:simplePos x="0" y="0"/>
            <wp:positionH relativeFrom="column">
              <wp:posOffset>7154545</wp:posOffset>
            </wp:positionH>
            <wp:positionV relativeFrom="paragraph">
              <wp:posOffset>-23495</wp:posOffset>
            </wp:positionV>
            <wp:extent cx="31115" cy="3683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39136" behindDoc="1" locked="0" layoutInCell="0" allowOverlap="1">
            <wp:simplePos x="0" y="0"/>
            <wp:positionH relativeFrom="column">
              <wp:posOffset>-17145</wp:posOffset>
            </wp:positionH>
            <wp:positionV relativeFrom="paragraph">
              <wp:posOffset>-23495</wp:posOffset>
            </wp:positionV>
            <wp:extent cx="31115" cy="3683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32" w:name="page33"/>
    <w:bookmarkEnd w:id="32"/>
    <w:p>
      <w:pPr>
        <w:spacing w:after="0"/>
        <w:rPr>
          <w:color w:val="auto"/>
          <w:sz w:val="20"/>
          <w:szCs w:val="20"/>
        </w:rPr>
      </w:pPr>
      <w:r>
        <w:rPr>
          <w:rFonts w:ascii="Calibri" w:eastAsia="Calibri" w:hAnsi="Calibri" w:cs="Calibri"/>
          <w:b/>
          <w:bCs/>
          <w:color w:val="444867"/>
          <w:sz w:val="12"/>
          <w:szCs w:val="12"/>
        </w:rPr>
        <w:t>Dividends</w:t>
      </w:r>
    </w:p>
    <w:p>
      <w:pPr>
        <w:spacing w:after="0" w:line="92"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On October 30, 2024, AbbVie's board of directors declared an increase in the company’s quarterly dividend from $1.55 per share to $1.64 per share, payable on February 14, 2025, to stockholders of record as of January 15, 2025. The tming, declaraton, amount of and payment of any dividends by AbbVie in the future is within the discreton of its board of directors and will depend upon many factors, including AbbVie's fnancial conditon, earnings, capital requirements of its operatng subsidiaries, covenants associated with certain of AbbVie's debt service obligatons, legal requirements, regulatory constraints, industry practce, ability to access capital markets and other factors deemed relevant by its board of directors. Moreover, if AbbVie determines to pay any dividend in the future, there can be no assurance that it will contnue to pay such dividends or the amount of such dividends.</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Issuer Purchases of Equity Securites</w:t>
      </w:r>
    </w:p>
    <w:p>
      <w:pPr>
        <w:spacing w:after="0" w:line="3" w:lineRule="exact"/>
        <w:rPr>
          <w:color w:val="auto"/>
          <w:sz w:val="20"/>
          <w:szCs w:val="20"/>
        </w:rPr>
      </w:pPr>
    </w:p>
    <w:tbl>
      <w:tblPr>
        <w:tblInd w:w="0" w:type="dxa"/>
        <w:tblLayout w:type="fixed"/>
        <w:tblCellMar>
          <w:top w:w="0" w:type="dxa"/>
          <w:left w:w="0" w:type="dxa"/>
          <w:bottom w:w="0" w:type="dxa"/>
          <w:right w:w="0" w:type="dxa"/>
        </w:tblCellMar>
      </w:tblPr>
      <w:tblGrid>
        <w:gridCol w:w="3240"/>
        <w:gridCol w:w="2220"/>
        <w:gridCol w:w="280"/>
        <w:gridCol w:w="920"/>
        <w:gridCol w:w="460"/>
        <w:gridCol w:w="1500"/>
        <w:gridCol w:w="380"/>
        <w:gridCol w:w="2300"/>
        <w:gridCol w:w="20"/>
      </w:tblGrid>
      <w:tr>
        <w:tblPrEx>
          <w:tblInd w:w="0" w:type="dxa"/>
          <w:tblLayout w:type="fixed"/>
        </w:tblPrEx>
        <w:trPr>
          <w:trHeight w:val="122"/>
        </w:trPr>
        <w:tc>
          <w:tcPr>
            <w:tcW w:w="3240" w:type="dxa"/>
            <w:vAlign w:val="bottom"/>
          </w:tcPr>
          <w:p>
            <w:pPr>
              <w:spacing w:after="0"/>
              <w:rPr>
                <w:color w:val="auto"/>
                <w:sz w:val="10"/>
                <w:szCs w:val="10"/>
              </w:rPr>
            </w:pPr>
          </w:p>
        </w:tc>
        <w:tc>
          <w:tcPr>
            <w:tcW w:w="2220" w:type="dxa"/>
            <w:vAlign w:val="bottom"/>
          </w:tcPr>
          <w:p>
            <w:pPr>
              <w:spacing w:after="0"/>
              <w:rPr>
                <w:color w:val="auto"/>
                <w:sz w:val="10"/>
                <w:szCs w:val="10"/>
              </w:rPr>
            </w:pPr>
          </w:p>
        </w:tc>
        <w:tc>
          <w:tcPr>
            <w:tcW w:w="280" w:type="dxa"/>
            <w:vAlign w:val="bottom"/>
          </w:tcPr>
          <w:p>
            <w:pPr>
              <w:spacing w:after="0"/>
              <w:rPr>
                <w:color w:val="auto"/>
                <w:sz w:val="10"/>
                <w:szCs w:val="10"/>
              </w:rPr>
            </w:pPr>
          </w:p>
        </w:tc>
        <w:tc>
          <w:tcPr>
            <w:tcW w:w="920" w:type="dxa"/>
            <w:vAlign w:val="bottom"/>
          </w:tcPr>
          <w:p>
            <w:pPr>
              <w:spacing w:after="0"/>
              <w:rPr>
                <w:color w:val="auto"/>
                <w:sz w:val="10"/>
                <w:szCs w:val="10"/>
              </w:rPr>
            </w:pPr>
          </w:p>
        </w:tc>
        <w:tc>
          <w:tcPr>
            <w:tcW w:w="460" w:type="dxa"/>
            <w:vAlign w:val="bottom"/>
          </w:tcPr>
          <w:p>
            <w:pPr>
              <w:spacing w:after="0"/>
              <w:rPr>
                <w:color w:val="auto"/>
                <w:sz w:val="10"/>
                <w:szCs w:val="10"/>
              </w:rPr>
            </w:pPr>
          </w:p>
        </w:tc>
        <w:tc>
          <w:tcPr>
            <w:tcW w:w="1500" w:type="dxa"/>
            <w:vAlign w:val="bottom"/>
          </w:tcPr>
          <w:p>
            <w:pPr>
              <w:spacing w:after="0"/>
              <w:ind w:right="90"/>
              <w:jc w:val="center"/>
              <w:rPr>
                <w:color w:val="auto"/>
                <w:sz w:val="20"/>
                <w:szCs w:val="20"/>
              </w:rPr>
            </w:pPr>
            <w:r>
              <w:rPr>
                <w:rFonts w:ascii="Calibri" w:eastAsia="Calibri" w:hAnsi="Calibri" w:cs="Calibri"/>
                <w:b/>
                <w:bCs/>
                <w:color w:val="auto"/>
                <w:w w:val="94"/>
                <w:sz w:val="10"/>
                <w:szCs w:val="10"/>
              </w:rPr>
              <w:t>Total</w:t>
            </w:r>
          </w:p>
        </w:tc>
        <w:tc>
          <w:tcPr>
            <w:tcW w:w="380" w:type="dxa"/>
            <w:vAlign w:val="bottom"/>
          </w:tcPr>
          <w:p>
            <w:pPr>
              <w:spacing w:after="0"/>
              <w:rPr>
                <w:color w:val="auto"/>
                <w:sz w:val="10"/>
                <w:szCs w:val="10"/>
              </w:rPr>
            </w:pPr>
          </w:p>
        </w:tc>
        <w:tc>
          <w:tcPr>
            <w:tcW w:w="230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90"/>
        </w:trPr>
        <w:tc>
          <w:tcPr>
            <w:tcW w:w="3240" w:type="dxa"/>
            <w:vAlign w:val="bottom"/>
          </w:tcPr>
          <w:p>
            <w:pPr>
              <w:spacing w:after="0"/>
              <w:rPr>
                <w:color w:val="auto"/>
                <w:sz w:val="7"/>
                <w:szCs w:val="7"/>
              </w:rPr>
            </w:pPr>
          </w:p>
        </w:tc>
        <w:tc>
          <w:tcPr>
            <w:tcW w:w="2220" w:type="dxa"/>
            <w:vAlign w:val="bottom"/>
          </w:tcPr>
          <w:p>
            <w:pPr>
              <w:spacing w:after="0"/>
              <w:rPr>
                <w:color w:val="auto"/>
                <w:sz w:val="7"/>
                <w:szCs w:val="7"/>
              </w:rPr>
            </w:pPr>
          </w:p>
        </w:tc>
        <w:tc>
          <w:tcPr>
            <w:tcW w:w="280" w:type="dxa"/>
            <w:vAlign w:val="bottom"/>
          </w:tcPr>
          <w:p>
            <w:pPr>
              <w:spacing w:after="0"/>
              <w:rPr>
                <w:color w:val="auto"/>
                <w:sz w:val="7"/>
                <w:szCs w:val="7"/>
              </w:rPr>
            </w:pPr>
          </w:p>
        </w:tc>
        <w:tc>
          <w:tcPr>
            <w:tcW w:w="920" w:type="dxa"/>
            <w:vAlign w:val="bottom"/>
          </w:tcPr>
          <w:p>
            <w:pPr>
              <w:spacing w:after="0"/>
              <w:rPr>
                <w:color w:val="auto"/>
                <w:sz w:val="7"/>
                <w:szCs w:val="7"/>
              </w:rPr>
            </w:pPr>
          </w:p>
        </w:tc>
        <w:tc>
          <w:tcPr>
            <w:tcW w:w="460" w:type="dxa"/>
            <w:vAlign w:val="bottom"/>
          </w:tcPr>
          <w:p>
            <w:pPr>
              <w:spacing w:after="0"/>
              <w:rPr>
                <w:color w:val="auto"/>
                <w:sz w:val="7"/>
                <w:szCs w:val="7"/>
              </w:rPr>
            </w:pPr>
          </w:p>
        </w:tc>
        <w:tc>
          <w:tcPr>
            <w:tcW w:w="1500" w:type="dxa"/>
            <w:vAlign w:val="bottom"/>
          </w:tcPr>
          <w:p>
            <w:pPr>
              <w:spacing w:after="0" w:line="90" w:lineRule="exact"/>
              <w:ind w:right="90"/>
              <w:jc w:val="center"/>
              <w:rPr>
                <w:color w:val="auto"/>
                <w:sz w:val="20"/>
                <w:szCs w:val="20"/>
              </w:rPr>
            </w:pPr>
            <w:r>
              <w:rPr>
                <w:rFonts w:ascii="Calibri" w:eastAsia="Calibri" w:hAnsi="Calibri" w:cs="Calibri"/>
                <w:b/>
                <w:bCs/>
                <w:color w:val="auto"/>
                <w:sz w:val="8"/>
                <w:szCs w:val="8"/>
              </w:rPr>
              <w:t>Number of</w:t>
            </w:r>
          </w:p>
        </w:tc>
        <w:tc>
          <w:tcPr>
            <w:tcW w:w="380" w:type="dxa"/>
            <w:vAlign w:val="bottom"/>
          </w:tcPr>
          <w:p>
            <w:pPr>
              <w:spacing w:after="0"/>
              <w:rPr>
                <w:color w:val="auto"/>
                <w:sz w:val="7"/>
                <w:szCs w:val="7"/>
              </w:rPr>
            </w:pPr>
          </w:p>
        </w:tc>
        <w:tc>
          <w:tcPr>
            <w:tcW w:w="2300" w:type="dxa"/>
            <w:vAlign w:val="bottom"/>
          </w:tcPr>
          <w:p>
            <w:pPr>
              <w:spacing w:after="0"/>
              <w:rPr>
                <w:color w:val="auto"/>
                <w:sz w:val="7"/>
                <w:szCs w:val="7"/>
              </w:rPr>
            </w:pPr>
          </w:p>
        </w:tc>
        <w:tc>
          <w:tcPr>
            <w:tcW w:w="1" w:type="dxa"/>
            <w:vAlign w:val="bottom"/>
          </w:tcPr>
          <w:p>
            <w:pPr>
              <w:spacing w:after="0"/>
              <w:rPr>
                <w:color w:val="auto"/>
                <w:sz w:val="1"/>
                <w:szCs w:val="1"/>
              </w:rPr>
            </w:pPr>
          </w:p>
        </w:tc>
      </w:tr>
      <w:tr>
        <w:tblPrEx>
          <w:tblInd w:w="0" w:type="dxa"/>
          <w:tblLayout w:type="fixed"/>
        </w:tblPrEx>
        <w:trPr>
          <w:trHeight w:val="99"/>
        </w:trPr>
        <w:tc>
          <w:tcPr>
            <w:tcW w:w="3240" w:type="dxa"/>
            <w:vAlign w:val="bottom"/>
          </w:tcPr>
          <w:p>
            <w:pPr>
              <w:spacing w:after="0"/>
              <w:rPr>
                <w:color w:val="auto"/>
                <w:sz w:val="8"/>
                <w:szCs w:val="8"/>
              </w:rPr>
            </w:pPr>
          </w:p>
        </w:tc>
        <w:tc>
          <w:tcPr>
            <w:tcW w:w="2220" w:type="dxa"/>
            <w:vAlign w:val="bottom"/>
          </w:tcPr>
          <w:p>
            <w:pPr>
              <w:spacing w:after="0"/>
              <w:rPr>
                <w:color w:val="auto"/>
                <w:sz w:val="8"/>
                <w:szCs w:val="8"/>
              </w:rPr>
            </w:pPr>
          </w:p>
        </w:tc>
        <w:tc>
          <w:tcPr>
            <w:tcW w:w="280" w:type="dxa"/>
            <w:vAlign w:val="bottom"/>
          </w:tcPr>
          <w:p>
            <w:pPr>
              <w:spacing w:after="0"/>
              <w:rPr>
                <w:color w:val="auto"/>
                <w:sz w:val="8"/>
                <w:szCs w:val="8"/>
              </w:rPr>
            </w:pPr>
          </w:p>
        </w:tc>
        <w:tc>
          <w:tcPr>
            <w:tcW w:w="920" w:type="dxa"/>
            <w:vAlign w:val="bottom"/>
          </w:tcPr>
          <w:p>
            <w:pPr>
              <w:spacing w:after="0"/>
              <w:rPr>
                <w:color w:val="auto"/>
                <w:sz w:val="8"/>
                <w:szCs w:val="8"/>
              </w:rPr>
            </w:pPr>
          </w:p>
        </w:tc>
        <w:tc>
          <w:tcPr>
            <w:tcW w:w="460" w:type="dxa"/>
            <w:vAlign w:val="bottom"/>
          </w:tcPr>
          <w:p>
            <w:pPr>
              <w:spacing w:after="0"/>
              <w:rPr>
                <w:color w:val="auto"/>
                <w:sz w:val="8"/>
                <w:szCs w:val="8"/>
              </w:rPr>
            </w:pPr>
          </w:p>
        </w:tc>
        <w:tc>
          <w:tcPr>
            <w:tcW w:w="1500" w:type="dxa"/>
            <w:vAlign w:val="bottom"/>
          </w:tcPr>
          <w:p>
            <w:pPr>
              <w:spacing w:after="0" w:line="99" w:lineRule="exact"/>
              <w:ind w:right="110"/>
              <w:jc w:val="center"/>
              <w:rPr>
                <w:color w:val="auto"/>
                <w:sz w:val="20"/>
                <w:szCs w:val="20"/>
              </w:rPr>
            </w:pPr>
            <w:r>
              <w:rPr>
                <w:rFonts w:ascii="Calibri" w:eastAsia="Calibri" w:hAnsi="Calibri" w:cs="Calibri"/>
                <w:b/>
                <w:bCs/>
                <w:color w:val="auto"/>
                <w:w w:val="95"/>
                <w:sz w:val="10"/>
                <w:szCs w:val="10"/>
              </w:rPr>
              <w:t>Shares (or Units)</w:t>
            </w:r>
          </w:p>
        </w:tc>
        <w:tc>
          <w:tcPr>
            <w:tcW w:w="380" w:type="dxa"/>
            <w:vAlign w:val="bottom"/>
          </w:tcPr>
          <w:p>
            <w:pPr>
              <w:spacing w:after="0"/>
              <w:rPr>
                <w:color w:val="auto"/>
                <w:sz w:val="8"/>
                <w:szCs w:val="8"/>
              </w:rPr>
            </w:pPr>
          </w:p>
        </w:tc>
        <w:tc>
          <w:tcPr>
            <w:tcW w:w="2300" w:type="dxa"/>
            <w:vAlign w:val="bottom"/>
          </w:tcPr>
          <w:p>
            <w:pPr>
              <w:spacing w:after="0"/>
              <w:rPr>
                <w:color w:val="auto"/>
                <w:sz w:val="8"/>
                <w:szCs w:val="8"/>
              </w:rPr>
            </w:pPr>
          </w:p>
        </w:tc>
        <w:tc>
          <w:tcPr>
            <w:tcW w:w="1" w:type="dxa"/>
            <w:vAlign w:val="bottom"/>
          </w:tcPr>
          <w:p>
            <w:pPr>
              <w:spacing w:after="0"/>
              <w:rPr>
                <w:color w:val="auto"/>
                <w:sz w:val="1"/>
                <w:szCs w:val="1"/>
              </w:rPr>
            </w:pPr>
          </w:p>
        </w:tc>
      </w:tr>
      <w:tr>
        <w:tblPrEx>
          <w:tblInd w:w="0" w:type="dxa"/>
          <w:tblLayout w:type="fixed"/>
        </w:tblPrEx>
        <w:trPr>
          <w:trHeight w:val="99"/>
        </w:trPr>
        <w:tc>
          <w:tcPr>
            <w:tcW w:w="3240" w:type="dxa"/>
            <w:vAlign w:val="bottom"/>
          </w:tcPr>
          <w:p>
            <w:pPr>
              <w:spacing w:after="0"/>
              <w:rPr>
                <w:color w:val="auto"/>
                <w:sz w:val="8"/>
                <w:szCs w:val="8"/>
              </w:rPr>
            </w:pPr>
          </w:p>
        </w:tc>
        <w:tc>
          <w:tcPr>
            <w:tcW w:w="2220" w:type="dxa"/>
            <w:vAlign w:val="bottom"/>
          </w:tcPr>
          <w:p>
            <w:pPr>
              <w:spacing w:after="0" w:line="99" w:lineRule="exact"/>
              <w:ind w:left="451"/>
              <w:jc w:val="center"/>
              <w:rPr>
                <w:color w:val="auto"/>
                <w:sz w:val="20"/>
                <w:szCs w:val="20"/>
              </w:rPr>
            </w:pPr>
            <w:r>
              <w:rPr>
                <w:rFonts w:ascii="Calibri" w:eastAsia="Calibri" w:hAnsi="Calibri" w:cs="Calibri"/>
                <w:b/>
                <w:bCs/>
                <w:color w:val="auto"/>
                <w:w w:val="94"/>
                <w:sz w:val="10"/>
                <w:szCs w:val="10"/>
              </w:rPr>
              <w:t>Total</w:t>
            </w:r>
          </w:p>
        </w:tc>
        <w:tc>
          <w:tcPr>
            <w:tcW w:w="280" w:type="dxa"/>
            <w:vAlign w:val="bottom"/>
          </w:tcPr>
          <w:p>
            <w:pPr>
              <w:spacing w:after="0"/>
              <w:rPr>
                <w:color w:val="auto"/>
                <w:sz w:val="8"/>
                <w:szCs w:val="8"/>
              </w:rPr>
            </w:pPr>
          </w:p>
        </w:tc>
        <w:tc>
          <w:tcPr>
            <w:tcW w:w="920" w:type="dxa"/>
            <w:vMerge w:val="restart"/>
            <w:vAlign w:val="bottom"/>
          </w:tcPr>
          <w:p>
            <w:pPr>
              <w:spacing w:after="0"/>
              <w:ind w:right="107"/>
              <w:jc w:val="center"/>
              <w:rPr>
                <w:color w:val="auto"/>
                <w:sz w:val="20"/>
                <w:szCs w:val="20"/>
              </w:rPr>
            </w:pPr>
            <w:r>
              <w:rPr>
                <w:rFonts w:ascii="Calibri" w:eastAsia="Calibri" w:hAnsi="Calibri" w:cs="Calibri"/>
                <w:b/>
                <w:bCs/>
                <w:color w:val="auto"/>
                <w:w w:val="93"/>
                <w:sz w:val="10"/>
                <w:szCs w:val="10"/>
              </w:rPr>
              <w:t>Average</w:t>
            </w:r>
          </w:p>
        </w:tc>
        <w:tc>
          <w:tcPr>
            <w:tcW w:w="460" w:type="dxa"/>
            <w:vAlign w:val="bottom"/>
          </w:tcPr>
          <w:p>
            <w:pPr>
              <w:spacing w:after="0"/>
              <w:rPr>
                <w:color w:val="auto"/>
                <w:sz w:val="8"/>
                <w:szCs w:val="8"/>
              </w:rPr>
            </w:pPr>
          </w:p>
        </w:tc>
        <w:tc>
          <w:tcPr>
            <w:tcW w:w="1500" w:type="dxa"/>
            <w:vAlign w:val="bottom"/>
          </w:tcPr>
          <w:p>
            <w:pPr>
              <w:spacing w:after="0" w:line="99" w:lineRule="exact"/>
              <w:ind w:right="110"/>
              <w:jc w:val="center"/>
              <w:rPr>
                <w:color w:val="auto"/>
                <w:sz w:val="20"/>
                <w:szCs w:val="20"/>
              </w:rPr>
            </w:pPr>
            <w:r>
              <w:rPr>
                <w:rFonts w:ascii="Calibri" w:eastAsia="Calibri" w:hAnsi="Calibri" w:cs="Calibri"/>
                <w:b/>
                <w:bCs/>
                <w:color w:val="auto"/>
                <w:w w:val="94"/>
                <w:sz w:val="10"/>
                <w:szCs w:val="10"/>
              </w:rPr>
              <w:t>Purchased as Part</w:t>
            </w:r>
          </w:p>
        </w:tc>
        <w:tc>
          <w:tcPr>
            <w:tcW w:w="380" w:type="dxa"/>
            <w:vAlign w:val="bottom"/>
          </w:tcPr>
          <w:p>
            <w:pPr>
              <w:spacing w:after="0"/>
              <w:rPr>
                <w:color w:val="auto"/>
                <w:sz w:val="8"/>
                <w:szCs w:val="8"/>
              </w:rPr>
            </w:pPr>
          </w:p>
        </w:tc>
        <w:tc>
          <w:tcPr>
            <w:tcW w:w="2300" w:type="dxa"/>
            <w:vAlign w:val="bottom"/>
          </w:tcPr>
          <w:p>
            <w:pPr>
              <w:spacing w:after="0" w:line="99" w:lineRule="exact"/>
              <w:ind w:right="608"/>
              <w:jc w:val="center"/>
              <w:rPr>
                <w:color w:val="auto"/>
                <w:sz w:val="20"/>
                <w:szCs w:val="20"/>
              </w:rPr>
            </w:pPr>
            <w:r>
              <w:rPr>
                <w:rFonts w:ascii="Calibri" w:eastAsia="Calibri" w:hAnsi="Calibri" w:cs="Calibri"/>
                <w:b/>
                <w:bCs/>
                <w:color w:val="auto"/>
                <w:w w:val="94"/>
                <w:sz w:val="10"/>
                <w:szCs w:val="10"/>
              </w:rPr>
              <w:t>Maximum Number (or</w:t>
            </w:r>
          </w:p>
        </w:tc>
        <w:tc>
          <w:tcPr>
            <w:tcW w:w="1" w:type="dxa"/>
            <w:vAlign w:val="bottom"/>
          </w:tcPr>
          <w:p>
            <w:pPr>
              <w:spacing w:after="0"/>
              <w:rPr>
                <w:color w:val="auto"/>
                <w:sz w:val="1"/>
                <w:szCs w:val="1"/>
              </w:rPr>
            </w:pPr>
          </w:p>
        </w:tc>
      </w:tr>
      <w:tr>
        <w:tblPrEx>
          <w:tblInd w:w="0" w:type="dxa"/>
          <w:tblLayout w:type="fixed"/>
        </w:tblPrEx>
        <w:trPr>
          <w:trHeight w:val="90"/>
        </w:trPr>
        <w:tc>
          <w:tcPr>
            <w:tcW w:w="3240" w:type="dxa"/>
            <w:vAlign w:val="bottom"/>
          </w:tcPr>
          <w:p>
            <w:pPr>
              <w:spacing w:after="0"/>
              <w:rPr>
                <w:color w:val="auto"/>
                <w:sz w:val="7"/>
                <w:szCs w:val="7"/>
              </w:rPr>
            </w:pPr>
          </w:p>
        </w:tc>
        <w:tc>
          <w:tcPr>
            <w:tcW w:w="2220" w:type="dxa"/>
            <w:vAlign w:val="bottom"/>
          </w:tcPr>
          <w:p>
            <w:pPr>
              <w:spacing w:after="0" w:line="90" w:lineRule="exact"/>
              <w:ind w:left="411"/>
              <w:jc w:val="center"/>
              <w:rPr>
                <w:color w:val="auto"/>
                <w:sz w:val="20"/>
                <w:szCs w:val="20"/>
              </w:rPr>
            </w:pPr>
            <w:r>
              <w:rPr>
                <w:rFonts w:ascii="Calibri" w:eastAsia="Calibri" w:hAnsi="Calibri" w:cs="Calibri"/>
                <w:b/>
                <w:bCs/>
                <w:color w:val="auto"/>
                <w:sz w:val="8"/>
                <w:szCs w:val="8"/>
              </w:rPr>
              <w:t>Number</w:t>
            </w:r>
          </w:p>
        </w:tc>
        <w:tc>
          <w:tcPr>
            <w:tcW w:w="280" w:type="dxa"/>
            <w:vAlign w:val="bottom"/>
          </w:tcPr>
          <w:p>
            <w:pPr>
              <w:spacing w:after="0"/>
              <w:rPr>
                <w:color w:val="auto"/>
                <w:sz w:val="7"/>
                <w:szCs w:val="7"/>
              </w:rPr>
            </w:pPr>
          </w:p>
        </w:tc>
        <w:tc>
          <w:tcPr>
            <w:tcW w:w="920" w:type="dxa"/>
            <w:vMerge/>
            <w:vAlign w:val="bottom"/>
          </w:tcPr>
          <w:p>
            <w:pPr>
              <w:spacing w:after="0"/>
              <w:rPr>
                <w:color w:val="auto"/>
                <w:sz w:val="7"/>
                <w:szCs w:val="7"/>
              </w:rPr>
            </w:pPr>
          </w:p>
        </w:tc>
        <w:tc>
          <w:tcPr>
            <w:tcW w:w="460" w:type="dxa"/>
            <w:vAlign w:val="bottom"/>
          </w:tcPr>
          <w:p>
            <w:pPr>
              <w:spacing w:after="0"/>
              <w:rPr>
                <w:color w:val="auto"/>
                <w:sz w:val="7"/>
                <w:szCs w:val="7"/>
              </w:rPr>
            </w:pPr>
          </w:p>
        </w:tc>
        <w:tc>
          <w:tcPr>
            <w:tcW w:w="1500" w:type="dxa"/>
            <w:vAlign w:val="bottom"/>
          </w:tcPr>
          <w:p>
            <w:pPr>
              <w:spacing w:after="0" w:line="90" w:lineRule="exact"/>
              <w:ind w:right="110"/>
              <w:jc w:val="center"/>
              <w:rPr>
                <w:color w:val="auto"/>
                <w:sz w:val="20"/>
                <w:szCs w:val="20"/>
              </w:rPr>
            </w:pPr>
            <w:r>
              <w:rPr>
                <w:rFonts w:ascii="Calibri" w:eastAsia="Calibri" w:hAnsi="Calibri" w:cs="Calibri"/>
                <w:b/>
                <w:bCs/>
                <w:color w:val="auto"/>
                <w:sz w:val="8"/>
                <w:szCs w:val="8"/>
              </w:rPr>
              <w:t>of Publicly</w:t>
            </w:r>
          </w:p>
        </w:tc>
        <w:tc>
          <w:tcPr>
            <w:tcW w:w="380" w:type="dxa"/>
            <w:vAlign w:val="bottom"/>
          </w:tcPr>
          <w:p>
            <w:pPr>
              <w:spacing w:after="0"/>
              <w:rPr>
                <w:color w:val="auto"/>
                <w:sz w:val="7"/>
                <w:szCs w:val="7"/>
              </w:rPr>
            </w:pPr>
          </w:p>
        </w:tc>
        <w:tc>
          <w:tcPr>
            <w:tcW w:w="2300" w:type="dxa"/>
            <w:vAlign w:val="bottom"/>
          </w:tcPr>
          <w:p>
            <w:pPr>
              <w:spacing w:after="0" w:line="90" w:lineRule="exact"/>
              <w:ind w:right="608"/>
              <w:jc w:val="center"/>
              <w:rPr>
                <w:color w:val="auto"/>
                <w:sz w:val="20"/>
                <w:szCs w:val="20"/>
              </w:rPr>
            </w:pPr>
            <w:r>
              <w:rPr>
                <w:rFonts w:ascii="Calibri" w:eastAsia="Calibri" w:hAnsi="Calibri" w:cs="Calibri"/>
                <w:b/>
                <w:bCs/>
                <w:color w:val="auto"/>
                <w:sz w:val="8"/>
                <w:szCs w:val="8"/>
              </w:rPr>
              <w:t>Approximate Dollar Value) of</w:t>
            </w:r>
          </w:p>
        </w:tc>
        <w:tc>
          <w:tcPr>
            <w:tcW w:w="1" w:type="dxa"/>
            <w:vAlign w:val="bottom"/>
          </w:tcPr>
          <w:p>
            <w:pPr>
              <w:spacing w:after="0"/>
              <w:rPr>
                <w:color w:val="auto"/>
                <w:sz w:val="1"/>
                <w:szCs w:val="1"/>
              </w:rPr>
            </w:pPr>
          </w:p>
        </w:tc>
      </w:tr>
      <w:tr>
        <w:tblPrEx>
          <w:tblInd w:w="0" w:type="dxa"/>
          <w:tblLayout w:type="fixed"/>
        </w:tblPrEx>
        <w:trPr>
          <w:trHeight w:val="90"/>
        </w:trPr>
        <w:tc>
          <w:tcPr>
            <w:tcW w:w="3240" w:type="dxa"/>
            <w:vAlign w:val="bottom"/>
          </w:tcPr>
          <w:p>
            <w:pPr>
              <w:spacing w:after="0"/>
              <w:rPr>
                <w:color w:val="auto"/>
                <w:sz w:val="7"/>
                <w:szCs w:val="7"/>
              </w:rPr>
            </w:pPr>
          </w:p>
        </w:tc>
        <w:tc>
          <w:tcPr>
            <w:tcW w:w="2220" w:type="dxa"/>
            <w:vAlign w:val="bottom"/>
          </w:tcPr>
          <w:p>
            <w:pPr>
              <w:spacing w:after="0" w:line="90" w:lineRule="exact"/>
              <w:ind w:left="431"/>
              <w:jc w:val="center"/>
              <w:rPr>
                <w:color w:val="auto"/>
                <w:sz w:val="20"/>
                <w:szCs w:val="20"/>
              </w:rPr>
            </w:pPr>
            <w:r>
              <w:rPr>
                <w:rFonts w:ascii="Calibri" w:eastAsia="Calibri" w:hAnsi="Calibri" w:cs="Calibri"/>
                <w:b/>
                <w:bCs/>
                <w:color w:val="auto"/>
                <w:sz w:val="8"/>
                <w:szCs w:val="8"/>
              </w:rPr>
              <w:t>of Shares</w:t>
            </w:r>
          </w:p>
        </w:tc>
        <w:tc>
          <w:tcPr>
            <w:tcW w:w="280" w:type="dxa"/>
            <w:vAlign w:val="bottom"/>
          </w:tcPr>
          <w:p>
            <w:pPr>
              <w:spacing w:after="0"/>
              <w:rPr>
                <w:color w:val="auto"/>
                <w:sz w:val="7"/>
                <w:szCs w:val="7"/>
              </w:rPr>
            </w:pPr>
          </w:p>
        </w:tc>
        <w:tc>
          <w:tcPr>
            <w:tcW w:w="920" w:type="dxa"/>
            <w:vAlign w:val="bottom"/>
          </w:tcPr>
          <w:p>
            <w:pPr>
              <w:spacing w:after="0" w:line="90" w:lineRule="exact"/>
              <w:ind w:right="107"/>
              <w:jc w:val="center"/>
              <w:rPr>
                <w:color w:val="auto"/>
                <w:sz w:val="20"/>
                <w:szCs w:val="20"/>
              </w:rPr>
            </w:pPr>
            <w:r>
              <w:rPr>
                <w:rFonts w:ascii="Calibri" w:eastAsia="Calibri" w:hAnsi="Calibri" w:cs="Calibri"/>
                <w:b/>
                <w:bCs/>
                <w:color w:val="auto"/>
                <w:sz w:val="8"/>
                <w:szCs w:val="8"/>
              </w:rPr>
              <w:t>Price</w:t>
            </w:r>
          </w:p>
        </w:tc>
        <w:tc>
          <w:tcPr>
            <w:tcW w:w="460" w:type="dxa"/>
            <w:vAlign w:val="bottom"/>
          </w:tcPr>
          <w:p>
            <w:pPr>
              <w:spacing w:after="0"/>
              <w:rPr>
                <w:color w:val="auto"/>
                <w:sz w:val="7"/>
                <w:szCs w:val="7"/>
              </w:rPr>
            </w:pPr>
          </w:p>
        </w:tc>
        <w:tc>
          <w:tcPr>
            <w:tcW w:w="1500" w:type="dxa"/>
            <w:vAlign w:val="bottom"/>
          </w:tcPr>
          <w:p>
            <w:pPr>
              <w:spacing w:after="0" w:line="90" w:lineRule="exact"/>
              <w:ind w:right="110"/>
              <w:jc w:val="center"/>
              <w:rPr>
                <w:color w:val="auto"/>
                <w:sz w:val="20"/>
                <w:szCs w:val="20"/>
              </w:rPr>
            </w:pPr>
            <w:r>
              <w:rPr>
                <w:rFonts w:ascii="Calibri" w:eastAsia="Calibri" w:hAnsi="Calibri" w:cs="Calibri"/>
                <w:b/>
                <w:bCs/>
                <w:color w:val="auto"/>
                <w:sz w:val="8"/>
                <w:szCs w:val="8"/>
              </w:rPr>
              <w:t>Announced</w:t>
            </w:r>
          </w:p>
        </w:tc>
        <w:tc>
          <w:tcPr>
            <w:tcW w:w="380" w:type="dxa"/>
            <w:vAlign w:val="bottom"/>
          </w:tcPr>
          <w:p>
            <w:pPr>
              <w:spacing w:after="0"/>
              <w:rPr>
                <w:color w:val="auto"/>
                <w:sz w:val="7"/>
                <w:szCs w:val="7"/>
              </w:rPr>
            </w:pPr>
          </w:p>
        </w:tc>
        <w:tc>
          <w:tcPr>
            <w:tcW w:w="2300" w:type="dxa"/>
            <w:vAlign w:val="bottom"/>
          </w:tcPr>
          <w:p>
            <w:pPr>
              <w:spacing w:after="0" w:line="90" w:lineRule="exact"/>
              <w:ind w:right="608"/>
              <w:jc w:val="center"/>
              <w:rPr>
                <w:color w:val="auto"/>
                <w:sz w:val="20"/>
                <w:szCs w:val="20"/>
              </w:rPr>
            </w:pPr>
            <w:r>
              <w:rPr>
                <w:rFonts w:ascii="Calibri" w:eastAsia="Calibri" w:hAnsi="Calibri" w:cs="Calibri"/>
                <w:b/>
                <w:bCs/>
                <w:color w:val="auto"/>
                <w:sz w:val="8"/>
                <w:szCs w:val="8"/>
              </w:rPr>
              <w:t>Shares (or Units) that May</w:t>
            </w:r>
          </w:p>
        </w:tc>
        <w:tc>
          <w:tcPr>
            <w:tcW w:w="1" w:type="dxa"/>
            <w:vAlign w:val="bottom"/>
          </w:tcPr>
          <w:p>
            <w:pPr>
              <w:spacing w:after="0"/>
              <w:rPr>
                <w:color w:val="auto"/>
                <w:sz w:val="1"/>
                <w:szCs w:val="1"/>
              </w:rPr>
            </w:pPr>
          </w:p>
        </w:tc>
      </w:tr>
      <w:tr>
        <w:tblPrEx>
          <w:tblInd w:w="0" w:type="dxa"/>
          <w:tblLayout w:type="fixed"/>
        </w:tblPrEx>
        <w:trPr>
          <w:trHeight w:val="99"/>
        </w:trPr>
        <w:tc>
          <w:tcPr>
            <w:tcW w:w="3240" w:type="dxa"/>
            <w:vAlign w:val="bottom"/>
          </w:tcPr>
          <w:p>
            <w:pPr>
              <w:spacing w:after="0"/>
              <w:rPr>
                <w:color w:val="auto"/>
                <w:sz w:val="8"/>
                <w:szCs w:val="8"/>
              </w:rPr>
            </w:pPr>
          </w:p>
        </w:tc>
        <w:tc>
          <w:tcPr>
            <w:tcW w:w="2220" w:type="dxa"/>
            <w:vAlign w:val="bottom"/>
          </w:tcPr>
          <w:p>
            <w:pPr>
              <w:spacing w:after="0" w:line="99" w:lineRule="exact"/>
              <w:ind w:left="431"/>
              <w:jc w:val="center"/>
              <w:rPr>
                <w:color w:val="auto"/>
                <w:sz w:val="20"/>
                <w:szCs w:val="20"/>
              </w:rPr>
            </w:pPr>
            <w:r>
              <w:rPr>
                <w:rFonts w:ascii="Calibri" w:eastAsia="Calibri" w:hAnsi="Calibri" w:cs="Calibri"/>
                <w:b/>
                <w:bCs/>
                <w:color w:val="auto"/>
                <w:w w:val="96"/>
                <w:sz w:val="10"/>
                <w:szCs w:val="10"/>
              </w:rPr>
              <w:t>(or Units)</w:t>
            </w:r>
          </w:p>
        </w:tc>
        <w:tc>
          <w:tcPr>
            <w:tcW w:w="280" w:type="dxa"/>
            <w:vAlign w:val="bottom"/>
          </w:tcPr>
          <w:p>
            <w:pPr>
              <w:spacing w:after="0"/>
              <w:rPr>
                <w:color w:val="auto"/>
                <w:sz w:val="8"/>
                <w:szCs w:val="8"/>
              </w:rPr>
            </w:pPr>
          </w:p>
        </w:tc>
        <w:tc>
          <w:tcPr>
            <w:tcW w:w="920" w:type="dxa"/>
            <w:vAlign w:val="bottom"/>
          </w:tcPr>
          <w:p>
            <w:pPr>
              <w:spacing w:after="0" w:line="99" w:lineRule="exact"/>
              <w:ind w:right="87"/>
              <w:jc w:val="center"/>
              <w:rPr>
                <w:color w:val="auto"/>
                <w:sz w:val="20"/>
                <w:szCs w:val="20"/>
              </w:rPr>
            </w:pPr>
            <w:r>
              <w:rPr>
                <w:rFonts w:ascii="Calibri" w:eastAsia="Calibri" w:hAnsi="Calibri" w:cs="Calibri"/>
                <w:b/>
                <w:bCs/>
                <w:color w:val="auto"/>
                <w:w w:val="96"/>
                <w:sz w:val="10"/>
                <w:szCs w:val="10"/>
              </w:rPr>
              <w:t>Paid per Share</w:t>
            </w:r>
          </w:p>
        </w:tc>
        <w:tc>
          <w:tcPr>
            <w:tcW w:w="460" w:type="dxa"/>
            <w:vAlign w:val="bottom"/>
          </w:tcPr>
          <w:p>
            <w:pPr>
              <w:spacing w:after="0"/>
              <w:rPr>
                <w:color w:val="auto"/>
                <w:sz w:val="8"/>
                <w:szCs w:val="8"/>
              </w:rPr>
            </w:pPr>
          </w:p>
        </w:tc>
        <w:tc>
          <w:tcPr>
            <w:tcW w:w="1500" w:type="dxa"/>
            <w:vAlign w:val="bottom"/>
          </w:tcPr>
          <w:p>
            <w:pPr>
              <w:spacing w:after="0" w:line="99" w:lineRule="exact"/>
              <w:ind w:right="90"/>
              <w:jc w:val="center"/>
              <w:rPr>
                <w:color w:val="auto"/>
                <w:sz w:val="20"/>
                <w:szCs w:val="20"/>
              </w:rPr>
            </w:pPr>
            <w:r>
              <w:rPr>
                <w:rFonts w:ascii="Calibri" w:eastAsia="Calibri" w:hAnsi="Calibri" w:cs="Calibri"/>
                <w:b/>
                <w:bCs/>
                <w:color w:val="auto"/>
                <w:w w:val="96"/>
                <w:sz w:val="10"/>
                <w:szCs w:val="10"/>
              </w:rPr>
              <w:t>Plans or</w:t>
            </w:r>
          </w:p>
        </w:tc>
        <w:tc>
          <w:tcPr>
            <w:tcW w:w="380" w:type="dxa"/>
            <w:vAlign w:val="bottom"/>
          </w:tcPr>
          <w:p>
            <w:pPr>
              <w:spacing w:after="0"/>
              <w:rPr>
                <w:color w:val="auto"/>
                <w:sz w:val="8"/>
                <w:szCs w:val="8"/>
              </w:rPr>
            </w:pPr>
          </w:p>
        </w:tc>
        <w:tc>
          <w:tcPr>
            <w:tcW w:w="2300" w:type="dxa"/>
            <w:vAlign w:val="bottom"/>
          </w:tcPr>
          <w:p>
            <w:pPr>
              <w:spacing w:after="0" w:line="99" w:lineRule="exact"/>
              <w:ind w:right="588"/>
              <w:jc w:val="center"/>
              <w:rPr>
                <w:color w:val="auto"/>
                <w:sz w:val="20"/>
                <w:szCs w:val="20"/>
              </w:rPr>
            </w:pPr>
            <w:r>
              <w:rPr>
                <w:rFonts w:ascii="Calibri" w:eastAsia="Calibri" w:hAnsi="Calibri" w:cs="Calibri"/>
                <w:b/>
                <w:bCs/>
                <w:color w:val="auto"/>
                <w:w w:val="94"/>
                <w:sz w:val="10"/>
                <w:szCs w:val="10"/>
              </w:rPr>
              <w:t>Yet Be Purchased Under the</w:t>
            </w:r>
          </w:p>
        </w:tc>
        <w:tc>
          <w:tcPr>
            <w:tcW w:w="1" w:type="dxa"/>
            <w:vAlign w:val="bottom"/>
          </w:tcPr>
          <w:p>
            <w:pPr>
              <w:spacing w:after="0"/>
              <w:rPr>
                <w:color w:val="auto"/>
                <w:sz w:val="1"/>
                <w:szCs w:val="1"/>
              </w:rPr>
            </w:pPr>
          </w:p>
        </w:tc>
      </w:tr>
      <w:tr>
        <w:tblPrEx>
          <w:tblInd w:w="0" w:type="dxa"/>
          <w:tblLayout w:type="fixed"/>
        </w:tblPrEx>
        <w:trPr>
          <w:trHeight w:val="121"/>
        </w:trPr>
        <w:tc>
          <w:tcPr>
            <w:tcW w:w="3240" w:type="dxa"/>
            <w:vAlign w:val="bottom"/>
          </w:tcPr>
          <w:p>
            <w:pPr>
              <w:spacing w:after="0" w:line="112" w:lineRule="exact"/>
              <w:ind w:left="1820"/>
              <w:rPr>
                <w:color w:val="auto"/>
                <w:sz w:val="20"/>
                <w:szCs w:val="20"/>
              </w:rPr>
            </w:pPr>
            <w:r>
              <w:rPr>
                <w:rFonts w:ascii="Calibri" w:eastAsia="Calibri" w:hAnsi="Calibri" w:cs="Calibri"/>
                <w:b/>
                <w:bCs/>
                <w:color w:val="auto"/>
                <w:sz w:val="10"/>
                <w:szCs w:val="10"/>
              </w:rPr>
              <w:t>Period</w:t>
            </w:r>
          </w:p>
        </w:tc>
        <w:tc>
          <w:tcPr>
            <w:tcW w:w="2220" w:type="dxa"/>
            <w:vAlign w:val="bottom"/>
          </w:tcPr>
          <w:p>
            <w:pPr>
              <w:spacing w:after="0" w:line="121" w:lineRule="exact"/>
              <w:ind w:left="431"/>
              <w:jc w:val="center"/>
              <w:rPr>
                <w:color w:val="auto"/>
                <w:sz w:val="20"/>
                <w:szCs w:val="20"/>
              </w:rPr>
            </w:pPr>
            <w:r>
              <w:rPr>
                <w:rFonts w:ascii="Calibri" w:eastAsia="Calibri" w:hAnsi="Calibri" w:cs="Calibri"/>
                <w:b/>
                <w:bCs/>
                <w:color w:val="auto"/>
                <w:w w:val="97"/>
                <w:sz w:val="10"/>
                <w:szCs w:val="10"/>
              </w:rPr>
              <w:t>Purchased</w:t>
            </w:r>
          </w:p>
        </w:tc>
        <w:tc>
          <w:tcPr>
            <w:tcW w:w="280" w:type="dxa"/>
            <w:vAlign w:val="bottom"/>
          </w:tcPr>
          <w:p>
            <w:pPr>
              <w:spacing w:after="0"/>
              <w:rPr>
                <w:color w:val="auto"/>
                <w:sz w:val="10"/>
                <w:szCs w:val="10"/>
              </w:rPr>
            </w:pPr>
          </w:p>
        </w:tc>
        <w:tc>
          <w:tcPr>
            <w:tcW w:w="920" w:type="dxa"/>
            <w:vAlign w:val="bottom"/>
          </w:tcPr>
          <w:p>
            <w:pPr>
              <w:spacing w:after="0" w:line="112" w:lineRule="exact"/>
              <w:ind w:right="87"/>
              <w:jc w:val="center"/>
              <w:rPr>
                <w:color w:val="auto"/>
                <w:sz w:val="20"/>
                <w:szCs w:val="20"/>
              </w:rPr>
            </w:pPr>
            <w:r>
              <w:rPr>
                <w:rFonts w:ascii="Calibri" w:eastAsia="Calibri" w:hAnsi="Calibri" w:cs="Calibri"/>
                <w:b/>
                <w:bCs/>
                <w:color w:val="auto"/>
                <w:w w:val="96"/>
                <w:sz w:val="10"/>
                <w:szCs w:val="10"/>
              </w:rPr>
              <w:t>(or Unit)</w:t>
            </w:r>
          </w:p>
        </w:tc>
        <w:tc>
          <w:tcPr>
            <w:tcW w:w="460" w:type="dxa"/>
            <w:vAlign w:val="bottom"/>
          </w:tcPr>
          <w:p>
            <w:pPr>
              <w:spacing w:after="0"/>
              <w:rPr>
                <w:color w:val="auto"/>
                <w:sz w:val="10"/>
                <w:szCs w:val="10"/>
              </w:rPr>
            </w:pPr>
          </w:p>
        </w:tc>
        <w:tc>
          <w:tcPr>
            <w:tcW w:w="1500" w:type="dxa"/>
            <w:vAlign w:val="bottom"/>
          </w:tcPr>
          <w:p>
            <w:pPr>
              <w:spacing w:after="0" w:line="121" w:lineRule="exact"/>
              <w:ind w:right="110"/>
              <w:jc w:val="center"/>
              <w:rPr>
                <w:color w:val="auto"/>
                <w:sz w:val="20"/>
                <w:szCs w:val="20"/>
              </w:rPr>
            </w:pPr>
            <w:r>
              <w:rPr>
                <w:rFonts w:ascii="Calibri" w:eastAsia="Calibri" w:hAnsi="Calibri" w:cs="Calibri"/>
                <w:b/>
                <w:bCs/>
                <w:color w:val="auto"/>
                <w:w w:val="95"/>
                <w:sz w:val="10"/>
                <w:szCs w:val="10"/>
              </w:rPr>
              <w:t>Programs</w:t>
            </w:r>
          </w:p>
        </w:tc>
        <w:tc>
          <w:tcPr>
            <w:tcW w:w="380" w:type="dxa"/>
            <w:vAlign w:val="bottom"/>
          </w:tcPr>
          <w:p>
            <w:pPr>
              <w:spacing w:after="0"/>
              <w:rPr>
                <w:color w:val="auto"/>
                <w:sz w:val="10"/>
                <w:szCs w:val="10"/>
              </w:rPr>
            </w:pPr>
          </w:p>
        </w:tc>
        <w:tc>
          <w:tcPr>
            <w:tcW w:w="2300" w:type="dxa"/>
            <w:vAlign w:val="bottom"/>
          </w:tcPr>
          <w:p>
            <w:pPr>
              <w:spacing w:after="0" w:line="121" w:lineRule="exact"/>
              <w:ind w:right="608"/>
              <w:jc w:val="center"/>
              <w:rPr>
                <w:color w:val="auto"/>
                <w:sz w:val="20"/>
                <w:szCs w:val="20"/>
              </w:rPr>
            </w:pPr>
            <w:r>
              <w:rPr>
                <w:rFonts w:ascii="Calibri" w:eastAsia="Calibri" w:hAnsi="Calibri" w:cs="Calibri"/>
                <w:b/>
                <w:bCs/>
                <w:color w:val="auto"/>
                <w:w w:val="95"/>
                <w:sz w:val="10"/>
                <w:szCs w:val="10"/>
              </w:rPr>
              <w:t>Plans or Programs</w:t>
            </w:r>
          </w:p>
        </w:tc>
        <w:tc>
          <w:tcPr>
            <w:tcW w:w="1" w:type="dxa"/>
            <w:vAlign w:val="bottom"/>
          </w:tcPr>
          <w:p>
            <w:pPr>
              <w:spacing w:after="0"/>
              <w:rPr>
                <w:color w:val="auto"/>
                <w:sz w:val="1"/>
                <w:szCs w:val="1"/>
              </w:rPr>
            </w:pPr>
          </w:p>
        </w:tc>
      </w:tr>
      <w:tr>
        <w:tblPrEx>
          <w:tblInd w:w="0" w:type="dxa"/>
          <w:tblLayout w:type="fixed"/>
        </w:tblPrEx>
        <w:trPr>
          <w:trHeight w:val="158"/>
        </w:trPr>
        <w:tc>
          <w:tcPr>
            <w:tcW w:w="3240" w:type="dxa"/>
            <w:vAlign w:val="bottom"/>
          </w:tcPr>
          <w:p>
            <w:pPr>
              <w:spacing w:after="0"/>
              <w:rPr>
                <w:color w:val="auto"/>
                <w:sz w:val="20"/>
                <w:szCs w:val="20"/>
              </w:rPr>
            </w:pPr>
            <w:r>
              <w:rPr>
                <w:rFonts w:ascii="Calibri" w:eastAsia="Calibri" w:hAnsi="Calibri" w:cs="Calibri"/>
                <w:color w:val="auto"/>
                <w:sz w:val="12"/>
                <w:szCs w:val="12"/>
              </w:rPr>
              <w:t>October 1, 2024 - October 31, 2024</w:t>
            </w:r>
          </w:p>
        </w:tc>
        <w:tc>
          <w:tcPr>
            <w:tcW w:w="2220" w:type="dxa"/>
            <w:vAlign w:val="bottom"/>
          </w:tcPr>
          <w:p>
            <w:pPr>
              <w:spacing w:after="0" w:line="158" w:lineRule="exact"/>
              <w:ind w:right="71"/>
              <w:jc w:val="right"/>
              <w:rPr>
                <w:color w:val="auto"/>
                <w:sz w:val="20"/>
                <w:szCs w:val="20"/>
              </w:rPr>
            </w:pPr>
            <w:r>
              <w:rPr>
                <w:rFonts w:ascii="Calibri" w:eastAsia="Calibri" w:hAnsi="Calibri" w:cs="Calibri"/>
                <w:color w:val="auto"/>
                <w:sz w:val="17"/>
                <w:szCs w:val="17"/>
                <w:vertAlign w:val="subscript"/>
              </w:rPr>
              <w:t>978</w:t>
            </w:r>
            <w:r>
              <w:rPr>
                <w:rFonts w:ascii="Calibri" w:eastAsia="Calibri" w:hAnsi="Calibri" w:cs="Calibri"/>
                <w:color w:val="auto"/>
                <w:sz w:val="7"/>
                <w:szCs w:val="7"/>
              </w:rPr>
              <w:t xml:space="preserve"> (1)</w:t>
            </w:r>
          </w:p>
        </w:tc>
        <w:tc>
          <w:tcPr>
            <w:tcW w:w="280" w:type="dxa"/>
            <w:vAlign w:val="bottom"/>
          </w:tcPr>
          <w:p>
            <w:pPr>
              <w:spacing w:after="0"/>
              <w:ind w:right="40"/>
              <w:jc w:val="right"/>
              <w:rPr>
                <w:color w:val="auto"/>
                <w:sz w:val="20"/>
                <w:szCs w:val="20"/>
              </w:rPr>
            </w:pPr>
            <w:r>
              <w:rPr>
                <w:rFonts w:ascii="Calibri" w:eastAsia="Calibri" w:hAnsi="Calibri" w:cs="Calibri"/>
                <w:color w:val="auto"/>
                <w:sz w:val="12"/>
                <w:szCs w:val="12"/>
              </w:rPr>
              <w:t>$</w:t>
            </w:r>
          </w:p>
        </w:tc>
        <w:tc>
          <w:tcPr>
            <w:tcW w:w="920" w:type="dxa"/>
            <w:vAlign w:val="bottom"/>
          </w:tcPr>
          <w:p>
            <w:pPr>
              <w:spacing w:after="0"/>
              <w:jc w:val="right"/>
              <w:rPr>
                <w:color w:val="auto"/>
                <w:sz w:val="20"/>
                <w:szCs w:val="20"/>
              </w:rPr>
            </w:pPr>
            <w:r>
              <w:rPr>
                <w:rFonts w:ascii="Calibri" w:eastAsia="Calibri" w:hAnsi="Calibri" w:cs="Calibri"/>
                <w:color w:val="auto"/>
                <w:sz w:val="12"/>
                <w:szCs w:val="12"/>
              </w:rPr>
              <w:t>194.17</w:t>
            </w:r>
          </w:p>
        </w:tc>
        <w:tc>
          <w:tcPr>
            <w:tcW w:w="460" w:type="dxa"/>
            <w:vAlign w:val="bottom"/>
          </w:tcPr>
          <w:p>
            <w:pPr>
              <w:spacing w:after="0" w:line="95" w:lineRule="exact"/>
              <w:ind w:right="301"/>
              <w:jc w:val="right"/>
              <w:rPr>
                <w:color w:val="auto"/>
                <w:sz w:val="20"/>
                <w:szCs w:val="20"/>
              </w:rPr>
            </w:pPr>
            <w:r>
              <w:rPr>
                <w:rFonts w:ascii="Calibri" w:eastAsia="Calibri" w:hAnsi="Calibri" w:cs="Calibri"/>
                <w:color w:val="auto"/>
                <w:sz w:val="8"/>
                <w:szCs w:val="8"/>
              </w:rPr>
              <w:t>(1)</w:t>
            </w:r>
          </w:p>
        </w:tc>
        <w:tc>
          <w:tcPr>
            <w:tcW w:w="1500" w:type="dxa"/>
            <w:vAlign w:val="bottom"/>
          </w:tcPr>
          <w:p>
            <w:pPr>
              <w:spacing w:after="0"/>
              <w:ind w:right="30"/>
              <w:jc w:val="right"/>
              <w:rPr>
                <w:color w:val="auto"/>
                <w:sz w:val="20"/>
                <w:szCs w:val="20"/>
              </w:rPr>
            </w:pPr>
            <w:r>
              <w:rPr>
                <w:rFonts w:ascii="Calibri" w:eastAsia="Calibri" w:hAnsi="Calibri" w:cs="Calibri"/>
                <w:color w:val="auto"/>
                <w:sz w:val="12"/>
                <w:szCs w:val="12"/>
              </w:rPr>
              <w:t>—</w:t>
            </w:r>
          </w:p>
        </w:tc>
        <w:tc>
          <w:tcPr>
            <w:tcW w:w="380" w:type="dxa"/>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2300" w:type="dxa"/>
            <w:vAlign w:val="bottom"/>
          </w:tcPr>
          <w:p>
            <w:pPr>
              <w:spacing w:after="0"/>
              <w:ind w:right="328"/>
              <w:jc w:val="right"/>
              <w:rPr>
                <w:color w:val="auto"/>
                <w:sz w:val="20"/>
                <w:szCs w:val="20"/>
              </w:rPr>
            </w:pPr>
            <w:r>
              <w:rPr>
                <w:rFonts w:ascii="Calibri" w:eastAsia="Calibri" w:hAnsi="Calibri" w:cs="Calibri"/>
                <w:color w:val="auto"/>
                <w:sz w:val="12"/>
                <w:szCs w:val="12"/>
              </w:rPr>
              <w:t>3,849,610,303</w:t>
            </w:r>
          </w:p>
        </w:tc>
        <w:tc>
          <w:tcPr>
            <w:tcW w:w="1" w:type="dxa"/>
            <w:vAlign w:val="bottom"/>
          </w:tcPr>
          <w:p>
            <w:pPr>
              <w:spacing w:after="0"/>
              <w:rPr>
                <w:color w:val="auto"/>
                <w:sz w:val="1"/>
                <w:szCs w:val="1"/>
              </w:rPr>
            </w:pPr>
          </w:p>
        </w:tc>
      </w:tr>
      <w:tr>
        <w:tblPrEx>
          <w:tblInd w:w="0" w:type="dxa"/>
          <w:tblLayout w:type="fixed"/>
        </w:tblPrEx>
        <w:trPr>
          <w:trHeight w:val="153"/>
        </w:trPr>
        <w:tc>
          <w:tcPr>
            <w:tcW w:w="3240" w:type="dxa"/>
            <w:vAlign w:val="bottom"/>
          </w:tcPr>
          <w:p>
            <w:pPr>
              <w:spacing w:after="0"/>
              <w:rPr>
                <w:color w:val="auto"/>
                <w:sz w:val="20"/>
                <w:szCs w:val="20"/>
              </w:rPr>
            </w:pPr>
            <w:r>
              <w:rPr>
                <w:rFonts w:ascii="Calibri" w:eastAsia="Calibri" w:hAnsi="Calibri" w:cs="Calibri"/>
                <w:color w:val="auto"/>
                <w:sz w:val="12"/>
                <w:szCs w:val="12"/>
              </w:rPr>
              <w:t>November 1, 2024 - November 30, 2024</w:t>
            </w:r>
          </w:p>
        </w:tc>
        <w:tc>
          <w:tcPr>
            <w:tcW w:w="2220" w:type="dxa"/>
            <w:vAlign w:val="bottom"/>
          </w:tcPr>
          <w:p>
            <w:pPr>
              <w:spacing w:after="0" w:line="153" w:lineRule="exact"/>
              <w:ind w:right="71"/>
              <w:jc w:val="right"/>
              <w:rPr>
                <w:color w:val="auto"/>
                <w:sz w:val="20"/>
                <w:szCs w:val="20"/>
              </w:rPr>
            </w:pPr>
            <w:r>
              <w:rPr>
                <w:rFonts w:ascii="Calibri" w:eastAsia="Calibri" w:hAnsi="Calibri" w:cs="Calibri"/>
                <w:color w:val="auto"/>
                <w:sz w:val="12"/>
                <w:szCs w:val="12"/>
              </w:rPr>
              <w:t xml:space="preserve">844 </w:t>
            </w:r>
            <w:r>
              <w:rPr>
                <w:rFonts w:ascii="Calibri" w:eastAsia="Calibri" w:hAnsi="Calibri" w:cs="Calibri"/>
                <w:color w:val="auto"/>
                <w:sz w:val="15"/>
                <w:szCs w:val="15"/>
                <w:vertAlign w:val="superscript"/>
              </w:rPr>
              <w:t>(1)</w:t>
            </w:r>
          </w:p>
        </w:tc>
        <w:tc>
          <w:tcPr>
            <w:tcW w:w="280" w:type="dxa"/>
            <w:vAlign w:val="bottom"/>
          </w:tcPr>
          <w:p>
            <w:pPr>
              <w:spacing w:after="0"/>
              <w:ind w:right="40"/>
              <w:jc w:val="right"/>
              <w:rPr>
                <w:color w:val="auto"/>
                <w:sz w:val="20"/>
                <w:szCs w:val="20"/>
              </w:rPr>
            </w:pPr>
            <w:r>
              <w:rPr>
                <w:rFonts w:ascii="Calibri" w:eastAsia="Calibri" w:hAnsi="Calibri" w:cs="Calibri"/>
                <w:color w:val="auto"/>
                <w:sz w:val="12"/>
                <w:szCs w:val="12"/>
              </w:rPr>
              <w:t>$</w:t>
            </w:r>
          </w:p>
        </w:tc>
        <w:tc>
          <w:tcPr>
            <w:tcW w:w="920" w:type="dxa"/>
            <w:vAlign w:val="bottom"/>
          </w:tcPr>
          <w:p>
            <w:pPr>
              <w:spacing w:after="0"/>
              <w:jc w:val="right"/>
              <w:rPr>
                <w:color w:val="auto"/>
                <w:sz w:val="20"/>
                <w:szCs w:val="20"/>
              </w:rPr>
            </w:pPr>
            <w:r>
              <w:rPr>
                <w:rFonts w:ascii="Calibri" w:eastAsia="Calibri" w:hAnsi="Calibri" w:cs="Calibri"/>
                <w:color w:val="auto"/>
                <w:sz w:val="12"/>
                <w:szCs w:val="12"/>
              </w:rPr>
              <w:t>202.62</w:t>
            </w:r>
          </w:p>
        </w:tc>
        <w:tc>
          <w:tcPr>
            <w:tcW w:w="460" w:type="dxa"/>
            <w:vAlign w:val="bottom"/>
          </w:tcPr>
          <w:p>
            <w:pPr>
              <w:spacing w:after="0" w:line="91" w:lineRule="exact"/>
              <w:ind w:right="301"/>
              <w:jc w:val="right"/>
              <w:rPr>
                <w:color w:val="auto"/>
                <w:sz w:val="20"/>
                <w:szCs w:val="20"/>
              </w:rPr>
            </w:pPr>
            <w:r>
              <w:rPr>
                <w:rFonts w:ascii="Calibri" w:eastAsia="Calibri" w:hAnsi="Calibri" w:cs="Calibri"/>
                <w:color w:val="auto"/>
                <w:sz w:val="8"/>
                <w:szCs w:val="8"/>
              </w:rPr>
              <w:t>(1)</w:t>
            </w:r>
          </w:p>
        </w:tc>
        <w:tc>
          <w:tcPr>
            <w:tcW w:w="1500" w:type="dxa"/>
            <w:vAlign w:val="bottom"/>
          </w:tcPr>
          <w:p>
            <w:pPr>
              <w:spacing w:after="0"/>
              <w:ind w:right="30"/>
              <w:jc w:val="right"/>
              <w:rPr>
                <w:color w:val="auto"/>
                <w:sz w:val="20"/>
                <w:szCs w:val="20"/>
              </w:rPr>
            </w:pPr>
            <w:r>
              <w:rPr>
                <w:rFonts w:ascii="Calibri" w:eastAsia="Calibri" w:hAnsi="Calibri" w:cs="Calibri"/>
                <w:color w:val="auto"/>
                <w:sz w:val="12"/>
                <w:szCs w:val="12"/>
              </w:rPr>
              <w:t>—</w:t>
            </w:r>
          </w:p>
        </w:tc>
        <w:tc>
          <w:tcPr>
            <w:tcW w:w="380" w:type="dxa"/>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2300" w:type="dxa"/>
            <w:vAlign w:val="bottom"/>
          </w:tcPr>
          <w:p>
            <w:pPr>
              <w:spacing w:after="0"/>
              <w:ind w:right="328"/>
              <w:jc w:val="right"/>
              <w:rPr>
                <w:color w:val="auto"/>
                <w:sz w:val="20"/>
                <w:szCs w:val="20"/>
              </w:rPr>
            </w:pPr>
            <w:r>
              <w:rPr>
                <w:rFonts w:ascii="Calibri" w:eastAsia="Calibri" w:hAnsi="Calibri" w:cs="Calibri"/>
                <w:color w:val="auto"/>
                <w:sz w:val="12"/>
                <w:szCs w:val="12"/>
              </w:rPr>
              <w:t>3,849,610,303</w:t>
            </w:r>
          </w:p>
        </w:tc>
        <w:tc>
          <w:tcPr>
            <w:tcW w:w="1" w:type="dxa"/>
            <w:vAlign w:val="bottom"/>
          </w:tcPr>
          <w:p>
            <w:pPr>
              <w:spacing w:after="0"/>
              <w:rPr>
                <w:color w:val="auto"/>
                <w:sz w:val="1"/>
                <w:szCs w:val="1"/>
              </w:rPr>
            </w:pPr>
          </w:p>
        </w:tc>
      </w:tr>
      <w:tr>
        <w:tblPrEx>
          <w:tblInd w:w="0" w:type="dxa"/>
          <w:tblLayout w:type="fixed"/>
        </w:tblPrEx>
        <w:trPr>
          <w:trHeight w:val="162"/>
        </w:trPr>
        <w:tc>
          <w:tcPr>
            <w:tcW w:w="3240" w:type="dxa"/>
            <w:vAlign w:val="bottom"/>
          </w:tcPr>
          <w:p>
            <w:pPr>
              <w:spacing w:after="0"/>
              <w:rPr>
                <w:color w:val="auto"/>
                <w:sz w:val="20"/>
                <w:szCs w:val="20"/>
              </w:rPr>
            </w:pPr>
            <w:r>
              <w:rPr>
                <w:rFonts w:ascii="Calibri" w:eastAsia="Calibri" w:hAnsi="Calibri" w:cs="Calibri"/>
                <w:color w:val="auto"/>
                <w:sz w:val="12"/>
                <w:szCs w:val="12"/>
              </w:rPr>
              <w:t>December 1, 2024 - December 31, 2024</w:t>
            </w:r>
          </w:p>
        </w:tc>
        <w:tc>
          <w:tcPr>
            <w:tcW w:w="2220" w:type="dxa"/>
            <w:vAlign w:val="bottom"/>
          </w:tcPr>
          <w:p>
            <w:pPr>
              <w:spacing w:after="0" w:line="162" w:lineRule="exact"/>
              <w:ind w:right="71"/>
              <w:jc w:val="right"/>
              <w:rPr>
                <w:color w:val="auto"/>
                <w:sz w:val="20"/>
                <w:szCs w:val="20"/>
              </w:rPr>
            </w:pPr>
            <w:r>
              <w:rPr>
                <w:rFonts w:ascii="Calibri" w:eastAsia="Calibri" w:hAnsi="Calibri" w:cs="Calibri"/>
                <w:color w:val="auto"/>
                <w:sz w:val="12"/>
                <w:szCs w:val="12"/>
              </w:rPr>
              <w:t xml:space="preserve">2,028,292 </w:t>
            </w:r>
            <w:r>
              <w:rPr>
                <w:rFonts w:ascii="Calibri" w:eastAsia="Calibri" w:hAnsi="Calibri" w:cs="Calibri"/>
                <w:color w:val="auto"/>
                <w:sz w:val="15"/>
                <w:szCs w:val="15"/>
                <w:vertAlign w:val="superscript"/>
              </w:rPr>
              <w:t>(1)</w:t>
            </w:r>
          </w:p>
        </w:tc>
        <w:tc>
          <w:tcPr>
            <w:tcW w:w="280" w:type="dxa"/>
            <w:vAlign w:val="bottom"/>
          </w:tcPr>
          <w:p>
            <w:pPr>
              <w:spacing w:after="0"/>
              <w:ind w:right="40"/>
              <w:jc w:val="right"/>
              <w:rPr>
                <w:color w:val="auto"/>
                <w:sz w:val="20"/>
                <w:szCs w:val="20"/>
              </w:rPr>
            </w:pPr>
            <w:r>
              <w:rPr>
                <w:rFonts w:ascii="Calibri" w:eastAsia="Calibri" w:hAnsi="Calibri" w:cs="Calibri"/>
                <w:color w:val="auto"/>
                <w:sz w:val="12"/>
                <w:szCs w:val="12"/>
              </w:rPr>
              <w:t>$</w:t>
            </w:r>
          </w:p>
        </w:tc>
        <w:tc>
          <w:tcPr>
            <w:tcW w:w="920" w:type="dxa"/>
            <w:vAlign w:val="bottom"/>
          </w:tcPr>
          <w:p>
            <w:pPr>
              <w:spacing w:after="0"/>
              <w:jc w:val="right"/>
              <w:rPr>
                <w:color w:val="auto"/>
                <w:sz w:val="20"/>
                <w:szCs w:val="20"/>
              </w:rPr>
            </w:pPr>
            <w:r>
              <w:rPr>
                <w:rFonts w:ascii="Calibri" w:eastAsia="Calibri" w:hAnsi="Calibri" w:cs="Calibri"/>
                <w:color w:val="auto"/>
                <w:sz w:val="12"/>
                <w:szCs w:val="12"/>
              </w:rPr>
              <w:t>173.82</w:t>
            </w:r>
          </w:p>
        </w:tc>
        <w:tc>
          <w:tcPr>
            <w:tcW w:w="460" w:type="dxa"/>
            <w:vAlign w:val="bottom"/>
          </w:tcPr>
          <w:p>
            <w:pPr>
              <w:spacing w:after="0" w:line="91" w:lineRule="exact"/>
              <w:ind w:right="301"/>
              <w:jc w:val="right"/>
              <w:rPr>
                <w:color w:val="auto"/>
                <w:sz w:val="20"/>
                <w:szCs w:val="20"/>
              </w:rPr>
            </w:pPr>
            <w:r>
              <w:rPr>
                <w:rFonts w:ascii="Calibri" w:eastAsia="Calibri" w:hAnsi="Calibri" w:cs="Calibri"/>
                <w:color w:val="auto"/>
                <w:sz w:val="8"/>
                <w:szCs w:val="8"/>
              </w:rPr>
              <w:t>(1)</w:t>
            </w:r>
          </w:p>
        </w:tc>
        <w:tc>
          <w:tcPr>
            <w:tcW w:w="1500" w:type="dxa"/>
            <w:vAlign w:val="bottom"/>
          </w:tcPr>
          <w:p>
            <w:pPr>
              <w:spacing w:after="0"/>
              <w:ind w:right="30"/>
              <w:jc w:val="right"/>
              <w:rPr>
                <w:color w:val="auto"/>
                <w:sz w:val="20"/>
                <w:szCs w:val="20"/>
              </w:rPr>
            </w:pPr>
            <w:r>
              <w:rPr>
                <w:rFonts w:ascii="Calibri" w:eastAsia="Calibri" w:hAnsi="Calibri" w:cs="Calibri"/>
                <w:color w:val="auto"/>
                <w:sz w:val="12"/>
                <w:szCs w:val="12"/>
              </w:rPr>
              <w:t>2,000,000</w:t>
            </w:r>
          </w:p>
        </w:tc>
        <w:tc>
          <w:tcPr>
            <w:tcW w:w="380" w:type="dxa"/>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2300" w:type="dxa"/>
            <w:vAlign w:val="bottom"/>
          </w:tcPr>
          <w:p>
            <w:pPr>
              <w:spacing w:after="0"/>
              <w:ind w:right="328"/>
              <w:jc w:val="right"/>
              <w:rPr>
                <w:color w:val="auto"/>
                <w:sz w:val="20"/>
                <w:szCs w:val="20"/>
              </w:rPr>
            </w:pPr>
            <w:r>
              <w:rPr>
                <w:rFonts w:ascii="Calibri" w:eastAsia="Calibri" w:hAnsi="Calibri" w:cs="Calibri"/>
                <w:color w:val="auto"/>
                <w:sz w:val="12"/>
                <w:szCs w:val="12"/>
              </w:rPr>
              <w:t>3,502,031,203</w:t>
            </w:r>
          </w:p>
        </w:tc>
        <w:tc>
          <w:tcPr>
            <w:tcW w:w="1" w:type="dxa"/>
            <w:vAlign w:val="bottom"/>
          </w:tcPr>
          <w:p>
            <w:pPr>
              <w:spacing w:after="0"/>
              <w:rPr>
                <w:color w:val="auto"/>
                <w:sz w:val="1"/>
                <w:szCs w:val="1"/>
              </w:rPr>
            </w:pPr>
          </w:p>
        </w:tc>
      </w:tr>
      <w:tr>
        <w:tblPrEx>
          <w:tblInd w:w="0" w:type="dxa"/>
          <w:tblLayout w:type="fixed"/>
        </w:tblPrEx>
        <w:trPr>
          <w:trHeight w:val="179"/>
        </w:trPr>
        <w:tc>
          <w:tcPr>
            <w:tcW w:w="3240" w:type="dxa"/>
            <w:tcBorders>
              <w:bottom w:val="single" w:sz="8" w:space="0" w:color="auto"/>
            </w:tcBorders>
            <w:vAlign w:val="bottom"/>
          </w:tcPr>
          <w:p>
            <w:pPr>
              <w:spacing w:after="0"/>
              <w:rPr>
                <w:color w:val="auto"/>
                <w:sz w:val="20"/>
                <w:szCs w:val="20"/>
              </w:rPr>
            </w:pPr>
            <w:r>
              <w:rPr>
                <w:rFonts w:ascii="Calibri" w:eastAsia="Calibri" w:hAnsi="Calibri" w:cs="Calibri"/>
                <w:color w:val="auto"/>
                <w:sz w:val="12"/>
                <w:szCs w:val="12"/>
              </w:rPr>
              <w:t>Total</w:t>
            </w:r>
          </w:p>
        </w:tc>
        <w:tc>
          <w:tcPr>
            <w:tcW w:w="2220" w:type="dxa"/>
            <w:tcBorders>
              <w:bottom w:val="single" w:sz="8" w:space="0" w:color="auto"/>
            </w:tcBorders>
            <w:vAlign w:val="bottom"/>
          </w:tcPr>
          <w:p>
            <w:pPr>
              <w:spacing w:after="0" w:line="178" w:lineRule="exact"/>
              <w:ind w:right="71"/>
              <w:jc w:val="right"/>
              <w:rPr>
                <w:color w:val="auto"/>
                <w:sz w:val="20"/>
                <w:szCs w:val="20"/>
              </w:rPr>
            </w:pPr>
            <w:r>
              <w:rPr>
                <w:rFonts w:ascii="Calibri" w:eastAsia="Calibri" w:hAnsi="Calibri" w:cs="Calibri"/>
                <w:color w:val="auto"/>
                <w:sz w:val="12"/>
                <w:szCs w:val="12"/>
              </w:rPr>
              <w:t xml:space="preserve">2,030,114 </w:t>
            </w:r>
            <w:r>
              <w:rPr>
                <w:rFonts w:ascii="Calibri" w:eastAsia="Calibri" w:hAnsi="Calibri" w:cs="Calibri"/>
                <w:color w:val="auto"/>
                <w:sz w:val="15"/>
                <w:szCs w:val="15"/>
                <w:vertAlign w:val="superscript"/>
              </w:rPr>
              <w:t>(1)</w:t>
            </w:r>
          </w:p>
        </w:tc>
        <w:tc>
          <w:tcPr>
            <w:tcW w:w="280" w:type="dxa"/>
            <w:tcBorders>
              <w:bottom w:val="single" w:sz="8" w:space="0" w:color="auto"/>
            </w:tcBorders>
            <w:vAlign w:val="bottom"/>
          </w:tcPr>
          <w:p>
            <w:pPr>
              <w:spacing w:after="0"/>
              <w:ind w:right="40"/>
              <w:jc w:val="right"/>
              <w:rPr>
                <w:color w:val="auto"/>
                <w:sz w:val="20"/>
                <w:szCs w:val="20"/>
              </w:rPr>
            </w:pPr>
            <w:r>
              <w:rPr>
                <w:rFonts w:ascii="Calibri" w:eastAsia="Calibri" w:hAnsi="Calibri" w:cs="Calibri"/>
                <w:color w:val="auto"/>
                <w:sz w:val="12"/>
                <w:szCs w:val="12"/>
              </w:rPr>
              <w:t>$</w:t>
            </w:r>
          </w:p>
        </w:tc>
        <w:tc>
          <w:tcPr>
            <w:tcW w:w="920" w:type="dxa"/>
            <w:tcBorders>
              <w:bottom w:val="single" w:sz="8" w:space="0" w:color="auto"/>
            </w:tcBorders>
            <w:vAlign w:val="bottom"/>
          </w:tcPr>
          <w:p>
            <w:pPr>
              <w:spacing w:after="0"/>
              <w:jc w:val="right"/>
              <w:rPr>
                <w:color w:val="auto"/>
                <w:sz w:val="20"/>
                <w:szCs w:val="20"/>
              </w:rPr>
            </w:pPr>
            <w:r>
              <w:rPr>
                <w:rFonts w:ascii="Calibri" w:eastAsia="Calibri" w:hAnsi="Calibri" w:cs="Calibri"/>
                <w:color w:val="auto"/>
                <w:sz w:val="12"/>
                <w:szCs w:val="12"/>
              </w:rPr>
              <w:t>173.84</w:t>
            </w:r>
          </w:p>
        </w:tc>
        <w:tc>
          <w:tcPr>
            <w:tcW w:w="460" w:type="dxa"/>
            <w:tcBorders>
              <w:bottom w:val="single" w:sz="8" w:space="0" w:color="auto"/>
            </w:tcBorders>
            <w:vAlign w:val="bottom"/>
          </w:tcPr>
          <w:p>
            <w:pPr>
              <w:spacing w:after="0" w:line="91" w:lineRule="exact"/>
              <w:ind w:right="301"/>
              <w:jc w:val="right"/>
              <w:rPr>
                <w:color w:val="auto"/>
                <w:sz w:val="20"/>
                <w:szCs w:val="20"/>
              </w:rPr>
            </w:pPr>
            <w:r>
              <w:rPr>
                <w:rFonts w:ascii="Calibri" w:eastAsia="Calibri" w:hAnsi="Calibri" w:cs="Calibri"/>
                <w:color w:val="auto"/>
                <w:sz w:val="8"/>
                <w:szCs w:val="8"/>
              </w:rPr>
              <w:t>(1)</w:t>
            </w:r>
          </w:p>
        </w:tc>
        <w:tc>
          <w:tcPr>
            <w:tcW w:w="1500" w:type="dxa"/>
            <w:tcBorders>
              <w:bottom w:val="single" w:sz="8" w:space="0" w:color="auto"/>
            </w:tcBorders>
            <w:vAlign w:val="bottom"/>
          </w:tcPr>
          <w:p>
            <w:pPr>
              <w:spacing w:after="0"/>
              <w:ind w:right="30"/>
              <w:jc w:val="right"/>
              <w:rPr>
                <w:color w:val="auto"/>
                <w:sz w:val="20"/>
                <w:szCs w:val="20"/>
              </w:rPr>
            </w:pPr>
            <w:r>
              <w:rPr>
                <w:rFonts w:ascii="Calibri" w:eastAsia="Calibri" w:hAnsi="Calibri" w:cs="Calibri"/>
                <w:color w:val="auto"/>
                <w:sz w:val="12"/>
                <w:szCs w:val="12"/>
              </w:rPr>
              <w:t>2,000,000</w:t>
            </w:r>
          </w:p>
        </w:tc>
        <w:tc>
          <w:tcPr>
            <w:tcW w:w="380" w:type="dxa"/>
            <w:tcBorders>
              <w:bottom w:val="single" w:sz="8" w:space="0" w:color="auto"/>
            </w:tcBorders>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2300" w:type="dxa"/>
            <w:tcBorders>
              <w:bottom w:val="single" w:sz="8" w:space="0" w:color="auto"/>
            </w:tcBorders>
            <w:vAlign w:val="bottom"/>
          </w:tcPr>
          <w:p>
            <w:pPr>
              <w:spacing w:after="0"/>
              <w:ind w:right="328"/>
              <w:jc w:val="right"/>
              <w:rPr>
                <w:color w:val="auto"/>
                <w:sz w:val="20"/>
                <w:szCs w:val="20"/>
              </w:rPr>
            </w:pPr>
            <w:r>
              <w:rPr>
                <w:rFonts w:ascii="Calibri" w:eastAsia="Calibri" w:hAnsi="Calibri" w:cs="Calibri"/>
                <w:color w:val="auto"/>
                <w:sz w:val="12"/>
                <w:szCs w:val="12"/>
              </w:rPr>
              <w:t>3,502,031,203</w:t>
            </w:r>
          </w:p>
        </w:tc>
        <w:tc>
          <w:tcPr>
            <w:tcW w:w="1" w:type="dxa"/>
            <w:vAlign w:val="bottom"/>
          </w:tcPr>
          <w:p>
            <w:pPr>
              <w:spacing w:after="0"/>
              <w:rPr>
                <w:color w:val="auto"/>
                <w:sz w:val="1"/>
                <w:szCs w:val="1"/>
              </w:rPr>
            </w:pPr>
          </w:p>
        </w:tc>
      </w:tr>
      <w:tr>
        <w:tblPrEx>
          <w:tblInd w:w="0" w:type="dxa"/>
          <w:tblLayout w:type="fixed"/>
        </w:tblPrEx>
        <w:trPr>
          <w:trHeight w:val="20"/>
        </w:trPr>
        <w:tc>
          <w:tcPr>
            <w:tcW w:w="3240" w:type="dxa"/>
            <w:tcBorders>
              <w:bottom w:val="single" w:sz="8" w:space="0" w:color="auto"/>
            </w:tcBorders>
            <w:vAlign w:val="bottom"/>
          </w:tcPr>
          <w:p>
            <w:pPr>
              <w:spacing w:after="0" w:line="20" w:lineRule="exact"/>
              <w:rPr>
                <w:color w:val="auto"/>
                <w:sz w:val="1"/>
                <w:szCs w:val="1"/>
              </w:rPr>
            </w:pPr>
          </w:p>
        </w:tc>
        <w:tc>
          <w:tcPr>
            <w:tcW w:w="2220" w:type="dxa"/>
            <w:tcBorders>
              <w:bottom w:val="single" w:sz="8" w:space="0" w:color="auto"/>
            </w:tcBorders>
            <w:vAlign w:val="bottom"/>
          </w:tcPr>
          <w:p>
            <w:pPr>
              <w:spacing w:after="0" w:line="20" w:lineRule="exact"/>
              <w:rPr>
                <w:color w:val="auto"/>
                <w:sz w:val="1"/>
                <w:szCs w:val="1"/>
              </w:rPr>
            </w:pPr>
          </w:p>
        </w:tc>
        <w:tc>
          <w:tcPr>
            <w:tcW w:w="280" w:type="dxa"/>
            <w:tcBorders>
              <w:bottom w:val="single" w:sz="8" w:space="0" w:color="auto"/>
            </w:tcBorders>
            <w:vAlign w:val="bottom"/>
          </w:tcPr>
          <w:p>
            <w:pPr>
              <w:spacing w:after="0" w:line="20" w:lineRule="exact"/>
              <w:rPr>
                <w:color w:val="auto"/>
                <w:sz w:val="1"/>
                <w:szCs w:val="1"/>
              </w:rPr>
            </w:pPr>
          </w:p>
        </w:tc>
        <w:tc>
          <w:tcPr>
            <w:tcW w:w="920" w:type="dxa"/>
            <w:tcBorders>
              <w:bottom w:val="single" w:sz="8" w:space="0" w:color="auto"/>
            </w:tcBorders>
            <w:vAlign w:val="bottom"/>
          </w:tcPr>
          <w:p>
            <w:pPr>
              <w:spacing w:after="0" w:line="20" w:lineRule="exact"/>
              <w:rPr>
                <w:color w:val="auto"/>
                <w:sz w:val="1"/>
                <w:szCs w:val="1"/>
              </w:rPr>
            </w:pPr>
          </w:p>
        </w:tc>
        <w:tc>
          <w:tcPr>
            <w:tcW w:w="460" w:type="dxa"/>
            <w:tcBorders>
              <w:bottom w:val="single" w:sz="8" w:space="0" w:color="auto"/>
            </w:tcBorders>
            <w:vAlign w:val="bottom"/>
          </w:tcPr>
          <w:p>
            <w:pPr>
              <w:spacing w:after="0" w:line="20" w:lineRule="exact"/>
              <w:rPr>
                <w:color w:val="auto"/>
                <w:sz w:val="1"/>
                <w:szCs w:val="1"/>
              </w:rPr>
            </w:pPr>
          </w:p>
        </w:tc>
        <w:tc>
          <w:tcPr>
            <w:tcW w:w="150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2300" w:type="dxa"/>
            <w:tcBorders>
              <w:bottom w:val="single" w:sz="8" w:space="0" w:color="auto"/>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bl>
    <w:p>
      <w:pPr>
        <w:spacing w:after="0" w:line="20" w:lineRule="exact"/>
        <w:rPr>
          <w:color w:val="auto"/>
          <w:sz w:val="20"/>
          <w:szCs w:val="20"/>
        </w:rPr>
      </w:pPr>
      <w:r>
        <w:rPr>
          <w:color w:val="auto"/>
          <w:sz w:val="20"/>
          <w:szCs w:val="20"/>
        </w:rPr>
        <w:drawing>
          <wp:anchor simplePos="0" relativeHeight="251740160" behindDoc="1" locked="0" layoutInCell="0" allowOverlap="1">
            <wp:simplePos x="0" y="0"/>
            <wp:positionH relativeFrom="column">
              <wp:posOffset>-4445</wp:posOffset>
            </wp:positionH>
            <wp:positionV relativeFrom="paragraph">
              <wp:posOffset>-222250</wp:posOffset>
            </wp:positionV>
            <wp:extent cx="7178040" cy="10287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178040" cy="102870"/>
                    </a:xfrm>
                    <a:prstGeom prst="rect">
                      <a:avLst/>
                    </a:prstGeom>
                    <a:noFill/>
                  </pic:spPr>
                </pic:pic>
              </a:graphicData>
            </a:graphic>
          </wp:anchor>
        </w:drawing>
      </w:r>
      <w:r>
        <w:rPr>
          <w:color w:val="auto"/>
          <w:sz w:val="20"/>
          <w:szCs w:val="20"/>
        </w:rPr>
        <w:drawing>
          <wp:anchor simplePos="0" relativeHeight="251741184" behindDoc="1" locked="0" layoutInCell="0" allowOverlap="1">
            <wp:simplePos x="0" y="0"/>
            <wp:positionH relativeFrom="column">
              <wp:posOffset>-4445</wp:posOffset>
            </wp:positionH>
            <wp:positionV relativeFrom="paragraph">
              <wp:posOffset>-422275</wp:posOffset>
            </wp:positionV>
            <wp:extent cx="7178040" cy="10287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7178040" cy="102870"/>
                    </a:xfrm>
                    <a:prstGeom prst="rect">
                      <a:avLst/>
                    </a:prstGeom>
                    <a:noFill/>
                  </pic:spPr>
                </pic:pic>
              </a:graphicData>
            </a:graphic>
          </wp:anchor>
        </w:drawing>
      </w:r>
    </w:p>
    <w:p>
      <w:pPr>
        <w:spacing w:after="0" w:line="118" w:lineRule="exact"/>
        <w:rPr>
          <w:color w:val="auto"/>
          <w:sz w:val="20"/>
          <w:szCs w:val="20"/>
        </w:rPr>
      </w:pPr>
    </w:p>
    <w:p>
      <w:pPr>
        <w:numPr>
          <w:ilvl w:val="0"/>
          <w:numId w:val="5"/>
        </w:numPr>
        <w:tabs>
          <w:tab w:val="left" w:pos="218"/>
        </w:tabs>
        <w:spacing w:after="0" w:line="234" w:lineRule="auto"/>
        <w:ind w:left="320" w:right="180" w:hanging="301"/>
        <w:rPr>
          <w:rFonts w:ascii="Calibri" w:eastAsia="Calibri" w:hAnsi="Calibri" w:cs="Calibri"/>
          <w:color w:val="auto"/>
          <w:sz w:val="12"/>
          <w:szCs w:val="12"/>
        </w:rPr>
      </w:pPr>
      <w:r>
        <w:rPr>
          <w:rFonts w:ascii="Calibri" w:eastAsia="Calibri" w:hAnsi="Calibri" w:cs="Calibri"/>
          <w:color w:val="auto"/>
          <w:sz w:val="12"/>
          <w:szCs w:val="12"/>
        </w:rPr>
        <w:t>In additon to AbbVie shares repurchased on the open market under a publicly announced program, if any, these shares also included the shares purchased on the open market for the beneft of partcipants in the AbbVie Employee Stock Purchase Plan – 978 in October; 844 in November; and 28,292 in December.</w:t>
      </w:r>
    </w:p>
    <w:p>
      <w:pPr>
        <w:spacing w:after="0" w:line="97"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rPr>
        <w:t>These shares do not include the shares surrendered to AbbVie to satsfy minimum tax withholding obligatons in connecton with the vestng or exercise of stock-based awards.</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31</w:t>
      </w:r>
      <w:r>
        <w:rPr>
          <w:color w:val="auto"/>
          <w:sz w:val="20"/>
          <w:szCs w:val="20"/>
        </w:rPr>
        <w:tab/>
      </w:r>
      <w:r>
        <w:rPr>
          <w:color w:val="auto"/>
          <w:sz w:val="1"/>
          <w:szCs w:val="1"/>
        </w:rPr>
        <w:drawing>
          <wp:inline distT="0" distB="0" distL="0" distR="0">
            <wp:extent cx="400050" cy="7429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42208" behindDoc="1" locked="0" layoutInCell="0" allowOverlap="1">
            <wp:simplePos x="0" y="0"/>
            <wp:positionH relativeFrom="column">
              <wp:posOffset>-17145</wp:posOffset>
            </wp:positionH>
            <wp:positionV relativeFrom="paragraph">
              <wp:posOffset>133985</wp:posOffset>
            </wp:positionV>
            <wp:extent cx="7203440" cy="3683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33" w:name="page34"/>
    <w:bookmarkEnd w:id="33"/>
    <w:p>
      <w:pPr>
        <w:spacing w:after="0"/>
        <w:rPr>
          <w:color w:val="auto"/>
          <w:sz w:val="20"/>
          <w:szCs w:val="20"/>
        </w:rPr>
      </w:pPr>
      <w:r>
        <w:rPr>
          <w:rFonts w:ascii="Calibri" w:eastAsia="Calibri" w:hAnsi="Calibri" w:cs="Calibri"/>
          <w:b/>
          <w:bCs/>
          <w:color w:val="444867"/>
          <w:sz w:val="14"/>
          <w:szCs w:val="14"/>
        </w:rPr>
        <w:t>ITEM 6. [RESERVED]</w:t>
      </w:r>
    </w:p>
    <w:p>
      <w:pPr>
        <w:spacing w:after="0" w:line="20" w:lineRule="exact"/>
        <w:rPr>
          <w:color w:val="auto"/>
          <w:sz w:val="20"/>
          <w:szCs w:val="20"/>
        </w:rPr>
      </w:pPr>
      <w:r>
        <w:rPr>
          <w:color w:val="auto"/>
          <w:sz w:val="20"/>
          <w:szCs w:val="20"/>
        </w:rPr>
        <w:drawing>
          <wp:anchor simplePos="0" relativeHeight="251743232" behindDoc="1" locked="0" layoutInCell="0" allowOverlap="1">
            <wp:simplePos x="0" y="0"/>
            <wp:positionH relativeFrom="column">
              <wp:posOffset>-4445</wp:posOffset>
            </wp:positionH>
            <wp:positionV relativeFrom="paragraph">
              <wp:posOffset>23495</wp:posOffset>
            </wp:positionV>
            <wp:extent cx="7166610" cy="571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r>
        <w:rPr>
          <w:color w:val="auto"/>
          <w:sz w:val="20"/>
          <w:szCs w:val="20"/>
        </w:rPr>
        <w:drawing>
          <wp:anchor simplePos="0" relativeHeight="251744256" behindDoc="1" locked="0" layoutInCell="0" allowOverlap="1">
            <wp:simplePos x="0" y="0"/>
            <wp:positionH relativeFrom="column">
              <wp:posOffset>6475730</wp:posOffset>
            </wp:positionH>
            <wp:positionV relativeFrom="paragraph">
              <wp:posOffset>503555</wp:posOffset>
            </wp:positionV>
            <wp:extent cx="400050" cy="7429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399"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32</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745280" behindDoc="1" locked="0" layoutInCell="0" allowOverlap="1">
            <wp:simplePos x="0" y="0"/>
            <wp:positionH relativeFrom="column">
              <wp:posOffset>7154545</wp:posOffset>
            </wp:positionH>
            <wp:positionV relativeFrom="paragraph">
              <wp:posOffset>-23495</wp:posOffset>
            </wp:positionV>
            <wp:extent cx="31115" cy="3683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46304" behindDoc="1" locked="0" layoutInCell="0" allowOverlap="1">
            <wp:simplePos x="0" y="0"/>
            <wp:positionH relativeFrom="column">
              <wp:posOffset>-17145</wp:posOffset>
            </wp:positionH>
            <wp:positionV relativeFrom="paragraph">
              <wp:posOffset>-23495</wp:posOffset>
            </wp:positionV>
            <wp:extent cx="31115" cy="3683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1065" w:right="299" w:bottom="1440" w:left="300" w:header="0" w:footer="0" w:gutter="0"/>
          <w:cols w:num="1" w:space="720" w:equalWidth="0">
            <w:col w:w="11300" w:space="0"/>
          </w:cols>
        </w:sectPr>
      </w:pPr>
    </w:p>
    <w:bookmarkStart w:id="34" w:name="page35"/>
    <w:bookmarkEnd w:id="34"/>
    <w:p>
      <w:pPr>
        <w:spacing w:after="0"/>
        <w:rPr>
          <w:color w:val="auto"/>
          <w:sz w:val="20"/>
          <w:szCs w:val="20"/>
        </w:rPr>
      </w:pPr>
      <w:r>
        <w:rPr>
          <w:rFonts w:ascii="Calibri" w:eastAsia="Calibri" w:hAnsi="Calibri" w:cs="Calibri"/>
          <w:b/>
          <w:bCs/>
          <w:color w:val="444867"/>
          <w:sz w:val="14"/>
          <w:szCs w:val="14"/>
        </w:rPr>
        <w:t>ITEM 7. MANAGEMENT'S DISCUSSION AND ANALYSIS OF FINANCIAL CONDITION AND RESULTS OF OPERATIONS</w:t>
      </w:r>
    </w:p>
    <w:p>
      <w:pPr>
        <w:spacing w:after="0" w:line="20" w:lineRule="exact"/>
        <w:rPr>
          <w:color w:val="auto"/>
          <w:sz w:val="20"/>
          <w:szCs w:val="20"/>
        </w:rPr>
      </w:pPr>
      <w:r>
        <w:rPr>
          <w:color w:val="auto"/>
          <w:sz w:val="20"/>
          <w:szCs w:val="20"/>
        </w:rPr>
        <w:drawing>
          <wp:anchor simplePos="0" relativeHeight="251747328" behindDoc="1" locked="0" layoutInCell="0" allowOverlap="1">
            <wp:simplePos x="0" y="0"/>
            <wp:positionH relativeFrom="column">
              <wp:posOffset>-4445</wp:posOffset>
            </wp:positionH>
            <wp:positionV relativeFrom="paragraph">
              <wp:posOffset>24130</wp:posOffset>
            </wp:positionV>
            <wp:extent cx="7178040" cy="571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7178040" cy="5715"/>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p>
      <w:pPr>
        <w:spacing w:after="0" w:line="158" w:lineRule="exact"/>
        <w:rPr>
          <w:color w:val="auto"/>
          <w:sz w:val="20"/>
          <w:szCs w:val="20"/>
        </w:rPr>
      </w:pPr>
    </w:p>
    <w:p>
      <w:pPr>
        <w:spacing w:after="0" w:line="235" w:lineRule="auto"/>
        <w:ind w:right="140" w:firstLine="297"/>
        <w:rPr>
          <w:color w:val="auto"/>
          <w:sz w:val="20"/>
          <w:szCs w:val="20"/>
        </w:rPr>
      </w:pPr>
      <w:r>
        <w:rPr>
          <w:rFonts w:ascii="Calibri" w:eastAsia="Calibri" w:hAnsi="Calibri" w:cs="Calibri"/>
          <w:color w:val="auto"/>
          <w:sz w:val="12"/>
          <w:szCs w:val="12"/>
        </w:rPr>
        <w:t>The following is a discussion and analysis of the fnancial conditon of AbbVie Inc. (AbbVie or the company). This commentary should be read in conjuncton with the Consolidated Financial Statements and accompanying notes appearing in Item 8, "Financial Statements and Supplementary Data." This secton of Form 10-K generally discusses 2024 and 2023 items and year-to-year comparisons between 2024 and 2023. Discussions of 2022 items and year-to-year comparisons between 2023 and 2022 that are not included in this Form 10-K can be found in “Management's Discussion and Analysis of Financial Conditon and Results of Operatons” in Part II, Item 7 of the Company’s Annual Report on Form 10-K for the fscal year ended December 31, 2023.</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EXECUTIVE OVERVIEW</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Company Overview</w:t>
      </w:r>
    </w:p>
    <w:p>
      <w:pPr>
        <w:spacing w:after="0" w:line="101"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AbbVie is a global, diversifed research-based biopharmaceutcal company positoned for success with a comprehensive product portolio that has leadership positons across immunology, oncology, aesthetcs, neuroscience and eye care. AbbVie uses its expertse, dedicated people and unique approach to innovaton to develop and market advanced therapies that address some of the world’s most complex and serious diseases.</w:t>
      </w:r>
    </w:p>
    <w:p>
      <w:pPr>
        <w:spacing w:after="0" w:line="92"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On August 1, 2024, AbbVie completed the acquisiton of Cerevel Therapeutcs Holdings, Inc. (Cerevel Therapeutcs). The acquisiton complements AbbVie’s neuroscience portolio, adding a wide range of potentally best-in-class assets that may transform standards of care across psychiatric and neurological disorders where signifcant unmet needs remain for patents. See Note 5 to the Consolidated Financial Statements for additonal informaton on the acquisiton. Subsequent to the acquisiton date, AbbVie's consolidated fnancial statements include the assets, liabilites, operatng results and cash fows of Cerevel Therapeutcs.</w:t>
      </w:r>
    </w:p>
    <w:p>
      <w:pPr>
        <w:spacing w:after="0" w:line="103" w:lineRule="exact"/>
        <w:rPr>
          <w:color w:val="auto"/>
          <w:sz w:val="20"/>
          <w:szCs w:val="20"/>
        </w:rPr>
      </w:pPr>
    </w:p>
    <w:p>
      <w:pPr>
        <w:spacing w:after="0" w:line="264" w:lineRule="auto"/>
        <w:ind w:right="180" w:firstLine="297"/>
        <w:rPr>
          <w:color w:val="auto"/>
          <w:sz w:val="20"/>
          <w:szCs w:val="20"/>
        </w:rPr>
      </w:pPr>
      <w:r>
        <w:rPr>
          <w:rFonts w:ascii="Calibri" w:eastAsia="Calibri" w:hAnsi="Calibri" w:cs="Calibri"/>
          <w:color w:val="auto"/>
          <w:sz w:val="11"/>
          <w:szCs w:val="11"/>
        </w:rPr>
        <w:t>On July 1, 2024, Robert A. Michael, AbbVie's then President and Chief Operatng Ofcer, succeeded Richard A. Gonzalez as the company's Chief Executve Ofcer (CEO). Mr. Gonzalez, who has served as CEO since the company's formaton in 2013, retred from the role of CEO and became Executve Chairman of the board of directors, efectve July 1, 2024. Additonally, the board has appointed Mr. Michael as a member of the board of directors efectve July 1, 2024. On February 13, 2025, the board of directors of AbbVie unanimously elected Mr. Michael to succeed Mr. Gonzalez as Chairman of the board of directors, efectve July 1, 2025, at which tme Mr. Gonzalez will retre from the board.</w:t>
      </w:r>
    </w:p>
    <w:p>
      <w:pPr>
        <w:spacing w:after="0" w:line="88" w:lineRule="exact"/>
        <w:rPr>
          <w:color w:val="auto"/>
          <w:sz w:val="20"/>
          <w:szCs w:val="20"/>
        </w:rPr>
      </w:pPr>
    </w:p>
    <w:p>
      <w:pPr>
        <w:spacing w:after="0" w:line="235" w:lineRule="auto"/>
        <w:ind w:right="100" w:firstLine="297"/>
        <w:rPr>
          <w:color w:val="auto"/>
          <w:sz w:val="20"/>
          <w:szCs w:val="20"/>
        </w:rPr>
      </w:pPr>
      <w:r>
        <w:rPr>
          <w:rFonts w:ascii="Calibri" w:eastAsia="Calibri" w:hAnsi="Calibri" w:cs="Calibri"/>
          <w:color w:val="auto"/>
          <w:sz w:val="12"/>
          <w:szCs w:val="12"/>
        </w:rPr>
        <w:t>On February 12, 2024, AbbVie completed the acquisiton of ImmunoGen, Inc. (ImmunoGen). The acquisiton of ImmunoGen further builds on AbbVie's existng solid tumor pipeline of novel targeted therapies and next-generaton immuno-oncology assets, which have the potental to create new treatment possibilites across multple solid tumors and hematologic malignancies. AbbVie and ImmunoGen's combined capabilites represent an opportunity to deliver potentally transformatve antbody-drug conjugate (ADC) therapies to patents. See Note 5 to the Consolidated Financial Statements for additonal informaton on the acquisiton. Subsequent to the acquisiton date, AbbVie's consolidated fnancial statements include the assets, liabilites, operatng results and cash fows of ImmunoGen.</w:t>
      </w:r>
    </w:p>
    <w:p>
      <w:pPr>
        <w:spacing w:after="0" w:line="92" w:lineRule="exact"/>
        <w:rPr>
          <w:color w:val="auto"/>
          <w:sz w:val="20"/>
          <w:szCs w:val="20"/>
        </w:rPr>
      </w:pPr>
    </w:p>
    <w:p>
      <w:pPr>
        <w:spacing w:after="0" w:line="235" w:lineRule="auto"/>
        <w:ind w:right="160" w:firstLine="297"/>
        <w:rPr>
          <w:color w:val="auto"/>
          <w:sz w:val="20"/>
          <w:szCs w:val="20"/>
        </w:rPr>
      </w:pPr>
      <w:r>
        <w:rPr>
          <w:rFonts w:ascii="Calibri" w:eastAsia="Calibri" w:hAnsi="Calibri" w:cs="Calibri"/>
          <w:color w:val="auto"/>
          <w:sz w:val="12"/>
          <w:szCs w:val="12"/>
        </w:rPr>
        <w:t>AbbVie's products are generally sold worldwide directly to wholesalers, distributors, government agencies, health care facilites, specialty pharmacies and independent retailers from AbbVie-owned distributon centers and public warehouses. Certain products (including aesthetc products and devices) are also sold directly to physicians and other licensed healthcare providers. In the United States, AbbVie distributes pharmaceutcal products principally through independent wholesale distributors, with some sales directly to retailers, pharmacies, patents or other customers. Outside the United States, AbbVie sells products primarily to wholesalers or through distributors, and depending on the market works through largely centralized natonal payers systems to agree on reimbursement terms. Certain products are co-marketed or co-promoted with other companies. AbbVie operates as a single global business segment and has approximately 55,000 employees.</w:t>
      </w:r>
    </w:p>
    <w:p>
      <w:pPr>
        <w:spacing w:after="0" w:line="205"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33</w:t>
      </w:r>
      <w:r>
        <w:rPr>
          <w:color w:val="auto"/>
          <w:sz w:val="20"/>
          <w:szCs w:val="20"/>
        </w:rPr>
        <w:tab/>
      </w:r>
      <w:r>
        <w:rPr>
          <w:color w:val="auto"/>
          <w:sz w:val="1"/>
          <w:szCs w:val="1"/>
        </w:rPr>
        <w:drawing>
          <wp:inline distT="0" distB="0" distL="0" distR="0">
            <wp:extent cx="400050" cy="7429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48352" behindDoc="1" locked="0" layoutInCell="0" allowOverlap="1">
            <wp:simplePos x="0" y="0"/>
            <wp:positionH relativeFrom="column">
              <wp:posOffset>-17145</wp:posOffset>
            </wp:positionH>
            <wp:positionV relativeFrom="paragraph">
              <wp:posOffset>133985</wp:posOffset>
            </wp:positionV>
            <wp:extent cx="7203440" cy="3683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type w:val="continuous"/>
          <w:pgSz w:w="11900" w:h="16838" w:orient="portrait"/>
          <w:pgMar w:top="660" w:right="299" w:bottom="1440" w:left="300" w:header="0" w:footer="0" w:gutter="0"/>
          <w:cols w:num="1" w:space="720" w:equalWidth="0">
            <w:col w:w="11300" w:space="0"/>
          </w:cols>
        </w:sectPr>
      </w:pPr>
    </w:p>
    <w:bookmarkStart w:id="35" w:name="page36"/>
    <w:bookmarkEnd w:id="35"/>
    <w:p>
      <w:pPr>
        <w:spacing w:after="0"/>
        <w:ind w:left="8"/>
        <w:rPr>
          <w:color w:val="auto"/>
          <w:sz w:val="20"/>
          <w:szCs w:val="20"/>
        </w:rPr>
      </w:pPr>
      <w:r>
        <w:rPr>
          <w:rFonts w:ascii="Calibri" w:eastAsia="Calibri" w:hAnsi="Calibri" w:cs="Calibri"/>
          <w:b/>
          <w:bCs/>
          <w:color w:val="444867"/>
          <w:sz w:val="12"/>
          <w:szCs w:val="12"/>
        </w:rPr>
        <w:t>2025 Strategic Objectves</w:t>
      </w:r>
    </w:p>
    <w:p>
      <w:pPr>
        <w:spacing w:after="0" w:line="92" w:lineRule="exact"/>
        <w:rPr>
          <w:color w:val="auto"/>
          <w:sz w:val="20"/>
          <w:szCs w:val="20"/>
        </w:rPr>
      </w:pPr>
    </w:p>
    <w:p>
      <w:pPr>
        <w:spacing w:after="0" w:line="260" w:lineRule="auto"/>
        <w:ind w:left="8" w:right="60" w:firstLine="297"/>
        <w:rPr>
          <w:color w:val="auto"/>
          <w:sz w:val="20"/>
          <w:szCs w:val="20"/>
        </w:rPr>
      </w:pPr>
      <w:r>
        <w:rPr>
          <w:rFonts w:ascii="Calibri" w:eastAsia="Calibri" w:hAnsi="Calibri" w:cs="Calibri"/>
          <w:color w:val="auto"/>
          <w:sz w:val="11"/>
          <w:szCs w:val="11"/>
        </w:rPr>
        <w:t>AbbVie's mission is to discover and develop innovatve medicines and products that solve serious health issues today and address the medical challenges of tomorrow while achieving top-ter fnancial performance through outstanding executon. AbbVie intends to execute its strategy and advance its mission in a number of ways, including: (i) maximizing the benefts of a diversifed revenue base with multple long-term growth drivers; (ii) leveraging AbbVie's commercial strength and internatonal infrastructure across therapeutc areas and ensuring strong commercial executon of new product launches; (iii) contnuing to invest in and expand its pipeline in support of opportunites in immunology, oncology, aesthetcs, neuroscience and eye care as well as contnued investment in key on-market products; (iv) generatng substantal operatng cash fows to support investment in innovatve research and development, and return cash to shareholders via a strong and growing dividend while also contnuing to repay debt. In additon, AbbVie antcipates several regulatory submissions and data readouts from key clinical trials in the next 12 months.</w:t>
      </w:r>
    </w:p>
    <w:p>
      <w:pPr>
        <w:spacing w:after="0" w:line="87" w:lineRule="exact"/>
        <w:rPr>
          <w:color w:val="auto"/>
          <w:sz w:val="20"/>
          <w:szCs w:val="20"/>
        </w:rPr>
      </w:pPr>
    </w:p>
    <w:p>
      <w:pPr>
        <w:spacing w:after="0"/>
        <w:ind w:left="288"/>
        <w:rPr>
          <w:color w:val="auto"/>
          <w:sz w:val="20"/>
          <w:szCs w:val="20"/>
        </w:rPr>
      </w:pPr>
      <w:r>
        <w:rPr>
          <w:rFonts w:ascii="Calibri" w:eastAsia="Calibri" w:hAnsi="Calibri" w:cs="Calibri"/>
          <w:color w:val="auto"/>
          <w:sz w:val="12"/>
          <w:szCs w:val="12"/>
        </w:rPr>
        <w:t>AbbVie expects to achieve its strategic objectves through:</w:t>
      </w:r>
    </w:p>
    <w:p>
      <w:pPr>
        <w:spacing w:after="0" w:line="88" w:lineRule="exact"/>
        <w:rPr>
          <w:color w:val="auto"/>
          <w:sz w:val="20"/>
          <w:szCs w:val="20"/>
        </w:rPr>
      </w:pPr>
    </w:p>
    <w:p>
      <w:pPr>
        <w:numPr>
          <w:ilvl w:val="0"/>
          <w:numId w:val="6"/>
        </w:numPr>
        <w:tabs>
          <w:tab w:val="left" w:pos="648"/>
        </w:tabs>
        <w:spacing w:after="0"/>
        <w:ind w:left="648" w:hanging="216"/>
        <w:rPr>
          <w:rFonts w:ascii="Calibri" w:eastAsia="Calibri" w:hAnsi="Calibri" w:cs="Calibri"/>
          <w:color w:val="auto"/>
          <w:sz w:val="12"/>
          <w:szCs w:val="12"/>
        </w:rPr>
      </w:pPr>
      <w:r>
        <w:rPr>
          <w:rFonts w:ascii="Calibri" w:eastAsia="Calibri" w:hAnsi="Calibri" w:cs="Calibri"/>
          <w:color w:val="auto"/>
          <w:sz w:val="12"/>
          <w:szCs w:val="12"/>
        </w:rPr>
        <w:t>Maximizing revenue growth of our key on-market products, including Skyrizi, Rinvoq, Venclexta, Elahere, Vraylar, Ubrelvy, Qulipta, Vyalev/Produodopa, Botox and Juvederm Collecton.</w:t>
      </w:r>
    </w:p>
    <w:p>
      <w:pPr>
        <w:spacing w:after="0" w:line="146" w:lineRule="exact"/>
        <w:rPr>
          <w:rFonts w:ascii="Calibri" w:eastAsia="Calibri" w:hAnsi="Calibri" w:cs="Calibri"/>
          <w:color w:val="auto"/>
          <w:sz w:val="12"/>
          <w:szCs w:val="12"/>
        </w:rPr>
      </w:pPr>
    </w:p>
    <w:p>
      <w:pPr>
        <w:numPr>
          <w:ilvl w:val="0"/>
          <w:numId w:val="6"/>
        </w:numPr>
        <w:tabs>
          <w:tab w:val="left" w:pos="643"/>
        </w:tabs>
        <w:spacing w:after="0" w:line="219" w:lineRule="auto"/>
        <w:ind w:left="648" w:right="120" w:hanging="216"/>
        <w:rPr>
          <w:rFonts w:ascii="Calibri" w:eastAsia="Calibri" w:hAnsi="Calibri" w:cs="Calibri"/>
          <w:color w:val="auto"/>
          <w:sz w:val="12"/>
          <w:szCs w:val="12"/>
        </w:rPr>
      </w:pPr>
      <w:r>
        <w:rPr>
          <w:rFonts w:ascii="Calibri" w:eastAsia="Calibri" w:hAnsi="Calibri" w:cs="Calibri"/>
          <w:color w:val="auto"/>
          <w:sz w:val="12"/>
          <w:szCs w:val="12"/>
        </w:rPr>
        <w:t>Advancing our research and development pipeline by delivering late-stage pipeline milestones, achieving key proof-of-concept objectves across therapeutc areas and contnuing to invest in key on-market product indicaton expansion.</w:t>
      </w:r>
    </w:p>
    <w:p>
      <w:pPr>
        <w:spacing w:after="0" w:line="142" w:lineRule="exact"/>
        <w:rPr>
          <w:rFonts w:ascii="Calibri" w:eastAsia="Calibri" w:hAnsi="Calibri" w:cs="Calibri"/>
          <w:color w:val="auto"/>
          <w:sz w:val="12"/>
          <w:szCs w:val="12"/>
        </w:rPr>
      </w:pPr>
    </w:p>
    <w:p>
      <w:pPr>
        <w:numPr>
          <w:ilvl w:val="0"/>
          <w:numId w:val="6"/>
        </w:numPr>
        <w:tabs>
          <w:tab w:val="left" w:pos="648"/>
        </w:tabs>
        <w:spacing w:after="0"/>
        <w:ind w:left="648" w:hanging="216"/>
        <w:rPr>
          <w:rFonts w:ascii="Calibri" w:eastAsia="Calibri" w:hAnsi="Calibri" w:cs="Calibri"/>
          <w:color w:val="auto"/>
          <w:sz w:val="12"/>
          <w:szCs w:val="12"/>
        </w:rPr>
      </w:pPr>
      <w:r>
        <w:rPr>
          <w:rFonts w:ascii="Calibri" w:eastAsia="Calibri" w:hAnsi="Calibri" w:cs="Calibri"/>
          <w:color w:val="auto"/>
          <w:sz w:val="12"/>
          <w:szCs w:val="12"/>
        </w:rPr>
        <w:t>Maximizing the value of key acquisitons as well as contnuing to invest in external innovaton.</w:t>
      </w:r>
    </w:p>
    <w:p>
      <w:pPr>
        <w:spacing w:after="0" w:line="150" w:lineRule="exact"/>
        <w:rPr>
          <w:rFonts w:ascii="Calibri" w:eastAsia="Calibri" w:hAnsi="Calibri" w:cs="Calibri"/>
          <w:color w:val="auto"/>
          <w:sz w:val="12"/>
          <w:szCs w:val="12"/>
        </w:rPr>
      </w:pPr>
    </w:p>
    <w:p>
      <w:pPr>
        <w:numPr>
          <w:ilvl w:val="0"/>
          <w:numId w:val="6"/>
        </w:numPr>
        <w:tabs>
          <w:tab w:val="left" w:pos="648"/>
        </w:tabs>
        <w:spacing w:after="0"/>
        <w:ind w:left="648" w:hanging="216"/>
        <w:rPr>
          <w:rFonts w:ascii="Calibri" w:eastAsia="Calibri" w:hAnsi="Calibri" w:cs="Calibri"/>
          <w:color w:val="auto"/>
          <w:sz w:val="12"/>
          <w:szCs w:val="12"/>
        </w:rPr>
      </w:pPr>
      <w:r>
        <w:rPr>
          <w:rFonts w:ascii="Calibri" w:eastAsia="Calibri" w:hAnsi="Calibri" w:cs="Calibri"/>
          <w:color w:val="auto"/>
          <w:sz w:val="12"/>
          <w:szCs w:val="12"/>
        </w:rPr>
        <w:t>Contnuing to efectvely manage the impact of Humira biosimilar erosion.</w:t>
      </w:r>
    </w:p>
    <w:p>
      <w:pPr>
        <w:spacing w:after="0" w:line="92" w:lineRule="exact"/>
        <w:rPr>
          <w:rFonts w:ascii="Calibri" w:eastAsia="Calibri" w:hAnsi="Calibri" w:cs="Calibri"/>
          <w:color w:val="auto"/>
          <w:sz w:val="12"/>
          <w:szCs w:val="12"/>
        </w:rPr>
      </w:pPr>
    </w:p>
    <w:p>
      <w:pPr>
        <w:numPr>
          <w:ilvl w:val="0"/>
          <w:numId w:val="6"/>
        </w:numPr>
        <w:tabs>
          <w:tab w:val="left" w:pos="643"/>
        </w:tabs>
        <w:spacing w:after="0" w:line="234" w:lineRule="auto"/>
        <w:ind w:left="648" w:right="320" w:hanging="216"/>
        <w:rPr>
          <w:rFonts w:ascii="Calibri" w:eastAsia="Calibri" w:hAnsi="Calibri" w:cs="Calibri"/>
          <w:color w:val="auto"/>
          <w:sz w:val="12"/>
          <w:szCs w:val="12"/>
        </w:rPr>
      </w:pPr>
      <w:r>
        <w:rPr>
          <w:rFonts w:ascii="Calibri" w:eastAsia="Calibri" w:hAnsi="Calibri" w:cs="Calibri"/>
          <w:color w:val="auto"/>
          <w:sz w:val="12"/>
          <w:szCs w:val="12"/>
        </w:rPr>
        <w:t>The favorable impact of pipeline products and indicatons recently approved or currently under regulatory review where approval is expected in 2025. These products are described in greater detail in the secton labeled "Research and Development" included as part of this Item 7.</w:t>
      </w:r>
    </w:p>
    <w:p>
      <w:pPr>
        <w:spacing w:after="0" w:line="88" w:lineRule="exact"/>
        <w:rPr>
          <w:color w:val="auto"/>
          <w:sz w:val="20"/>
          <w:szCs w:val="20"/>
        </w:rPr>
      </w:pPr>
    </w:p>
    <w:p>
      <w:pPr>
        <w:spacing w:after="0"/>
        <w:ind w:left="8"/>
        <w:rPr>
          <w:color w:val="auto"/>
          <w:sz w:val="20"/>
          <w:szCs w:val="20"/>
        </w:rPr>
      </w:pPr>
      <w:r>
        <w:rPr>
          <w:rFonts w:ascii="Calibri" w:eastAsia="Calibri" w:hAnsi="Calibri" w:cs="Calibri"/>
          <w:b/>
          <w:bCs/>
          <w:color w:val="444867"/>
          <w:sz w:val="12"/>
          <w:szCs w:val="12"/>
        </w:rPr>
        <w:t>2024 Financial Results</w:t>
      </w:r>
    </w:p>
    <w:p>
      <w:pPr>
        <w:spacing w:after="0" w:line="101" w:lineRule="exact"/>
        <w:rPr>
          <w:color w:val="auto"/>
          <w:sz w:val="20"/>
          <w:szCs w:val="20"/>
        </w:rPr>
      </w:pPr>
    </w:p>
    <w:p>
      <w:pPr>
        <w:spacing w:after="0" w:line="234" w:lineRule="auto"/>
        <w:ind w:left="8" w:right="240" w:firstLine="297"/>
        <w:rPr>
          <w:color w:val="auto"/>
          <w:sz w:val="20"/>
          <w:szCs w:val="20"/>
        </w:rPr>
      </w:pPr>
      <w:r>
        <w:rPr>
          <w:rFonts w:ascii="Calibri" w:eastAsia="Calibri" w:hAnsi="Calibri" w:cs="Calibri"/>
          <w:color w:val="auto"/>
          <w:sz w:val="12"/>
          <w:szCs w:val="12"/>
        </w:rPr>
        <w:t>AbbVie's strategy has focused on delivering strong fnancial results, maximizing the benefts of a diversifed revenue base, advancing and investng in its pipeline and returning value to shareholders while ensuring a strong, sustainable growth business over the long term. The company's fnancial performance in 2024 included delivering worldwide net revenues of $56.3 billion, operatng earnings of $9.1 billion, diluted earnings per share of $2.39 and cash fows from operatons of $18.8 billion. Worldwide net revenues increased by 4% on a reported and 5% on a constant currency basis.</w:t>
      </w:r>
    </w:p>
    <w:p>
      <w:pPr>
        <w:spacing w:after="0" w:line="103" w:lineRule="exact"/>
        <w:rPr>
          <w:color w:val="auto"/>
          <w:sz w:val="20"/>
          <w:szCs w:val="20"/>
        </w:rPr>
      </w:pPr>
    </w:p>
    <w:p>
      <w:pPr>
        <w:spacing w:after="0"/>
        <w:ind w:left="288"/>
        <w:rPr>
          <w:color w:val="auto"/>
          <w:sz w:val="20"/>
          <w:szCs w:val="20"/>
        </w:rPr>
      </w:pPr>
      <w:r>
        <w:rPr>
          <w:rFonts w:ascii="Calibri" w:eastAsia="Calibri" w:hAnsi="Calibri" w:cs="Calibri"/>
          <w:color w:val="auto"/>
          <w:sz w:val="11"/>
          <w:szCs w:val="11"/>
        </w:rPr>
        <w:t>Diluted earnings per share in 2024 was $2.39 and included the following afer-tax costs: (i) $6.5 billion related to the amortzaton of intangible assets; (ii) $3.7 billion for the change in fair value of contngent consideraton liabilites;</w:t>
      </w:r>
    </w:p>
    <w:p>
      <w:pPr>
        <w:spacing w:after="0" w:line="10" w:lineRule="exact"/>
        <w:rPr>
          <w:color w:val="auto"/>
          <w:sz w:val="20"/>
          <w:szCs w:val="20"/>
        </w:rPr>
      </w:pPr>
    </w:p>
    <w:p>
      <w:pPr>
        <w:numPr>
          <w:ilvl w:val="0"/>
          <w:numId w:val="7"/>
        </w:numPr>
        <w:tabs>
          <w:tab w:val="left" w:pos="186"/>
        </w:tabs>
        <w:spacing w:after="0" w:line="271" w:lineRule="auto"/>
        <w:ind w:left="8" w:right="40" w:hanging="8"/>
        <w:rPr>
          <w:rFonts w:ascii="Calibri" w:eastAsia="Calibri" w:hAnsi="Calibri" w:cs="Calibri"/>
          <w:color w:val="auto"/>
          <w:sz w:val="11"/>
          <w:szCs w:val="11"/>
        </w:rPr>
      </w:pPr>
      <w:r>
        <w:rPr>
          <w:rFonts w:ascii="Calibri" w:eastAsia="Calibri" w:hAnsi="Calibri" w:cs="Calibri"/>
          <w:color w:val="auto"/>
          <w:sz w:val="11"/>
          <w:szCs w:val="11"/>
        </w:rPr>
        <w:t>$3.5 billion related to intangible asset impairment; (iv) $978 million of acquisiton and integraton expenses; and (v) $721 million for charges related to litgaton maters. These costs were partally ofset by an income tax beneft of $1.8 billion primarily related to the setlement of income tax examinatons. Additonally, fnancial results refected contnued funding to support all stages of AbbVie’s pipeline assets and contnued investment in AbbVie’s on-market brands.</w:t>
      </w:r>
    </w:p>
    <w:p>
      <w:pPr>
        <w:spacing w:after="0" w:line="70" w:lineRule="exact"/>
        <w:rPr>
          <w:color w:val="auto"/>
          <w:sz w:val="20"/>
          <w:szCs w:val="20"/>
        </w:rPr>
      </w:pPr>
    </w:p>
    <w:p>
      <w:pPr>
        <w:spacing w:after="0"/>
        <w:ind w:left="8"/>
        <w:rPr>
          <w:color w:val="auto"/>
          <w:sz w:val="20"/>
          <w:szCs w:val="20"/>
        </w:rPr>
      </w:pPr>
      <w:r>
        <w:rPr>
          <w:rFonts w:ascii="Calibri" w:eastAsia="Calibri" w:hAnsi="Calibri" w:cs="Calibri"/>
          <w:b/>
          <w:bCs/>
          <w:color w:val="444867"/>
          <w:sz w:val="12"/>
          <w:szCs w:val="12"/>
        </w:rPr>
        <w:t>Regulaton</w:t>
      </w:r>
    </w:p>
    <w:p>
      <w:pPr>
        <w:spacing w:after="0" w:line="101" w:lineRule="exact"/>
        <w:rPr>
          <w:color w:val="auto"/>
          <w:sz w:val="20"/>
          <w:szCs w:val="20"/>
        </w:rPr>
      </w:pPr>
    </w:p>
    <w:p>
      <w:pPr>
        <w:spacing w:after="0" w:line="235" w:lineRule="auto"/>
        <w:ind w:left="8" w:right="100" w:firstLine="297"/>
        <w:rPr>
          <w:color w:val="auto"/>
          <w:sz w:val="20"/>
          <w:szCs w:val="20"/>
        </w:rPr>
      </w:pPr>
      <w:r>
        <w:rPr>
          <w:rFonts w:ascii="Calibri" w:eastAsia="Calibri" w:hAnsi="Calibri" w:cs="Calibri"/>
          <w:color w:val="auto"/>
          <w:sz w:val="12"/>
          <w:szCs w:val="12"/>
        </w:rPr>
        <w:t>The Infaton Reducton Act of 2022 has and will contnue to have a signifcant impact on how drugs are covered and paid for under the Medicare program, including through the creaton of fnancial penaltes for drugs whose price increases outpace infaton, the redesign of Medicare Part D benefts to shif a greater porton of the costs to manufacturers, and through government price-setng for certain Medicare Part B and Part D drugs. In 2023, Imbruvica was selected as one of the frst 10 medicines subject to government-set prices beginning in 2026. In 2024, the CMS published Medicare Part D prices that will be applicable to the 10 selected drugs, including Imbruvica, beginning in 2026. In January 2025, HHS, through the CMS, selected Vraylar and Linzess as two of the 15 medicines subject to government-set prices beginning in 2027. It is possible that more of our products, including products that generate substantal revenues, could be selected in future years, which could, among other things, accelerate revenue erosion prior to expiraton of intellectual property protectons. The efect of reducing prices and reimbursement for certain of our products would signifcantly impact our results of operatons. See Part I, Item 1 “Business – Regulaton – Commercializaton, Distributon and Manufacturing,” Part I, Item 1A “Risk Factors” and Note 7 to the consolidated fnancial statements for additonal informaton.</w:t>
      </w:r>
    </w:p>
    <w:p>
      <w:pPr>
        <w:spacing w:after="0" w:line="20" w:lineRule="exact"/>
        <w:rPr>
          <w:color w:val="auto"/>
          <w:sz w:val="20"/>
          <w:szCs w:val="20"/>
        </w:rPr>
      </w:pPr>
      <w:r>
        <w:rPr>
          <w:color w:val="auto"/>
          <w:sz w:val="20"/>
          <w:szCs w:val="20"/>
        </w:rPr>
        <w:drawing>
          <wp:anchor simplePos="0" relativeHeight="251749376" behindDoc="1" locked="0" layoutInCell="0" allowOverlap="1">
            <wp:simplePos x="0" y="0"/>
            <wp:positionH relativeFrom="column">
              <wp:posOffset>6480810</wp:posOffset>
            </wp:positionH>
            <wp:positionV relativeFrom="paragraph">
              <wp:posOffset>189230</wp:posOffset>
            </wp:positionV>
            <wp:extent cx="400050" cy="74295"/>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2" w:lineRule="exact"/>
        <w:rPr>
          <w:color w:val="auto"/>
          <w:sz w:val="20"/>
          <w:szCs w:val="20"/>
        </w:rPr>
      </w:pPr>
    </w:p>
    <w:tbl>
      <w:tblPr>
        <w:tblInd w:w="8" w:type="dxa"/>
        <w:tblLayout w:type="fixed"/>
        <w:tblCellMar>
          <w:top w:w="0" w:type="dxa"/>
          <w:left w:w="0" w:type="dxa"/>
          <w:bottom w:w="0" w:type="dxa"/>
          <w:right w:w="0" w:type="dxa"/>
        </w:tblCellMar>
      </w:tblPr>
      <w:tblGrid>
        <w:gridCol w:w="10660"/>
        <w:gridCol w:w="640"/>
      </w:tblGrid>
      <w:tr>
        <w:tblPrEx>
          <w:tblInd w:w="8"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34</w:t>
            </w:r>
          </w:p>
        </w:tc>
      </w:tr>
      <w:tr>
        <w:tblPrEx>
          <w:tblInd w:w="8"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50400" behindDoc="1" locked="0" layoutInCell="0" allowOverlap="1">
            <wp:simplePos x="0" y="0"/>
            <wp:positionH relativeFrom="column">
              <wp:posOffset>7159625</wp:posOffset>
            </wp:positionH>
            <wp:positionV relativeFrom="paragraph">
              <wp:posOffset>-23495</wp:posOffset>
            </wp:positionV>
            <wp:extent cx="31115" cy="3683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51424" behindDoc="1" locked="0" layoutInCell="0" allowOverlap="1">
            <wp:simplePos x="0" y="0"/>
            <wp:positionH relativeFrom="column">
              <wp:posOffset>-12065</wp:posOffset>
            </wp:positionH>
            <wp:positionV relativeFrom="paragraph">
              <wp:posOffset>-23495</wp:posOffset>
            </wp:positionV>
            <wp:extent cx="31115" cy="3683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292" w:header="0" w:footer="0" w:gutter="0"/>
          <w:cols w:num="1" w:space="720" w:equalWidth="0">
            <w:col w:w="11308" w:space="0"/>
          </w:cols>
        </w:sectPr>
      </w:pPr>
    </w:p>
    <w:bookmarkStart w:id="36" w:name="page37"/>
    <w:bookmarkEnd w:id="36"/>
    <w:p>
      <w:pPr>
        <w:spacing w:after="0"/>
        <w:rPr>
          <w:color w:val="auto"/>
          <w:sz w:val="20"/>
          <w:szCs w:val="20"/>
        </w:rPr>
      </w:pPr>
      <w:r>
        <w:rPr>
          <w:rFonts w:ascii="Calibri" w:eastAsia="Calibri" w:hAnsi="Calibri" w:cs="Calibri"/>
          <w:b/>
          <w:bCs/>
          <w:color w:val="444867"/>
          <w:sz w:val="12"/>
          <w:szCs w:val="12"/>
        </w:rPr>
        <w:t>Research and Development</w:t>
      </w:r>
    </w:p>
    <w:p>
      <w:pPr>
        <w:spacing w:after="0" w:line="92"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Research and innovaton are the cornerstones of AbbVie's business as a global biopharmaceutcal company. AbbVie's long-term success depends to a great extent on its ability to contnue to discover and develop innovatve products and acquire or collaborate on compounds currently in development by other biotechnology or pharmaceutcal companies.</w:t>
      </w:r>
    </w:p>
    <w:p>
      <w:pPr>
        <w:spacing w:after="0" w:line="101" w:lineRule="exact"/>
        <w:rPr>
          <w:color w:val="auto"/>
          <w:sz w:val="20"/>
          <w:szCs w:val="20"/>
        </w:rPr>
      </w:pPr>
    </w:p>
    <w:p>
      <w:pPr>
        <w:spacing w:after="0" w:line="234" w:lineRule="auto"/>
        <w:ind w:right="300" w:firstLine="297"/>
        <w:rPr>
          <w:color w:val="auto"/>
          <w:sz w:val="20"/>
          <w:szCs w:val="20"/>
        </w:rPr>
      </w:pPr>
      <w:r>
        <w:rPr>
          <w:rFonts w:ascii="Calibri" w:eastAsia="Calibri" w:hAnsi="Calibri" w:cs="Calibri"/>
          <w:color w:val="auto"/>
          <w:sz w:val="12"/>
          <w:szCs w:val="12"/>
        </w:rPr>
        <w:t>AbbVie's pipeline currently includes approximately 90 compounds, devices or indicatons in development individually or under collaboraton or license agreements and is focused on important specialtes including immunology, oncology, aesthetcs, neuroscience and eye care. Of these programs, approximately 50 are in mid- and late-stage development.</w:t>
      </w:r>
    </w:p>
    <w:p>
      <w:pPr>
        <w:spacing w:after="0" w:line="101"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The following sectons summarize transitons of signifcant programs from mid-stage development to late-stage development as well as developments in signifcant late-stage and registratonal programs. AbbVie expects multple mid-stage programs to transiton into late-stage programs in the next 12 months.</w:t>
      </w:r>
    </w:p>
    <w:p>
      <w:pPr>
        <w:spacing w:after="0" w:line="88" w:lineRule="exact"/>
        <w:rPr>
          <w:color w:val="auto"/>
          <w:sz w:val="20"/>
          <w:szCs w:val="20"/>
        </w:rPr>
      </w:pPr>
    </w:p>
    <w:p>
      <w:pPr>
        <w:spacing w:after="0"/>
        <w:rPr>
          <w:color w:val="auto"/>
          <w:sz w:val="20"/>
          <w:szCs w:val="20"/>
        </w:rPr>
      </w:pPr>
      <w:r>
        <w:rPr>
          <w:rFonts w:ascii="Calibri" w:eastAsia="Calibri" w:hAnsi="Calibri" w:cs="Calibri"/>
          <w:b/>
          <w:bCs/>
          <w:i/>
          <w:iCs/>
          <w:color w:val="444867"/>
          <w:sz w:val="12"/>
          <w:szCs w:val="12"/>
        </w:rPr>
        <w:t>Signifcant Programs and Developments</w:t>
      </w:r>
    </w:p>
    <w:p>
      <w:pPr>
        <w:spacing w:after="0" w:line="97"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Immunology</w:t>
      </w:r>
    </w:p>
    <w:p>
      <w:pPr>
        <w:spacing w:after="0" w:line="97"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Rinvoq</w:t>
      </w:r>
    </w:p>
    <w:p>
      <w:pPr>
        <w:spacing w:after="0" w:line="88" w:lineRule="exact"/>
        <w:rPr>
          <w:color w:val="auto"/>
          <w:sz w:val="20"/>
          <w:szCs w:val="20"/>
        </w:rPr>
      </w:pPr>
    </w:p>
    <w:p>
      <w:pPr>
        <w:numPr>
          <w:ilvl w:val="0"/>
          <w:numId w:val="8"/>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January 2024, AbbVie initated a Phase 3 clinical trial to evaluate Rinvoq in adults and adolescents with non-segmental vitligo who are eligible for systemic therapy.</w:t>
      </w:r>
    </w:p>
    <w:p>
      <w:pPr>
        <w:spacing w:after="0" w:line="101" w:lineRule="exact"/>
        <w:rPr>
          <w:rFonts w:ascii="Calibri" w:eastAsia="Calibri" w:hAnsi="Calibri" w:cs="Calibri"/>
          <w:color w:val="auto"/>
          <w:sz w:val="12"/>
          <w:szCs w:val="12"/>
        </w:rPr>
      </w:pPr>
    </w:p>
    <w:p>
      <w:pPr>
        <w:numPr>
          <w:ilvl w:val="0"/>
          <w:numId w:val="8"/>
        </w:numPr>
        <w:tabs>
          <w:tab w:val="left" w:pos="635"/>
        </w:tabs>
        <w:spacing w:after="0" w:line="234" w:lineRule="auto"/>
        <w:ind w:left="640" w:right="380" w:hanging="216"/>
        <w:rPr>
          <w:rFonts w:ascii="Calibri" w:eastAsia="Calibri" w:hAnsi="Calibri" w:cs="Calibri"/>
          <w:color w:val="auto"/>
          <w:sz w:val="12"/>
          <w:szCs w:val="12"/>
        </w:rPr>
      </w:pPr>
      <w:r>
        <w:rPr>
          <w:rFonts w:ascii="Calibri" w:eastAsia="Calibri" w:hAnsi="Calibri" w:cs="Calibri"/>
          <w:color w:val="auto"/>
          <w:sz w:val="12"/>
          <w:szCs w:val="12"/>
        </w:rPr>
        <w:t>In April 2024, AbbVie announced positve top-line results from its Phase 3 SELECT-GCA trial for Rinvoq in combinaton with a 26-week steroid taper regimen in patents with giant cell arterits (GCA) achieved its primary endpoint.</w:t>
      </w:r>
    </w:p>
    <w:p>
      <w:pPr>
        <w:spacing w:after="0" w:line="101" w:lineRule="exact"/>
        <w:rPr>
          <w:rFonts w:ascii="Calibri" w:eastAsia="Calibri" w:hAnsi="Calibri" w:cs="Calibri"/>
          <w:color w:val="auto"/>
          <w:sz w:val="12"/>
          <w:szCs w:val="12"/>
        </w:rPr>
      </w:pPr>
    </w:p>
    <w:p>
      <w:pPr>
        <w:numPr>
          <w:ilvl w:val="0"/>
          <w:numId w:val="8"/>
        </w:numPr>
        <w:tabs>
          <w:tab w:val="left" w:pos="635"/>
        </w:tabs>
        <w:spacing w:after="0" w:line="234" w:lineRule="auto"/>
        <w:ind w:left="640" w:right="520" w:hanging="216"/>
        <w:rPr>
          <w:rFonts w:ascii="Calibri" w:eastAsia="Calibri" w:hAnsi="Calibri" w:cs="Calibri"/>
          <w:color w:val="auto"/>
          <w:sz w:val="12"/>
          <w:szCs w:val="12"/>
        </w:rPr>
      </w:pPr>
      <w:r>
        <w:rPr>
          <w:rFonts w:ascii="Calibri" w:eastAsia="Calibri" w:hAnsi="Calibri" w:cs="Calibri"/>
          <w:color w:val="auto"/>
          <w:sz w:val="12"/>
          <w:szCs w:val="12"/>
        </w:rPr>
        <w:t>In April 2024, AbbVie announced positve top-line results from the head-to-head Phase 3b/4 Level-Up trial evaluatng Rinvoq compared to dupilumab in adolescent and adult patents with moderate to severe atopic dermatts. In the study, Rinvoq demonstrated superiority to dupilumab on the primary endpoint and all ranked secondary endpoints.</w:t>
      </w:r>
    </w:p>
    <w:p>
      <w:pPr>
        <w:spacing w:after="0" w:line="92" w:lineRule="exact"/>
        <w:rPr>
          <w:rFonts w:ascii="Calibri" w:eastAsia="Calibri" w:hAnsi="Calibri" w:cs="Calibri"/>
          <w:color w:val="auto"/>
          <w:sz w:val="12"/>
          <w:szCs w:val="12"/>
        </w:rPr>
      </w:pPr>
    </w:p>
    <w:p>
      <w:pPr>
        <w:numPr>
          <w:ilvl w:val="0"/>
          <w:numId w:val="8"/>
        </w:numPr>
        <w:tabs>
          <w:tab w:val="left" w:pos="635"/>
        </w:tabs>
        <w:spacing w:after="0" w:line="234" w:lineRule="auto"/>
        <w:ind w:left="640" w:right="120" w:hanging="216"/>
        <w:rPr>
          <w:rFonts w:ascii="Calibri" w:eastAsia="Calibri" w:hAnsi="Calibri" w:cs="Calibri"/>
          <w:color w:val="auto"/>
          <w:sz w:val="12"/>
          <w:szCs w:val="12"/>
        </w:rPr>
      </w:pPr>
      <w:r>
        <w:rPr>
          <w:rFonts w:ascii="Calibri" w:eastAsia="Calibri" w:hAnsi="Calibri" w:cs="Calibri"/>
          <w:color w:val="auto"/>
          <w:sz w:val="12"/>
          <w:szCs w:val="12"/>
        </w:rPr>
        <w:t>In June 2024, AbbVie announced that the U.S. Food and Drug Administraton (FDA) has approved Rinvoq for the treatment of pediatric patents two years of age and older with actve polyartcular juvenile idiopathic arthrits (pJIA) as well as psoriatc arthrits (PsA), provided they have had an inadequate response or intolerance to one or more tumor necrosis factor (TNF) blockers.</w:t>
      </w:r>
    </w:p>
    <w:p>
      <w:pPr>
        <w:spacing w:after="0" w:line="96" w:lineRule="exact"/>
        <w:rPr>
          <w:rFonts w:ascii="Calibri" w:eastAsia="Calibri" w:hAnsi="Calibri" w:cs="Calibri"/>
          <w:color w:val="auto"/>
          <w:sz w:val="12"/>
          <w:szCs w:val="12"/>
        </w:rPr>
      </w:pPr>
    </w:p>
    <w:p>
      <w:pPr>
        <w:numPr>
          <w:ilvl w:val="0"/>
          <w:numId w:val="8"/>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July 2024, AbbVie announced that it submited applicatons for a new indicaton to the FDA and European Medicines Agency (EMA) for Rinvoq for the treatment of adult patents with GCA.</w:t>
      </w:r>
    </w:p>
    <w:p>
      <w:pPr>
        <w:spacing w:after="0" w:line="88"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Skyrizi</w:t>
      </w:r>
    </w:p>
    <w:p>
      <w:pPr>
        <w:spacing w:after="0" w:line="88" w:lineRule="exact"/>
        <w:rPr>
          <w:color w:val="auto"/>
          <w:sz w:val="20"/>
          <w:szCs w:val="20"/>
        </w:rPr>
      </w:pPr>
    </w:p>
    <w:p>
      <w:pPr>
        <w:numPr>
          <w:ilvl w:val="0"/>
          <w:numId w:val="9"/>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June 2024, AbbVie announced that the FDA approved Skyrizi for adults with moderately to severely actve ulceratve colits (UC).</w:t>
      </w:r>
    </w:p>
    <w:p>
      <w:pPr>
        <w:spacing w:after="0" w:line="83" w:lineRule="exact"/>
        <w:rPr>
          <w:rFonts w:ascii="Calibri" w:eastAsia="Calibri" w:hAnsi="Calibri" w:cs="Calibri"/>
          <w:color w:val="auto"/>
          <w:sz w:val="12"/>
          <w:szCs w:val="12"/>
        </w:rPr>
      </w:pPr>
    </w:p>
    <w:p>
      <w:pPr>
        <w:numPr>
          <w:ilvl w:val="0"/>
          <w:numId w:val="9"/>
        </w:numPr>
        <w:tabs>
          <w:tab w:val="left" w:pos="635"/>
        </w:tabs>
        <w:spacing w:after="0" w:line="234" w:lineRule="auto"/>
        <w:ind w:left="640" w:right="180" w:hanging="216"/>
        <w:rPr>
          <w:rFonts w:ascii="Calibri" w:eastAsia="Calibri" w:hAnsi="Calibri" w:cs="Calibri"/>
          <w:color w:val="auto"/>
          <w:sz w:val="12"/>
          <w:szCs w:val="12"/>
        </w:rPr>
      </w:pPr>
      <w:r>
        <w:rPr>
          <w:rFonts w:ascii="Calibri" w:eastAsia="Calibri" w:hAnsi="Calibri" w:cs="Calibri"/>
          <w:color w:val="auto"/>
          <w:sz w:val="12"/>
          <w:szCs w:val="12"/>
        </w:rPr>
        <w:t>In July 2024, AbbVie announced that the European Commission (EC) approved Skyrizi for the treatment of adult patents with moderately to severely actve UC who have had an inadequate response to, lost response to, or were intolerant to conventonal therapy or a biologic therapy.</w:t>
      </w:r>
    </w:p>
    <w:p>
      <w:pPr>
        <w:spacing w:after="0" w:line="88"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Lutkizumab</w:t>
      </w:r>
    </w:p>
    <w:p>
      <w:pPr>
        <w:spacing w:after="0" w:line="101" w:lineRule="exact"/>
        <w:rPr>
          <w:color w:val="auto"/>
          <w:sz w:val="20"/>
          <w:szCs w:val="20"/>
        </w:rPr>
      </w:pPr>
    </w:p>
    <w:p>
      <w:pPr>
        <w:numPr>
          <w:ilvl w:val="0"/>
          <w:numId w:val="10"/>
        </w:numPr>
        <w:tabs>
          <w:tab w:val="left" w:pos="635"/>
        </w:tabs>
        <w:spacing w:after="0" w:line="234" w:lineRule="auto"/>
        <w:ind w:left="640" w:right="60" w:hanging="216"/>
        <w:rPr>
          <w:rFonts w:ascii="Calibri" w:eastAsia="Calibri" w:hAnsi="Calibri" w:cs="Calibri"/>
          <w:color w:val="auto"/>
          <w:sz w:val="12"/>
          <w:szCs w:val="12"/>
        </w:rPr>
      </w:pPr>
      <w:r>
        <w:rPr>
          <w:rFonts w:ascii="Calibri" w:eastAsia="Calibri" w:hAnsi="Calibri" w:cs="Calibri"/>
          <w:color w:val="auto"/>
          <w:sz w:val="12"/>
          <w:szCs w:val="12"/>
        </w:rPr>
        <w:t>In January 2024, AbbVie announced Phase 2 results showing adults with moderate to severe hidradenits suppuratva (HS) who had previously failed ant-TNF therapy who received lutkizumab achieved higher response rates than placebo in the primary endpoint of achieving HS Clinical Response at week 16.</w:t>
      </w:r>
    </w:p>
    <w:p>
      <w:pPr>
        <w:spacing w:after="0" w:line="87" w:lineRule="exact"/>
        <w:rPr>
          <w:rFonts w:ascii="Calibri" w:eastAsia="Calibri" w:hAnsi="Calibri" w:cs="Calibri"/>
          <w:color w:val="auto"/>
          <w:sz w:val="12"/>
          <w:szCs w:val="12"/>
        </w:rPr>
      </w:pPr>
    </w:p>
    <w:p>
      <w:pPr>
        <w:numPr>
          <w:ilvl w:val="0"/>
          <w:numId w:val="10"/>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July 2024, AbbVie initated a Phase 3 clinical trial to evaluate lutkizumab in adult and adolescent patents with moderate to severe HS.</w:t>
      </w:r>
    </w:p>
    <w:p>
      <w:pPr>
        <w:spacing w:after="0" w:line="88"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Oncology</w:t>
      </w:r>
    </w:p>
    <w:p>
      <w:pPr>
        <w:spacing w:after="0" w:line="88"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Epkinly</w:t>
      </w:r>
    </w:p>
    <w:p>
      <w:pPr>
        <w:spacing w:after="0" w:line="88" w:lineRule="exact"/>
        <w:rPr>
          <w:color w:val="auto"/>
          <w:sz w:val="20"/>
          <w:szCs w:val="20"/>
        </w:rPr>
      </w:pPr>
    </w:p>
    <w:p>
      <w:pPr>
        <w:numPr>
          <w:ilvl w:val="0"/>
          <w:numId w:val="11"/>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March 2024, AbbVie initated a Phase 3 clinical trial to evaluate Epkinly in combinaton with rituximab and lenalidomide in patents with previously untreated follicular lymphoma (FL).</w:t>
      </w:r>
    </w:p>
    <w:p>
      <w:pPr>
        <w:spacing w:after="0" w:line="105"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35</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52448" behindDoc="1" locked="0" layoutInCell="0" allowOverlap="1">
            <wp:simplePos x="0" y="0"/>
            <wp:positionH relativeFrom="column">
              <wp:posOffset>-17145</wp:posOffset>
            </wp:positionH>
            <wp:positionV relativeFrom="paragraph">
              <wp:posOffset>133985</wp:posOffset>
            </wp:positionV>
            <wp:extent cx="7203440" cy="3683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753472" behindDoc="1" locked="0" layoutInCell="0" allowOverlap="1">
            <wp:simplePos x="0" y="0"/>
            <wp:positionH relativeFrom="column">
              <wp:posOffset>292100</wp:posOffset>
            </wp:positionH>
            <wp:positionV relativeFrom="paragraph">
              <wp:posOffset>-75565</wp:posOffset>
            </wp:positionV>
            <wp:extent cx="400050" cy="74295"/>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37" w:name="page38"/>
    <w:bookmarkEnd w:id="37"/>
    <w:p>
      <w:pPr>
        <w:numPr>
          <w:ilvl w:val="0"/>
          <w:numId w:val="12"/>
        </w:numPr>
        <w:tabs>
          <w:tab w:val="left" w:pos="635"/>
        </w:tabs>
        <w:spacing w:after="0" w:line="271" w:lineRule="auto"/>
        <w:ind w:left="640" w:right="80" w:hanging="216"/>
        <w:rPr>
          <w:rFonts w:ascii="Calibri" w:eastAsia="Calibri" w:hAnsi="Calibri" w:cs="Calibri"/>
          <w:color w:val="auto"/>
          <w:sz w:val="11"/>
          <w:szCs w:val="11"/>
        </w:rPr>
      </w:pPr>
      <w:r>
        <w:rPr>
          <w:rFonts w:ascii="Calibri" w:eastAsia="Calibri" w:hAnsi="Calibri" w:cs="Calibri"/>
          <w:color w:val="auto"/>
          <w:sz w:val="11"/>
          <w:szCs w:val="11"/>
        </w:rPr>
        <w:t>In June 2024, AbbVie announced that the FDA approved Epkinly for the treatment of adults with relapsed or refractory (R/R) FL afer two or more lines of prior therapy. This indicaton is approved under the FDA's Accelerated Approval program based on overall response rate (ORR) and durability of response. Contnued approval for this indicaton may be contngent upon verifcaton and descripton of clinical beneft in a confrmatory trial.</w:t>
      </w:r>
    </w:p>
    <w:p>
      <w:pPr>
        <w:spacing w:after="0" w:line="70" w:lineRule="exact"/>
        <w:rPr>
          <w:rFonts w:ascii="Calibri" w:eastAsia="Calibri" w:hAnsi="Calibri" w:cs="Calibri"/>
          <w:color w:val="auto"/>
          <w:sz w:val="11"/>
          <w:szCs w:val="11"/>
        </w:rPr>
      </w:pPr>
    </w:p>
    <w:p>
      <w:pPr>
        <w:numPr>
          <w:ilvl w:val="0"/>
          <w:numId w:val="12"/>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August 2024, AbbVie announced that the EC granted conditonal marketng authorizaton for Tepkinly as a monotherapy for the treatment of adult patents with R/R FL afer two or more lines of prior therapy.</w:t>
      </w:r>
    </w:p>
    <w:p>
      <w:pPr>
        <w:spacing w:after="0" w:line="88"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Elahere</w:t>
      </w:r>
    </w:p>
    <w:p>
      <w:pPr>
        <w:spacing w:after="0" w:line="101" w:lineRule="exact"/>
        <w:rPr>
          <w:color w:val="auto"/>
          <w:sz w:val="20"/>
          <w:szCs w:val="20"/>
        </w:rPr>
      </w:pPr>
    </w:p>
    <w:p>
      <w:pPr>
        <w:numPr>
          <w:ilvl w:val="0"/>
          <w:numId w:val="13"/>
        </w:numPr>
        <w:tabs>
          <w:tab w:val="left" w:pos="635"/>
        </w:tabs>
        <w:spacing w:after="0" w:line="234" w:lineRule="auto"/>
        <w:ind w:left="640" w:right="220" w:hanging="216"/>
        <w:rPr>
          <w:rFonts w:ascii="Calibri" w:eastAsia="Calibri" w:hAnsi="Calibri" w:cs="Calibri"/>
          <w:color w:val="auto"/>
          <w:sz w:val="12"/>
          <w:szCs w:val="12"/>
        </w:rPr>
      </w:pPr>
      <w:r>
        <w:rPr>
          <w:rFonts w:ascii="Calibri" w:eastAsia="Calibri" w:hAnsi="Calibri" w:cs="Calibri"/>
          <w:color w:val="auto"/>
          <w:sz w:val="12"/>
          <w:szCs w:val="12"/>
        </w:rPr>
        <w:t>In March 2024, AbbVie announced that the FDA granted full approval for Elahere for the treatment of adult patents with folate receptor alpha (FRα)-positve, platnum-resistant epithelial ovarian, fallopian tube or primary peritoneal cancer, who have received one to three prior systemic treatment regimens.</w:t>
      </w:r>
    </w:p>
    <w:p>
      <w:pPr>
        <w:spacing w:after="0" w:line="92" w:lineRule="exact"/>
        <w:rPr>
          <w:rFonts w:ascii="Calibri" w:eastAsia="Calibri" w:hAnsi="Calibri" w:cs="Calibri"/>
          <w:color w:val="auto"/>
          <w:sz w:val="12"/>
          <w:szCs w:val="12"/>
        </w:rPr>
      </w:pPr>
    </w:p>
    <w:p>
      <w:pPr>
        <w:numPr>
          <w:ilvl w:val="0"/>
          <w:numId w:val="13"/>
        </w:numPr>
        <w:tabs>
          <w:tab w:val="left" w:pos="635"/>
        </w:tabs>
        <w:spacing w:after="0" w:line="234" w:lineRule="auto"/>
        <w:ind w:left="640" w:right="120" w:hanging="216"/>
        <w:rPr>
          <w:rFonts w:ascii="Calibri" w:eastAsia="Calibri" w:hAnsi="Calibri" w:cs="Calibri"/>
          <w:color w:val="auto"/>
          <w:sz w:val="12"/>
          <w:szCs w:val="12"/>
        </w:rPr>
      </w:pPr>
      <w:r>
        <w:rPr>
          <w:rFonts w:ascii="Calibri" w:eastAsia="Calibri" w:hAnsi="Calibri" w:cs="Calibri"/>
          <w:color w:val="auto"/>
          <w:sz w:val="12"/>
          <w:szCs w:val="12"/>
        </w:rPr>
        <w:t>In June 2024, AbbVie announced positve topline results from the Phase 2 PICCOLO trial evaluatng Elahere monotherapy in heavily pre-treated patents with FRα-positve, platnum-sensitve ovarian cancer. The study met its primary endpoint and no new safety concerns were identfed.</w:t>
      </w:r>
    </w:p>
    <w:p>
      <w:pPr>
        <w:spacing w:after="0" w:line="101" w:lineRule="exact"/>
        <w:rPr>
          <w:rFonts w:ascii="Calibri" w:eastAsia="Calibri" w:hAnsi="Calibri" w:cs="Calibri"/>
          <w:color w:val="auto"/>
          <w:sz w:val="12"/>
          <w:szCs w:val="12"/>
        </w:rPr>
      </w:pPr>
    </w:p>
    <w:p>
      <w:pPr>
        <w:numPr>
          <w:ilvl w:val="0"/>
          <w:numId w:val="13"/>
        </w:numPr>
        <w:tabs>
          <w:tab w:val="left" w:pos="635"/>
        </w:tabs>
        <w:spacing w:after="0" w:line="234" w:lineRule="auto"/>
        <w:ind w:left="640" w:right="400" w:hanging="216"/>
        <w:rPr>
          <w:rFonts w:ascii="Calibri" w:eastAsia="Calibri" w:hAnsi="Calibri" w:cs="Calibri"/>
          <w:color w:val="auto"/>
          <w:sz w:val="12"/>
          <w:szCs w:val="12"/>
        </w:rPr>
      </w:pPr>
      <w:r>
        <w:rPr>
          <w:rFonts w:ascii="Calibri" w:eastAsia="Calibri" w:hAnsi="Calibri" w:cs="Calibri"/>
          <w:color w:val="auto"/>
          <w:sz w:val="12"/>
          <w:szCs w:val="12"/>
        </w:rPr>
        <w:t>In November 2024, AbbVie announced the EC granted marketng authorizaton for Elahere for the treatment of adult patents with FRα-positve, platnum-resistant high grade serous epithelial ovarian, fallopian tube or primary peritoneal cancer who have received one to three prior systemic treatment regimens.</w:t>
      </w:r>
    </w:p>
    <w:p>
      <w:pPr>
        <w:spacing w:after="0" w:line="88"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Navitoclax</w:t>
      </w:r>
    </w:p>
    <w:p>
      <w:pPr>
        <w:spacing w:after="0" w:line="92" w:lineRule="exact"/>
        <w:rPr>
          <w:color w:val="auto"/>
          <w:sz w:val="20"/>
          <w:szCs w:val="20"/>
        </w:rPr>
      </w:pPr>
    </w:p>
    <w:p>
      <w:pPr>
        <w:numPr>
          <w:ilvl w:val="0"/>
          <w:numId w:val="14"/>
        </w:numPr>
        <w:tabs>
          <w:tab w:val="left" w:pos="635"/>
        </w:tabs>
        <w:spacing w:after="0" w:line="234" w:lineRule="auto"/>
        <w:ind w:left="640" w:right="360" w:hanging="216"/>
        <w:rPr>
          <w:rFonts w:ascii="Calibri" w:eastAsia="Calibri" w:hAnsi="Calibri" w:cs="Calibri"/>
          <w:color w:val="auto"/>
          <w:sz w:val="12"/>
          <w:szCs w:val="12"/>
        </w:rPr>
      </w:pPr>
      <w:r>
        <w:rPr>
          <w:rFonts w:ascii="Calibri" w:eastAsia="Calibri" w:hAnsi="Calibri" w:cs="Calibri"/>
          <w:color w:val="auto"/>
          <w:sz w:val="12"/>
          <w:szCs w:val="12"/>
        </w:rPr>
        <w:t>In April 2024, AbbVie announced its decision to discontnue the Phase 3 TRANSFORM-2 study evaluatng navitoclax, a BCL-XL/BCL-2 inhibitor, plus ruxolitnib in patents with R/R myelofbrosis following evaluaton of the totality of data from the Phase 3 TRANSFORM-1 trial and feedback from regulators.</w:t>
      </w:r>
    </w:p>
    <w:p>
      <w:pPr>
        <w:spacing w:after="0" w:line="88"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ABBV-383</w:t>
      </w:r>
    </w:p>
    <w:p>
      <w:pPr>
        <w:spacing w:after="0" w:line="92" w:lineRule="exact"/>
        <w:rPr>
          <w:color w:val="auto"/>
          <w:sz w:val="20"/>
          <w:szCs w:val="20"/>
        </w:rPr>
      </w:pPr>
    </w:p>
    <w:p>
      <w:pPr>
        <w:numPr>
          <w:ilvl w:val="0"/>
          <w:numId w:val="15"/>
        </w:numPr>
        <w:tabs>
          <w:tab w:val="left" w:pos="635"/>
        </w:tabs>
        <w:spacing w:after="0" w:line="234" w:lineRule="auto"/>
        <w:ind w:left="640" w:right="200" w:hanging="216"/>
        <w:rPr>
          <w:rFonts w:ascii="Calibri" w:eastAsia="Calibri" w:hAnsi="Calibri" w:cs="Calibri"/>
          <w:color w:val="auto"/>
          <w:sz w:val="12"/>
          <w:szCs w:val="12"/>
        </w:rPr>
      </w:pPr>
      <w:r>
        <w:rPr>
          <w:rFonts w:ascii="Calibri" w:eastAsia="Calibri" w:hAnsi="Calibri" w:cs="Calibri"/>
          <w:color w:val="auto"/>
          <w:sz w:val="12"/>
          <w:szCs w:val="12"/>
        </w:rPr>
        <w:t>In June 2024, AbbVie initated the Phase 3 CERVINO clinical trial to evaluate ABBV-383 monotherapy compared with standard available therapies in adult patents with R/R multple myeloma who have received at least two lines of prior therapy.</w:t>
      </w:r>
    </w:p>
    <w:p>
      <w:pPr>
        <w:spacing w:after="0" w:line="151"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Teliso-V</w:t>
      </w:r>
    </w:p>
    <w:p>
      <w:pPr>
        <w:spacing w:after="0" w:line="164" w:lineRule="exact"/>
        <w:rPr>
          <w:color w:val="auto"/>
          <w:sz w:val="20"/>
          <w:szCs w:val="20"/>
        </w:rPr>
      </w:pPr>
    </w:p>
    <w:p>
      <w:pPr>
        <w:numPr>
          <w:ilvl w:val="0"/>
          <w:numId w:val="16"/>
        </w:numPr>
        <w:tabs>
          <w:tab w:val="left" w:pos="635"/>
        </w:tabs>
        <w:spacing w:after="0" w:line="234" w:lineRule="auto"/>
        <w:ind w:left="640" w:right="140" w:hanging="216"/>
        <w:rPr>
          <w:rFonts w:ascii="Calibri" w:eastAsia="Calibri" w:hAnsi="Calibri" w:cs="Calibri"/>
          <w:color w:val="auto"/>
          <w:sz w:val="12"/>
          <w:szCs w:val="12"/>
        </w:rPr>
      </w:pPr>
      <w:r>
        <w:rPr>
          <w:rFonts w:ascii="Calibri" w:eastAsia="Calibri" w:hAnsi="Calibri" w:cs="Calibri"/>
          <w:color w:val="auto"/>
          <w:sz w:val="12"/>
          <w:szCs w:val="12"/>
        </w:rPr>
        <w:t>In September 2024, AbbVie announced submission of a Biologics License Applicaton to the FDA for accelerated approval of Teliso-V in adult patents with previously treated, locally advanced or metastatc epidermal growth factor receptor (EGFR) wild type, nonsquamous non-small cell lung cancer (NSCLC) with c-Met protein overexpression.</w:t>
      </w:r>
    </w:p>
    <w:p>
      <w:pPr>
        <w:spacing w:after="0" w:line="151"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ABBV-400</w:t>
      </w:r>
    </w:p>
    <w:p>
      <w:pPr>
        <w:spacing w:after="0" w:line="164" w:lineRule="exact"/>
        <w:rPr>
          <w:color w:val="auto"/>
          <w:sz w:val="20"/>
          <w:szCs w:val="20"/>
        </w:rPr>
      </w:pPr>
    </w:p>
    <w:p>
      <w:pPr>
        <w:numPr>
          <w:ilvl w:val="0"/>
          <w:numId w:val="17"/>
        </w:numPr>
        <w:tabs>
          <w:tab w:val="left" w:pos="635"/>
        </w:tabs>
        <w:spacing w:after="0" w:line="234" w:lineRule="auto"/>
        <w:ind w:left="640" w:right="20" w:hanging="216"/>
        <w:rPr>
          <w:rFonts w:ascii="Calibri" w:eastAsia="Calibri" w:hAnsi="Calibri" w:cs="Calibri"/>
          <w:color w:val="auto"/>
          <w:sz w:val="12"/>
          <w:szCs w:val="12"/>
        </w:rPr>
      </w:pPr>
      <w:r>
        <w:rPr>
          <w:rFonts w:ascii="Calibri" w:eastAsia="Calibri" w:hAnsi="Calibri" w:cs="Calibri"/>
          <w:color w:val="auto"/>
          <w:sz w:val="12"/>
          <w:szCs w:val="12"/>
        </w:rPr>
        <w:t>In December 2024, AbbVie initated a Phase 3 trial to evaluate ABBV-400 monotherapy compared to trifuridine, tpiracil and bevacizumab in adult partcipants with c-Met over-expressed refractory metastatc colorectal cancer (mCRC).</w:t>
      </w:r>
    </w:p>
    <w:p>
      <w:pPr>
        <w:spacing w:after="0" w:line="151"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Aesthetcs</w:t>
      </w:r>
    </w:p>
    <w:p>
      <w:pPr>
        <w:spacing w:after="0" w:line="151"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Juvederm Collecton</w:t>
      </w:r>
    </w:p>
    <w:p>
      <w:pPr>
        <w:spacing w:after="0" w:line="160" w:lineRule="exact"/>
        <w:rPr>
          <w:color w:val="auto"/>
          <w:sz w:val="20"/>
          <w:szCs w:val="20"/>
        </w:rPr>
      </w:pPr>
    </w:p>
    <w:p>
      <w:pPr>
        <w:numPr>
          <w:ilvl w:val="0"/>
          <w:numId w:val="18"/>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March 2024, AbbVie announced the FDA approval of Juvederm Voluma XC for injecton in the temple region to improve moderate to severe temple hollowing in adults over the age of 21.</w:t>
      </w:r>
    </w:p>
    <w:p>
      <w:pPr>
        <w:spacing w:after="0" w:line="20" w:lineRule="exact"/>
        <w:rPr>
          <w:color w:val="auto"/>
          <w:sz w:val="20"/>
          <w:szCs w:val="20"/>
        </w:rPr>
      </w:pPr>
      <w:r>
        <w:rPr>
          <w:color w:val="auto"/>
          <w:sz w:val="20"/>
          <w:szCs w:val="20"/>
        </w:rPr>
        <w:drawing>
          <wp:anchor simplePos="0" relativeHeight="251754496" behindDoc="1" locked="0" layoutInCell="0" allowOverlap="1">
            <wp:simplePos x="0" y="0"/>
            <wp:positionH relativeFrom="column">
              <wp:posOffset>6475730</wp:posOffset>
            </wp:positionH>
            <wp:positionV relativeFrom="paragraph">
              <wp:posOffset>187960</wp:posOffset>
            </wp:positionV>
            <wp:extent cx="400050" cy="7429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36</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55520" behindDoc="1" locked="0" layoutInCell="0" allowOverlap="1">
            <wp:simplePos x="0" y="0"/>
            <wp:positionH relativeFrom="column">
              <wp:posOffset>7154545</wp:posOffset>
            </wp:positionH>
            <wp:positionV relativeFrom="paragraph">
              <wp:posOffset>-23495</wp:posOffset>
            </wp:positionV>
            <wp:extent cx="31115" cy="3683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56544" behindDoc="1" locked="0" layoutInCell="0" allowOverlap="1">
            <wp:simplePos x="0" y="0"/>
            <wp:positionH relativeFrom="column">
              <wp:posOffset>-17145</wp:posOffset>
            </wp:positionH>
            <wp:positionV relativeFrom="paragraph">
              <wp:posOffset>-23495</wp:posOffset>
            </wp:positionV>
            <wp:extent cx="31115" cy="3683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38" w:name="page39"/>
    <w:bookmarkEnd w:id="38"/>
    <w:p>
      <w:pPr>
        <w:spacing w:after="0"/>
        <w:ind w:left="320"/>
        <w:rPr>
          <w:color w:val="auto"/>
          <w:sz w:val="20"/>
          <w:szCs w:val="20"/>
        </w:rPr>
      </w:pPr>
      <w:r>
        <w:rPr>
          <w:rFonts w:ascii="Calibri" w:eastAsia="Calibri" w:hAnsi="Calibri" w:cs="Calibri"/>
          <w:color w:val="auto"/>
          <w:sz w:val="12"/>
          <w:szCs w:val="12"/>
          <w:u w:val="single" w:color="auto"/>
        </w:rPr>
        <w:t>Botox Cosmetc</w:t>
      </w:r>
    </w:p>
    <w:p>
      <w:pPr>
        <w:spacing w:after="0" w:line="88" w:lineRule="exact"/>
        <w:rPr>
          <w:color w:val="auto"/>
          <w:sz w:val="20"/>
          <w:szCs w:val="20"/>
        </w:rPr>
      </w:pPr>
    </w:p>
    <w:p>
      <w:pPr>
        <w:numPr>
          <w:ilvl w:val="0"/>
          <w:numId w:val="19"/>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September 2024, AbbVie announced that Botox Cosmetc is now available for the treatment of masseter muscle prominence (MMP) in China.</w:t>
      </w:r>
    </w:p>
    <w:p>
      <w:pPr>
        <w:spacing w:after="0" w:line="97" w:lineRule="exact"/>
        <w:rPr>
          <w:rFonts w:ascii="Calibri" w:eastAsia="Calibri" w:hAnsi="Calibri" w:cs="Calibri"/>
          <w:color w:val="auto"/>
          <w:sz w:val="12"/>
          <w:szCs w:val="12"/>
        </w:rPr>
      </w:pPr>
    </w:p>
    <w:p>
      <w:pPr>
        <w:numPr>
          <w:ilvl w:val="0"/>
          <w:numId w:val="19"/>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October 2024, AbbVie announced that the FDA approved Botox Cosmetc for temporary improvement in the appearance of moderate to severe vertcal bands connectng the jaw and neck (platysma bands) in adults</w:t>
      </w:r>
      <w:r>
        <w:rPr>
          <w:rFonts w:ascii="Calibri" w:eastAsia="Calibri" w:hAnsi="Calibri" w:cs="Calibri"/>
          <w:color w:val="auto"/>
          <w:sz w:val="13"/>
          <w:szCs w:val="13"/>
        </w:rPr>
        <w:t>.</w:t>
      </w:r>
    </w:p>
    <w:p>
      <w:pPr>
        <w:spacing w:after="0" w:line="84"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Neuroscience</w:t>
      </w:r>
    </w:p>
    <w:p>
      <w:pPr>
        <w:spacing w:after="0" w:line="88"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Vyalev/Produodopa</w:t>
      </w:r>
    </w:p>
    <w:p>
      <w:pPr>
        <w:spacing w:after="0" w:line="92" w:lineRule="exact"/>
        <w:rPr>
          <w:color w:val="auto"/>
          <w:sz w:val="20"/>
          <w:szCs w:val="20"/>
        </w:rPr>
      </w:pPr>
    </w:p>
    <w:p>
      <w:pPr>
        <w:numPr>
          <w:ilvl w:val="0"/>
          <w:numId w:val="20"/>
        </w:numPr>
        <w:tabs>
          <w:tab w:val="left" w:pos="635"/>
        </w:tabs>
        <w:spacing w:after="0" w:line="234" w:lineRule="auto"/>
        <w:ind w:left="640" w:right="40" w:hanging="216"/>
        <w:rPr>
          <w:rFonts w:ascii="Calibri" w:eastAsia="Calibri" w:hAnsi="Calibri" w:cs="Calibri"/>
          <w:color w:val="auto"/>
          <w:sz w:val="12"/>
          <w:szCs w:val="12"/>
        </w:rPr>
      </w:pPr>
      <w:r>
        <w:rPr>
          <w:rFonts w:ascii="Calibri" w:eastAsia="Calibri" w:hAnsi="Calibri" w:cs="Calibri"/>
          <w:color w:val="auto"/>
          <w:sz w:val="12"/>
          <w:szCs w:val="12"/>
        </w:rPr>
        <w:t>In January 2024, AbbVie announced the launch of Produodopa (ABBV-951) in the European Union for the treatment of advanced Parkinson's disease with severe motor fuctuatons and hyperkinesia (excessive movement) or dyskinesia (involuntary movement), and when available combinatons of Parkinson's medicinal products have not given satsfactory results.</w:t>
      </w:r>
    </w:p>
    <w:p>
      <w:pPr>
        <w:spacing w:after="0" w:line="101" w:lineRule="exact"/>
        <w:rPr>
          <w:rFonts w:ascii="Calibri" w:eastAsia="Calibri" w:hAnsi="Calibri" w:cs="Calibri"/>
          <w:color w:val="auto"/>
          <w:sz w:val="12"/>
          <w:szCs w:val="12"/>
        </w:rPr>
      </w:pPr>
    </w:p>
    <w:p>
      <w:pPr>
        <w:numPr>
          <w:ilvl w:val="0"/>
          <w:numId w:val="20"/>
        </w:numPr>
        <w:tabs>
          <w:tab w:val="left" w:pos="635"/>
        </w:tabs>
        <w:spacing w:after="0" w:line="234" w:lineRule="auto"/>
        <w:ind w:left="640" w:right="40" w:hanging="216"/>
        <w:rPr>
          <w:rFonts w:ascii="Calibri" w:eastAsia="Calibri" w:hAnsi="Calibri" w:cs="Calibri"/>
          <w:color w:val="auto"/>
          <w:sz w:val="12"/>
          <w:szCs w:val="12"/>
        </w:rPr>
      </w:pPr>
      <w:r>
        <w:rPr>
          <w:rFonts w:ascii="Calibri" w:eastAsia="Calibri" w:hAnsi="Calibri" w:cs="Calibri"/>
          <w:color w:val="auto"/>
          <w:sz w:val="12"/>
          <w:szCs w:val="12"/>
        </w:rPr>
        <w:t>In June 2024, AbbVie announced it received a Complete Response Leter (CRL) from the FDA for the New Drug Applicaton (NDA) for ABBV-951 for the treatment of motor fuctuatons in adults with advanced Parkinson's disease. In its leter, the FDA cited observatons that were identfed during inspecton of a third-party manufacturer listed in the NDA. The CRL did not identfy any issues related to the safety, efcacy or labeling of ABBV-951, including the device, and did not request that AbbVie conduct additonal efcacy or safety trials related to the drug or device-related testng.</w:t>
      </w:r>
    </w:p>
    <w:p>
      <w:pPr>
        <w:spacing w:after="0" w:line="102" w:lineRule="exact"/>
        <w:rPr>
          <w:rFonts w:ascii="Calibri" w:eastAsia="Calibri" w:hAnsi="Calibri" w:cs="Calibri"/>
          <w:color w:val="auto"/>
          <w:sz w:val="12"/>
          <w:szCs w:val="12"/>
        </w:rPr>
      </w:pPr>
    </w:p>
    <w:p>
      <w:pPr>
        <w:numPr>
          <w:ilvl w:val="0"/>
          <w:numId w:val="20"/>
        </w:numPr>
        <w:tabs>
          <w:tab w:val="left" w:pos="635"/>
        </w:tabs>
        <w:spacing w:after="0" w:line="234" w:lineRule="auto"/>
        <w:ind w:left="640" w:right="80" w:hanging="216"/>
        <w:rPr>
          <w:rFonts w:ascii="Calibri" w:eastAsia="Calibri" w:hAnsi="Calibri" w:cs="Calibri"/>
          <w:color w:val="auto"/>
          <w:sz w:val="12"/>
          <w:szCs w:val="12"/>
        </w:rPr>
      </w:pPr>
      <w:r>
        <w:rPr>
          <w:rFonts w:ascii="Calibri" w:eastAsia="Calibri" w:hAnsi="Calibri" w:cs="Calibri"/>
          <w:color w:val="auto"/>
          <w:sz w:val="12"/>
          <w:szCs w:val="12"/>
        </w:rPr>
        <w:t>In October 2024, AbbVie announced that the FDA approved Vyalev (ABBV-951) as the frst and only subcutaneous 24-hour infusion of levodopa-based therapy for the treatment of motor fuctuatons in adults with advanced Parkinson's disease.</w:t>
      </w:r>
    </w:p>
    <w:p>
      <w:pPr>
        <w:spacing w:after="0" w:line="88" w:lineRule="exact"/>
        <w:rPr>
          <w:color w:val="auto"/>
          <w:sz w:val="20"/>
          <w:szCs w:val="20"/>
        </w:rPr>
      </w:pPr>
    </w:p>
    <w:p>
      <w:pPr>
        <w:spacing w:after="0"/>
        <w:ind w:left="320"/>
        <w:rPr>
          <w:color w:val="auto"/>
          <w:sz w:val="20"/>
          <w:szCs w:val="20"/>
        </w:rPr>
      </w:pPr>
      <w:r>
        <w:rPr>
          <w:rFonts w:ascii="Calibri" w:eastAsia="Calibri" w:hAnsi="Calibri" w:cs="Calibri"/>
          <w:color w:val="auto"/>
          <w:sz w:val="12"/>
          <w:szCs w:val="12"/>
          <w:u w:val="single" w:color="auto"/>
        </w:rPr>
        <w:t>Tavapadon</w:t>
      </w:r>
    </w:p>
    <w:p>
      <w:pPr>
        <w:spacing w:after="0" w:line="97" w:lineRule="exact"/>
        <w:rPr>
          <w:color w:val="auto"/>
          <w:sz w:val="20"/>
          <w:szCs w:val="20"/>
        </w:rPr>
      </w:pPr>
    </w:p>
    <w:p>
      <w:pPr>
        <w:numPr>
          <w:ilvl w:val="0"/>
          <w:numId w:val="21"/>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In September 2024, AbbVie announced positve top-line results from its Phase 3 TEMPO-1 trial for tavapadon as a monotherapy in early Parkinson's disease.</w:t>
      </w:r>
    </w:p>
    <w:p>
      <w:pPr>
        <w:spacing w:after="0" w:line="101" w:lineRule="exact"/>
        <w:rPr>
          <w:rFonts w:ascii="Calibri" w:eastAsia="Calibri" w:hAnsi="Calibri" w:cs="Calibri"/>
          <w:color w:val="auto"/>
          <w:sz w:val="12"/>
          <w:szCs w:val="12"/>
        </w:rPr>
      </w:pPr>
    </w:p>
    <w:p>
      <w:pPr>
        <w:numPr>
          <w:ilvl w:val="0"/>
          <w:numId w:val="21"/>
        </w:numPr>
        <w:tabs>
          <w:tab w:val="left" w:pos="639"/>
        </w:tabs>
        <w:spacing w:after="0" w:line="376" w:lineRule="auto"/>
        <w:ind w:left="320" w:right="1900" w:firstLine="104"/>
        <w:rPr>
          <w:rFonts w:ascii="Calibri" w:eastAsia="Calibri" w:hAnsi="Calibri" w:cs="Calibri"/>
          <w:color w:val="auto"/>
          <w:sz w:val="12"/>
          <w:szCs w:val="12"/>
        </w:rPr>
      </w:pPr>
      <w:r>
        <w:rPr>
          <w:rFonts w:ascii="Calibri" w:eastAsia="Calibri" w:hAnsi="Calibri" w:cs="Calibri"/>
          <w:color w:val="auto"/>
          <w:sz w:val="12"/>
          <w:szCs w:val="12"/>
        </w:rPr>
        <w:t xml:space="preserve">In December 2024, AbbVie announced positve top-line results from its pivotal Phase 3 TEMPO-2 trial evaluatng tavapadon as a fexible-dose monotherapy in early Parkinson's disease. </w:t>
      </w:r>
      <w:r>
        <w:rPr>
          <w:rFonts w:ascii="Calibri" w:eastAsia="Calibri" w:hAnsi="Calibri" w:cs="Calibri"/>
          <w:color w:val="auto"/>
          <w:sz w:val="12"/>
          <w:szCs w:val="12"/>
          <w:u w:val="single" w:color="auto"/>
        </w:rPr>
        <w:t>Emraclidine</w:t>
      </w:r>
    </w:p>
    <w:p>
      <w:pPr>
        <w:spacing w:after="0" w:line="18" w:lineRule="exact"/>
        <w:rPr>
          <w:rFonts w:ascii="Calibri" w:eastAsia="Calibri" w:hAnsi="Calibri" w:cs="Calibri"/>
          <w:color w:val="auto"/>
          <w:sz w:val="12"/>
          <w:szCs w:val="12"/>
        </w:rPr>
      </w:pPr>
    </w:p>
    <w:p>
      <w:pPr>
        <w:numPr>
          <w:ilvl w:val="0"/>
          <w:numId w:val="21"/>
        </w:numPr>
        <w:tabs>
          <w:tab w:val="left" w:pos="635"/>
        </w:tabs>
        <w:spacing w:after="0" w:line="234" w:lineRule="auto"/>
        <w:ind w:left="640" w:hanging="216"/>
        <w:rPr>
          <w:rFonts w:ascii="Calibri" w:eastAsia="Calibri" w:hAnsi="Calibri" w:cs="Calibri"/>
          <w:color w:val="auto"/>
          <w:sz w:val="12"/>
          <w:szCs w:val="12"/>
        </w:rPr>
      </w:pPr>
      <w:r>
        <w:rPr>
          <w:rFonts w:ascii="Calibri" w:eastAsia="Calibri" w:hAnsi="Calibri" w:cs="Calibri"/>
          <w:color w:val="auto"/>
          <w:sz w:val="12"/>
          <w:szCs w:val="12"/>
        </w:rPr>
        <w:t>In November 2024, AbbVie announced that its two Phase 2 EMPOWER trials investgatng emraclidine as a once-daily, oral monotherapy treatment for adults with schizophrenia who are experiencing an acute exacerbaton of psychotc symptoms, did not meet their primary endpoint of showing a statstcally signifcant reducton (improvement) in the change from baseline in the Positve and Negatve Syndrome Scale total score compared to the placebo group at week 6.</w:t>
      </w:r>
    </w:p>
    <w:p>
      <w:pPr>
        <w:spacing w:after="0" w:line="200" w:lineRule="exact"/>
        <w:rPr>
          <w:color w:val="auto"/>
          <w:sz w:val="20"/>
          <w:szCs w:val="20"/>
        </w:rPr>
      </w:pPr>
    </w:p>
    <w:p>
      <w:pPr>
        <w:spacing w:after="0" w:line="267"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37</w:t>
      </w:r>
      <w:r>
        <w:rPr>
          <w:color w:val="auto"/>
          <w:sz w:val="20"/>
          <w:szCs w:val="20"/>
        </w:rPr>
        <w:tab/>
      </w:r>
      <w:r>
        <w:rPr>
          <w:color w:val="auto"/>
          <w:sz w:val="1"/>
          <w:szCs w:val="1"/>
        </w:rPr>
        <w:drawing>
          <wp:inline distT="0" distB="0" distL="0" distR="0">
            <wp:extent cx="400050" cy="7429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57568" behindDoc="1" locked="0" layoutInCell="0" allowOverlap="1">
            <wp:simplePos x="0" y="0"/>
            <wp:positionH relativeFrom="column">
              <wp:posOffset>-17145</wp:posOffset>
            </wp:positionH>
            <wp:positionV relativeFrom="paragraph">
              <wp:posOffset>128270</wp:posOffset>
            </wp:positionV>
            <wp:extent cx="7203440" cy="3683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0" w:right="359" w:bottom="1440" w:left="300" w:header="0" w:footer="0" w:gutter="0"/>
          <w:cols w:num="1" w:space="720" w:equalWidth="0">
            <w:col w:w="11240" w:space="0"/>
          </w:cols>
        </w:sectPr>
      </w:pPr>
    </w:p>
    <w:bookmarkStart w:id="39" w:name="page40"/>
    <w:bookmarkEnd w:id="39"/>
    <w:p>
      <w:pPr>
        <w:spacing w:after="0"/>
        <w:rPr>
          <w:color w:val="auto"/>
          <w:sz w:val="20"/>
          <w:szCs w:val="20"/>
        </w:rPr>
      </w:pPr>
      <w:r>
        <w:rPr>
          <w:rFonts w:ascii="Calibri" w:eastAsia="Calibri" w:hAnsi="Calibri" w:cs="Calibri"/>
          <w:b/>
          <w:bCs/>
          <w:color w:val="444867"/>
          <w:sz w:val="12"/>
          <w:szCs w:val="12"/>
        </w:rPr>
        <w:t>RESULTS OF OPERATIONS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Net Revenues</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The comparisons presented at constant currency rates refect comparatve local currency net revenues at the prior year's foreign exchange rates. This measure provides informaton on the change in net revenues assuming that foreign currency exchange rates had not changed between the prior and current periods. AbbVie believes that the non-GAAP measure of change in net revenues at constant currency rates, when used in conjuncton with the GAAP measure of change in net revenues at actual currency rates, may provide a more complete understanding of the company's operatons and can facilitate analysis of the company's results of operatons, partcularly in evaluatng performance from one period to another.</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2360"/>
        <w:gridCol w:w="1340"/>
        <w:gridCol w:w="800"/>
        <w:gridCol w:w="300"/>
        <w:gridCol w:w="820"/>
        <w:gridCol w:w="300"/>
        <w:gridCol w:w="880"/>
        <w:gridCol w:w="620"/>
        <w:gridCol w:w="1180"/>
        <w:gridCol w:w="380"/>
        <w:gridCol w:w="80"/>
        <w:gridCol w:w="1340"/>
        <w:gridCol w:w="900"/>
        <w:gridCol w:w="20"/>
      </w:tblGrid>
      <w:tr>
        <w:tblPrEx>
          <w:tblInd w:w="0" w:type="dxa"/>
          <w:tblLayout w:type="fixed"/>
        </w:tblPrEx>
        <w:trPr>
          <w:trHeight w:val="122"/>
        </w:trPr>
        <w:tc>
          <w:tcPr>
            <w:tcW w:w="2360" w:type="dxa"/>
            <w:vAlign w:val="bottom"/>
          </w:tcPr>
          <w:p>
            <w:pPr>
              <w:spacing w:after="0"/>
              <w:rPr>
                <w:color w:val="auto"/>
                <w:sz w:val="10"/>
                <w:szCs w:val="10"/>
              </w:rPr>
            </w:pPr>
          </w:p>
        </w:tc>
        <w:tc>
          <w:tcPr>
            <w:tcW w:w="1340" w:type="dxa"/>
            <w:vAlign w:val="bottom"/>
          </w:tcPr>
          <w:p>
            <w:pPr>
              <w:spacing w:after="0"/>
              <w:rPr>
                <w:color w:val="auto"/>
                <w:sz w:val="10"/>
                <w:szCs w:val="10"/>
              </w:rPr>
            </w:pPr>
          </w:p>
        </w:tc>
        <w:tc>
          <w:tcPr>
            <w:tcW w:w="800" w:type="dxa"/>
            <w:vAlign w:val="bottom"/>
          </w:tcPr>
          <w:p>
            <w:pPr>
              <w:spacing w:after="0"/>
              <w:rPr>
                <w:color w:val="auto"/>
                <w:sz w:val="10"/>
                <w:szCs w:val="10"/>
              </w:rPr>
            </w:pPr>
          </w:p>
        </w:tc>
        <w:tc>
          <w:tcPr>
            <w:tcW w:w="300" w:type="dxa"/>
            <w:vAlign w:val="bottom"/>
          </w:tcPr>
          <w:p>
            <w:pPr>
              <w:spacing w:after="0"/>
              <w:rPr>
                <w:color w:val="auto"/>
                <w:sz w:val="10"/>
                <w:szCs w:val="10"/>
              </w:rPr>
            </w:pPr>
          </w:p>
        </w:tc>
        <w:tc>
          <w:tcPr>
            <w:tcW w:w="820" w:type="dxa"/>
            <w:vAlign w:val="bottom"/>
          </w:tcPr>
          <w:p>
            <w:pPr>
              <w:spacing w:after="0"/>
              <w:rPr>
                <w:color w:val="auto"/>
                <w:sz w:val="10"/>
                <w:szCs w:val="10"/>
              </w:rPr>
            </w:pPr>
          </w:p>
        </w:tc>
        <w:tc>
          <w:tcPr>
            <w:tcW w:w="300" w:type="dxa"/>
            <w:vAlign w:val="bottom"/>
          </w:tcPr>
          <w:p>
            <w:pPr>
              <w:spacing w:after="0"/>
              <w:rPr>
                <w:color w:val="auto"/>
                <w:sz w:val="10"/>
                <w:szCs w:val="10"/>
              </w:rPr>
            </w:pPr>
          </w:p>
        </w:tc>
        <w:tc>
          <w:tcPr>
            <w:tcW w:w="880" w:type="dxa"/>
            <w:vAlign w:val="bottom"/>
          </w:tcPr>
          <w:p>
            <w:pPr>
              <w:spacing w:after="0"/>
              <w:rPr>
                <w:color w:val="auto"/>
                <w:sz w:val="10"/>
                <w:szCs w:val="10"/>
              </w:rPr>
            </w:pPr>
          </w:p>
        </w:tc>
        <w:tc>
          <w:tcPr>
            <w:tcW w:w="620" w:type="dxa"/>
            <w:vAlign w:val="bottom"/>
          </w:tcPr>
          <w:p>
            <w:pPr>
              <w:spacing w:after="0"/>
              <w:rPr>
                <w:color w:val="auto"/>
                <w:sz w:val="10"/>
                <w:szCs w:val="10"/>
              </w:rPr>
            </w:pPr>
          </w:p>
        </w:tc>
        <w:tc>
          <w:tcPr>
            <w:tcW w:w="1180" w:type="dxa"/>
            <w:vAlign w:val="bottom"/>
          </w:tcPr>
          <w:p>
            <w:pPr>
              <w:spacing w:after="0"/>
              <w:rPr>
                <w:color w:val="auto"/>
                <w:sz w:val="10"/>
                <w:szCs w:val="10"/>
              </w:rPr>
            </w:pPr>
          </w:p>
        </w:tc>
        <w:tc>
          <w:tcPr>
            <w:tcW w:w="1800" w:type="dxa"/>
            <w:gridSpan w:val="3"/>
            <w:vAlign w:val="bottom"/>
          </w:tcPr>
          <w:p>
            <w:pPr>
              <w:spacing w:after="0"/>
              <w:ind w:right="1004"/>
              <w:jc w:val="right"/>
              <w:rPr>
                <w:color w:val="auto"/>
                <w:sz w:val="20"/>
                <w:szCs w:val="20"/>
              </w:rPr>
            </w:pPr>
            <w:r>
              <w:rPr>
                <w:rFonts w:ascii="Calibri" w:eastAsia="Calibri" w:hAnsi="Calibri" w:cs="Calibri"/>
                <w:b/>
                <w:bCs/>
                <w:color w:val="auto"/>
                <w:sz w:val="10"/>
                <w:szCs w:val="10"/>
              </w:rPr>
              <w:t>Percent change</w:t>
            </w:r>
          </w:p>
        </w:tc>
        <w:tc>
          <w:tcPr>
            <w:tcW w:w="90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2360" w:type="dxa"/>
            <w:vAlign w:val="bottom"/>
          </w:tcPr>
          <w:p>
            <w:pPr>
              <w:spacing w:after="0"/>
              <w:rPr>
                <w:color w:val="auto"/>
                <w:sz w:val="2"/>
                <w:szCs w:val="2"/>
              </w:rPr>
            </w:pPr>
          </w:p>
        </w:tc>
        <w:tc>
          <w:tcPr>
            <w:tcW w:w="1340" w:type="dxa"/>
            <w:vAlign w:val="bottom"/>
          </w:tcPr>
          <w:p>
            <w:pPr>
              <w:spacing w:after="0"/>
              <w:rPr>
                <w:color w:val="auto"/>
                <w:sz w:val="2"/>
                <w:szCs w:val="2"/>
              </w:rPr>
            </w:pPr>
          </w:p>
        </w:tc>
        <w:tc>
          <w:tcPr>
            <w:tcW w:w="800" w:type="dxa"/>
            <w:vAlign w:val="bottom"/>
          </w:tcPr>
          <w:p>
            <w:pPr>
              <w:spacing w:after="0"/>
              <w:rPr>
                <w:color w:val="auto"/>
                <w:sz w:val="2"/>
                <w:szCs w:val="2"/>
              </w:rPr>
            </w:pPr>
          </w:p>
        </w:tc>
        <w:tc>
          <w:tcPr>
            <w:tcW w:w="300" w:type="dxa"/>
            <w:vAlign w:val="bottom"/>
          </w:tcPr>
          <w:p>
            <w:pPr>
              <w:spacing w:after="0"/>
              <w:rPr>
                <w:color w:val="auto"/>
                <w:sz w:val="2"/>
                <w:szCs w:val="2"/>
              </w:rPr>
            </w:pPr>
          </w:p>
        </w:tc>
        <w:tc>
          <w:tcPr>
            <w:tcW w:w="820" w:type="dxa"/>
            <w:vAlign w:val="bottom"/>
          </w:tcPr>
          <w:p>
            <w:pPr>
              <w:spacing w:after="0"/>
              <w:rPr>
                <w:color w:val="auto"/>
                <w:sz w:val="2"/>
                <w:szCs w:val="2"/>
              </w:rPr>
            </w:pPr>
          </w:p>
        </w:tc>
        <w:tc>
          <w:tcPr>
            <w:tcW w:w="300" w:type="dxa"/>
            <w:vAlign w:val="bottom"/>
          </w:tcPr>
          <w:p>
            <w:pPr>
              <w:spacing w:after="0"/>
              <w:rPr>
                <w:color w:val="auto"/>
                <w:sz w:val="2"/>
                <w:szCs w:val="2"/>
              </w:rPr>
            </w:pPr>
          </w:p>
        </w:tc>
        <w:tc>
          <w:tcPr>
            <w:tcW w:w="880" w:type="dxa"/>
            <w:vAlign w:val="bottom"/>
          </w:tcPr>
          <w:p>
            <w:pPr>
              <w:spacing w:after="0"/>
              <w:rPr>
                <w:color w:val="auto"/>
                <w:sz w:val="2"/>
                <w:szCs w:val="2"/>
              </w:rPr>
            </w:pPr>
          </w:p>
        </w:tc>
        <w:tc>
          <w:tcPr>
            <w:tcW w:w="62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2240" w:type="dxa"/>
            <w:gridSpan w:val="2"/>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2360" w:type="dxa"/>
            <w:vAlign w:val="bottom"/>
          </w:tcPr>
          <w:p>
            <w:pPr>
              <w:spacing w:after="0"/>
              <w:rPr>
                <w:color w:val="auto"/>
                <w:sz w:val="8"/>
                <w:szCs w:val="8"/>
              </w:rPr>
            </w:pPr>
          </w:p>
        </w:tc>
        <w:tc>
          <w:tcPr>
            <w:tcW w:w="1340" w:type="dxa"/>
            <w:vAlign w:val="bottom"/>
          </w:tcPr>
          <w:p>
            <w:pPr>
              <w:spacing w:after="0"/>
              <w:rPr>
                <w:color w:val="auto"/>
                <w:sz w:val="8"/>
                <w:szCs w:val="8"/>
              </w:rPr>
            </w:pPr>
          </w:p>
        </w:tc>
        <w:tc>
          <w:tcPr>
            <w:tcW w:w="800" w:type="dxa"/>
            <w:vAlign w:val="bottom"/>
          </w:tcPr>
          <w:p>
            <w:pPr>
              <w:spacing w:after="0"/>
              <w:rPr>
                <w:color w:val="auto"/>
                <w:sz w:val="8"/>
                <w:szCs w:val="8"/>
              </w:rPr>
            </w:pPr>
          </w:p>
        </w:tc>
        <w:tc>
          <w:tcPr>
            <w:tcW w:w="300" w:type="dxa"/>
            <w:vAlign w:val="bottom"/>
          </w:tcPr>
          <w:p>
            <w:pPr>
              <w:spacing w:after="0"/>
              <w:rPr>
                <w:color w:val="auto"/>
                <w:sz w:val="8"/>
                <w:szCs w:val="8"/>
              </w:rPr>
            </w:pPr>
          </w:p>
        </w:tc>
        <w:tc>
          <w:tcPr>
            <w:tcW w:w="820" w:type="dxa"/>
            <w:vAlign w:val="bottom"/>
          </w:tcPr>
          <w:p>
            <w:pPr>
              <w:spacing w:after="0"/>
              <w:rPr>
                <w:color w:val="auto"/>
                <w:sz w:val="8"/>
                <w:szCs w:val="8"/>
              </w:rPr>
            </w:pPr>
          </w:p>
        </w:tc>
        <w:tc>
          <w:tcPr>
            <w:tcW w:w="300" w:type="dxa"/>
            <w:vAlign w:val="bottom"/>
          </w:tcPr>
          <w:p>
            <w:pPr>
              <w:spacing w:after="0"/>
              <w:rPr>
                <w:color w:val="auto"/>
                <w:sz w:val="8"/>
                <w:szCs w:val="8"/>
              </w:rPr>
            </w:pPr>
          </w:p>
        </w:tc>
        <w:tc>
          <w:tcPr>
            <w:tcW w:w="880" w:type="dxa"/>
            <w:vAlign w:val="bottom"/>
          </w:tcPr>
          <w:p>
            <w:pPr>
              <w:spacing w:after="0"/>
              <w:rPr>
                <w:color w:val="auto"/>
                <w:sz w:val="8"/>
                <w:szCs w:val="8"/>
              </w:rPr>
            </w:pPr>
          </w:p>
        </w:tc>
        <w:tc>
          <w:tcPr>
            <w:tcW w:w="620" w:type="dxa"/>
            <w:vAlign w:val="bottom"/>
          </w:tcPr>
          <w:p>
            <w:pPr>
              <w:spacing w:after="0"/>
              <w:rPr>
                <w:color w:val="auto"/>
                <w:sz w:val="8"/>
                <w:szCs w:val="8"/>
              </w:rPr>
            </w:pPr>
          </w:p>
        </w:tc>
        <w:tc>
          <w:tcPr>
            <w:tcW w:w="1180" w:type="dxa"/>
            <w:vAlign w:val="bottom"/>
          </w:tcPr>
          <w:p>
            <w:pPr>
              <w:spacing w:after="0" w:line="101" w:lineRule="exact"/>
              <w:ind w:right="185"/>
              <w:jc w:val="right"/>
              <w:rPr>
                <w:color w:val="auto"/>
                <w:sz w:val="20"/>
                <w:szCs w:val="20"/>
              </w:rPr>
            </w:pPr>
            <w:r>
              <w:rPr>
                <w:rFonts w:ascii="Calibri" w:eastAsia="Calibri" w:hAnsi="Calibri" w:cs="Calibri"/>
                <w:b/>
                <w:bCs/>
                <w:color w:val="auto"/>
                <w:w w:val="93"/>
                <w:sz w:val="10"/>
                <w:szCs w:val="10"/>
              </w:rPr>
              <w:t>At actual currency rates</w:t>
            </w:r>
          </w:p>
        </w:tc>
        <w:tc>
          <w:tcPr>
            <w:tcW w:w="380" w:type="dxa"/>
            <w:vAlign w:val="bottom"/>
          </w:tcPr>
          <w:p>
            <w:pPr>
              <w:spacing w:after="0"/>
              <w:rPr>
                <w:color w:val="auto"/>
                <w:sz w:val="8"/>
                <w:szCs w:val="8"/>
              </w:rPr>
            </w:pPr>
          </w:p>
        </w:tc>
        <w:tc>
          <w:tcPr>
            <w:tcW w:w="80" w:type="dxa"/>
            <w:vAlign w:val="bottom"/>
          </w:tcPr>
          <w:p>
            <w:pPr>
              <w:spacing w:after="0"/>
              <w:rPr>
                <w:color w:val="auto"/>
                <w:sz w:val="8"/>
                <w:szCs w:val="8"/>
              </w:rPr>
            </w:pPr>
          </w:p>
        </w:tc>
        <w:tc>
          <w:tcPr>
            <w:tcW w:w="2240" w:type="dxa"/>
            <w:gridSpan w:val="2"/>
            <w:vAlign w:val="bottom"/>
          </w:tcPr>
          <w:p>
            <w:pPr>
              <w:spacing w:after="0" w:line="101" w:lineRule="exact"/>
              <w:ind w:right="542"/>
              <w:jc w:val="right"/>
              <w:rPr>
                <w:color w:val="auto"/>
                <w:sz w:val="20"/>
                <w:szCs w:val="20"/>
              </w:rPr>
            </w:pPr>
            <w:r>
              <w:rPr>
                <w:rFonts w:ascii="Calibri" w:eastAsia="Calibri" w:hAnsi="Calibri" w:cs="Calibri"/>
                <w:b/>
                <w:bCs/>
                <w:color w:val="auto"/>
                <w:sz w:val="10"/>
                <w:szCs w:val="10"/>
              </w:rPr>
              <w:t>At constant currency rates</w:t>
            </w:r>
          </w:p>
        </w:tc>
        <w:tc>
          <w:tcPr>
            <w:tcW w:w="1" w:type="dxa"/>
            <w:vAlign w:val="bottom"/>
          </w:tcPr>
          <w:p>
            <w:pPr>
              <w:spacing w:after="0"/>
              <w:rPr>
                <w:color w:val="auto"/>
                <w:sz w:val="1"/>
                <w:szCs w:val="1"/>
              </w:rPr>
            </w:pPr>
          </w:p>
        </w:tc>
      </w:tr>
      <w:tr>
        <w:tblPrEx>
          <w:tblInd w:w="0" w:type="dxa"/>
          <w:tblLayout w:type="fixed"/>
        </w:tblPrEx>
        <w:trPr>
          <w:trHeight w:val="23"/>
        </w:trPr>
        <w:tc>
          <w:tcPr>
            <w:tcW w:w="2360" w:type="dxa"/>
            <w:vMerge w:val="restart"/>
            <w:vAlign w:val="bottom"/>
          </w:tcPr>
          <w:p>
            <w:pPr>
              <w:spacing w:after="0"/>
              <w:rPr>
                <w:color w:val="auto"/>
                <w:sz w:val="20"/>
                <w:szCs w:val="20"/>
              </w:rPr>
            </w:pPr>
            <w:r>
              <w:rPr>
                <w:rFonts w:ascii="Calibri" w:eastAsia="Calibri" w:hAnsi="Calibri" w:cs="Calibri"/>
                <w:b/>
                <w:bCs/>
                <w:color w:val="auto"/>
                <w:sz w:val="10"/>
                <w:szCs w:val="10"/>
              </w:rPr>
              <w:t>years ended (dollars in millions)</w:t>
            </w:r>
          </w:p>
        </w:tc>
        <w:tc>
          <w:tcPr>
            <w:tcW w:w="1340" w:type="dxa"/>
            <w:vAlign w:val="bottom"/>
          </w:tcPr>
          <w:p>
            <w:pPr>
              <w:spacing w:after="0"/>
              <w:rPr>
                <w:color w:val="auto"/>
                <w:sz w:val="2"/>
                <w:szCs w:val="2"/>
              </w:rPr>
            </w:pPr>
          </w:p>
        </w:tc>
        <w:tc>
          <w:tcPr>
            <w:tcW w:w="800" w:type="dxa"/>
            <w:vMerge w:val="restart"/>
            <w:vAlign w:val="bottom"/>
          </w:tcPr>
          <w:p>
            <w:pPr>
              <w:spacing w:after="0"/>
              <w:ind w:right="383"/>
              <w:jc w:val="right"/>
              <w:rPr>
                <w:color w:val="auto"/>
                <w:sz w:val="20"/>
                <w:szCs w:val="20"/>
              </w:rPr>
            </w:pPr>
            <w:r>
              <w:rPr>
                <w:rFonts w:ascii="Calibri" w:eastAsia="Calibri" w:hAnsi="Calibri" w:cs="Calibri"/>
                <w:b/>
                <w:bCs/>
                <w:color w:val="auto"/>
                <w:sz w:val="10"/>
                <w:szCs w:val="10"/>
              </w:rPr>
              <w:t>2024</w:t>
            </w:r>
          </w:p>
        </w:tc>
        <w:tc>
          <w:tcPr>
            <w:tcW w:w="300" w:type="dxa"/>
            <w:vAlign w:val="bottom"/>
          </w:tcPr>
          <w:p>
            <w:pPr>
              <w:spacing w:after="0"/>
              <w:rPr>
                <w:color w:val="auto"/>
                <w:sz w:val="2"/>
                <w:szCs w:val="2"/>
              </w:rPr>
            </w:pPr>
          </w:p>
        </w:tc>
        <w:tc>
          <w:tcPr>
            <w:tcW w:w="820" w:type="dxa"/>
            <w:vMerge w:val="restart"/>
            <w:vAlign w:val="bottom"/>
          </w:tcPr>
          <w:p>
            <w:pPr>
              <w:spacing w:after="0"/>
              <w:ind w:right="383"/>
              <w:jc w:val="right"/>
              <w:rPr>
                <w:color w:val="auto"/>
                <w:sz w:val="20"/>
                <w:szCs w:val="20"/>
              </w:rPr>
            </w:pPr>
            <w:r>
              <w:rPr>
                <w:rFonts w:ascii="Calibri" w:eastAsia="Calibri" w:hAnsi="Calibri" w:cs="Calibri"/>
                <w:b/>
                <w:bCs/>
                <w:color w:val="auto"/>
                <w:sz w:val="10"/>
                <w:szCs w:val="10"/>
              </w:rPr>
              <w:t>2023</w:t>
            </w:r>
          </w:p>
        </w:tc>
        <w:tc>
          <w:tcPr>
            <w:tcW w:w="300" w:type="dxa"/>
            <w:vAlign w:val="bottom"/>
          </w:tcPr>
          <w:p>
            <w:pPr>
              <w:spacing w:after="0"/>
              <w:rPr>
                <w:color w:val="auto"/>
                <w:sz w:val="2"/>
                <w:szCs w:val="2"/>
              </w:rPr>
            </w:pPr>
          </w:p>
        </w:tc>
        <w:tc>
          <w:tcPr>
            <w:tcW w:w="880" w:type="dxa"/>
            <w:vMerge w:val="restart"/>
            <w:vAlign w:val="bottom"/>
          </w:tcPr>
          <w:p>
            <w:pPr>
              <w:spacing w:after="0"/>
              <w:ind w:right="443"/>
              <w:jc w:val="right"/>
              <w:rPr>
                <w:color w:val="auto"/>
                <w:sz w:val="20"/>
                <w:szCs w:val="20"/>
              </w:rPr>
            </w:pPr>
            <w:r>
              <w:rPr>
                <w:rFonts w:ascii="Calibri" w:eastAsia="Calibri" w:hAnsi="Calibri" w:cs="Calibri"/>
                <w:b/>
                <w:bCs/>
                <w:color w:val="auto"/>
                <w:sz w:val="10"/>
                <w:szCs w:val="10"/>
              </w:rPr>
              <w:t>2022</w:t>
            </w:r>
          </w:p>
        </w:tc>
        <w:tc>
          <w:tcPr>
            <w:tcW w:w="62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80" w:type="dxa"/>
            <w:vAlign w:val="bottom"/>
          </w:tcPr>
          <w:p>
            <w:pPr>
              <w:spacing w:after="0"/>
              <w:rPr>
                <w:color w:val="auto"/>
                <w:sz w:val="2"/>
                <w:szCs w:val="2"/>
              </w:rPr>
            </w:pPr>
          </w:p>
        </w:tc>
        <w:tc>
          <w:tcPr>
            <w:tcW w:w="1340" w:type="dxa"/>
            <w:tcBorders>
              <w:bottom w:val="single" w:sz="8" w:space="0" w:color="auto"/>
            </w:tcBorders>
            <w:vAlign w:val="bottom"/>
          </w:tcPr>
          <w:p>
            <w:pPr>
              <w:spacing w:after="0"/>
              <w:rPr>
                <w:color w:val="auto"/>
                <w:sz w:val="2"/>
                <w:szCs w:val="2"/>
              </w:rPr>
            </w:pPr>
          </w:p>
        </w:tc>
        <w:tc>
          <w:tcPr>
            <w:tcW w:w="90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2360" w:type="dxa"/>
            <w:vMerge/>
            <w:vAlign w:val="bottom"/>
          </w:tcPr>
          <w:p>
            <w:pPr>
              <w:spacing w:after="0"/>
              <w:rPr>
                <w:color w:val="auto"/>
                <w:sz w:val="8"/>
                <w:szCs w:val="8"/>
              </w:rPr>
            </w:pPr>
          </w:p>
        </w:tc>
        <w:tc>
          <w:tcPr>
            <w:tcW w:w="1340" w:type="dxa"/>
            <w:vAlign w:val="bottom"/>
          </w:tcPr>
          <w:p>
            <w:pPr>
              <w:spacing w:after="0"/>
              <w:rPr>
                <w:color w:val="auto"/>
                <w:sz w:val="8"/>
                <w:szCs w:val="8"/>
              </w:rPr>
            </w:pPr>
          </w:p>
        </w:tc>
        <w:tc>
          <w:tcPr>
            <w:tcW w:w="800" w:type="dxa"/>
            <w:vMerge/>
            <w:vAlign w:val="bottom"/>
          </w:tcPr>
          <w:p>
            <w:pPr>
              <w:spacing w:after="0"/>
              <w:rPr>
                <w:color w:val="auto"/>
                <w:sz w:val="8"/>
                <w:szCs w:val="8"/>
              </w:rPr>
            </w:pPr>
          </w:p>
        </w:tc>
        <w:tc>
          <w:tcPr>
            <w:tcW w:w="300" w:type="dxa"/>
            <w:vAlign w:val="bottom"/>
          </w:tcPr>
          <w:p>
            <w:pPr>
              <w:spacing w:after="0"/>
              <w:rPr>
                <w:color w:val="auto"/>
                <w:sz w:val="8"/>
                <w:szCs w:val="8"/>
              </w:rPr>
            </w:pPr>
          </w:p>
        </w:tc>
        <w:tc>
          <w:tcPr>
            <w:tcW w:w="820" w:type="dxa"/>
            <w:vMerge/>
            <w:vAlign w:val="bottom"/>
          </w:tcPr>
          <w:p>
            <w:pPr>
              <w:spacing w:after="0"/>
              <w:rPr>
                <w:color w:val="auto"/>
                <w:sz w:val="8"/>
                <w:szCs w:val="8"/>
              </w:rPr>
            </w:pPr>
          </w:p>
        </w:tc>
        <w:tc>
          <w:tcPr>
            <w:tcW w:w="300" w:type="dxa"/>
            <w:vAlign w:val="bottom"/>
          </w:tcPr>
          <w:p>
            <w:pPr>
              <w:spacing w:after="0"/>
              <w:rPr>
                <w:color w:val="auto"/>
                <w:sz w:val="8"/>
                <w:szCs w:val="8"/>
              </w:rPr>
            </w:pPr>
          </w:p>
        </w:tc>
        <w:tc>
          <w:tcPr>
            <w:tcW w:w="880" w:type="dxa"/>
            <w:vMerge/>
            <w:vAlign w:val="bottom"/>
          </w:tcPr>
          <w:p>
            <w:pPr>
              <w:spacing w:after="0"/>
              <w:rPr>
                <w:color w:val="auto"/>
                <w:sz w:val="8"/>
                <w:szCs w:val="8"/>
              </w:rPr>
            </w:pPr>
          </w:p>
        </w:tc>
        <w:tc>
          <w:tcPr>
            <w:tcW w:w="620" w:type="dxa"/>
            <w:vAlign w:val="bottom"/>
          </w:tcPr>
          <w:p>
            <w:pPr>
              <w:spacing w:after="0" w:line="101" w:lineRule="exact"/>
              <w:jc w:val="right"/>
              <w:rPr>
                <w:color w:val="auto"/>
                <w:sz w:val="20"/>
                <w:szCs w:val="20"/>
              </w:rPr>
            </w:pPr>
            <w:r>
              <w:rPr>
                <w:rFonts w:ascii="Calibri" w:eastAsia="Calibri" w:hAnsi="Calibri" w:cs="Calibri"/>
                <w:b/>
                <w:bCs/>
                <w:color w:val="auto"/>
                <w:sz w:val="10"/>
                <w:szCs w:val="10"/>
              </w:rPr>
              <w:t>2024</w:t>
            </w:r>
          </w:p>
        </w:tc>
        <w:tc>
          <w:tcPr>
            <w:tcW w:w="1180" w:type="dxa"/>
            <w:vAlign w:val="bottom"/>
          </w:tcPr>
          <w:p>
            <w:pPr>
              <w:spacing w:after="0" w:line="101" w:lineRule="exact"/>
              <w:ind w:right="5"/>
              <w:jc w:val="right"/>
              <w:rPr>
                <w:color w:val="auto"/>
                <w:sz w:val="20"/>
                <w:szCs w:val="20"/>
              </w:rPr>
            </w:pPr>
            <w:r>
              <w:rPr>
                <w:rFonts w:ascii="Calibri" w:eastAsia="Calibri" w:hAnsi="Calibri" w:cs="Calibri"/>
                <w:b/>
                <w:bCs/>
                <w:color w:val="auto"/>
                <w:sz w:val="10"/>
                <w:szCs w:val="10"/>
              </w:rPr>
              <w:t>2023</w:t>
            </w:r>
          </w:p>
        </w:tc>
        <w:tc>
          <w:tcPr>
            <w:tcW w:w="380" w:type="dxa"/>
            <w:vAlign w:val="bottom"/>
          </w:tcPr>
          <w:p>
            <w:pPr>
              <w:spacing w:after="0"/>
              <w:rPr>
                <w:color w:val="auto"/>
                <w:sz w:val="8"/>
                <w:szCs w:val="8"/>
              </w:rPr>
            </w:pPr>
          </w:p>
        </w:tc>
        <w:tc>
          <w:tcPr>
            <w:tcW w:w="80" w:type="dxa"/>
            <w:vAlign w:val="bottom"/>
          </w:tcPr>
          <w:p>
            <w:pPr>
              <w:spacing w:after="0"/>
              <w:rPr>
                <w:color w:val="auto"/>
                <w:sz w:val="8"/>
                <w:szCs w:val="8"/>
              </w:rPr>
            </w:pPr>
          </w:p>
        </w:tc>
        <w:tc>
          <w:tcPr>
            <w:tcW w:w="1340" w:type="dxa"/>
            <w:vAlign w:val="bottom"/>
          </w:tcPr>
          <w:p>
            <w:pPr>
              <w:spacing w:after="0" w:line="101" w:lineRule="exact"/>
              <w:ind w:right="664"/>
              <w:jc w:val="right"/>
              <w:rPr>
                <w:color w:val="auto"/>
                <w:sz w:val="20"/>
                <w:szCs w:val="20"/>
              </w:rPr>
            </w:pPr>
            <w:r>
              <w:rPr>
                <w:rFonts w:ascii="Calibri" w:eastAsia="Calibri" w:hAnsi="Calibri" w:cs="Calibri"/>
                <w:b/>
                <w:bCs/>
                <w:color w:val="auto"/>
                <w:sz w:val="10"/>
                <w:szCs w:val="10"/>
              </w:rPr>
              <w:t>2024</w:t>
            </w:r>
          </w:p>
        </w:tc>
        <w:tc>
          <w:tcPr>
            <w:tcW w:w="900" w:type="dxa"/>
            <w:vAlign w:val="bottom"/>
          </w:tcPr>
          <w:p>
            <w:pPr>
              <w:spacing w:after="0" w:line="101" w:lineRule="exact"/>
              <w:ind w:right="402"/>
              <w:jc w:val="right"/>
              <w:rPr>
                <w:color w:val="auto"/>
                <w:sz w:val="20"/>
                <w:szCs w:val="20"/>
              </w:rPr>
            </w:pPr>
            <w:r>
              <w:rPr>
                <w:rFonts w:ascii="Calibri" w:eastAsia="Calibri" w:hAnsi="Calibri" w:cs="Calibri"/>
                <w:b/>
                <w:bCs/>
                <w:color w:val="auto"/>
                <w:sz w:val="10"/>
                <w:szCs w:val="10"/>
              </w:rPr>
              <w:t>2023</w:t>
            </w:r>
          </w:p>
        </w:tc>
        <w:tc>
          <w:tcPr>
            <w:tcW w:w="1" w:type="dxa"/>
            <w:vAlign w:val="bottom"/>
          </w:tcPr>
          <w:p>
            <w:pPr>
              <w:spacing w:after="0"/>
              <w:rPr>
                <w:color w:val="auto"/>
                <w:sz w:val="1"/>
                <w:szCs w:val="1"/>
              </w:rPr>
            </w:pPr>
          </w:p>
        </w:tc>
      </w:tr>
      <w:tr>
        <w:tblPrEx>
          <w:tblInd w:w="0" w:type="dxa"/>
          <w:tblLayout w:type="fixed"/>
        </w:tblPrEx>
        <w:trPr>
          <w:trHeight w:val="23"/>
        </w:trPr>
        <w:tc>
          <w:tcPr>
            <w:tcW w:w="2360" w:type="dxa"/>
            <w:tcBorders>
              <w:bottom w:val="single" w:sz="8" w:space="0" w:color="auto"/>
            </w:tcBorders>
            <w:vAlign w:val="bottom"/>
          </w:tcPr>
          <w:p>
            <w:pPr>
              <w:spacing w:after="0"/>
              <w:rPr>
                <w:color w:val="auto"/>
                <w:sz w:val="2"/>
                <w:szCs w:val="2"/>
              </w:rPr>
            </w:pPr>
          </w:p>
        </w:tc>
        <w:tc>
          <w:tcPr>
            <w:tcW w:w="134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62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1340" w:type="dxa"/>
            <w:tcBorders>
              <w:bottom w:val="single" w:sz="8" w:space="0" w:color="auto"/>
            </w:tcBorders>
            <w:vAlign w:val="bottom"/>
          </w:tcPr>
          <w:p>
            <w:pPr>
              <w:spacing w:after="0"/>
              <w:rPr>
                <w:color w:val="auto"/>
                <w:sz w:val="2"/>
                <w:szCs w:val="2"/>
              </w:rPr>
            </w:pPr>
          </w:p>
        </w:tc>
        <w:tc>
          <w:tcPr>
            <w:tcW w:w="90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42"/>
        </w:trPr>
        <w:tc>
          <w:tcPr>
            <w:tcW w:w="23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United States</w:t>
            </w:r>
          </w:p>
        </w:tc>
        <w:tc>
          <w:tcPr>
            <w:tcW w:w="1340" w:type="dxa"/>
            <w:shd w:val="clear" w:color="auto" w:fill="CCEEFF"/>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c>
          <w:tcPr>
            <w:tcW w:w="80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43,029</w:t>
            </w:r>
          </w:p>
        </w:tc>
        <w:tc>
          <w:tcPr>
            <w:tcW w:w="300" w:type="dxa"/>
            <w:shd w:val="clear" w:color="auto" w:fill="CCEEFF"/>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820" w:type="dxa"/>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41,883</w:t>
            </w:r>
          </w:p>
        </w:tc>
        <w:tc>
          <w:tcPr>
            <w:tcW w:w="300" w:type="dxa"/>
            <w:shd w:val="clear" w:color="auto" w:fill="CCEEFF"/>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880" w:type="dxa"/>
            <w:shd w:val="clear" w:color="auto" w:fill="CCEEFF"/>
            <w:vAlign w:val="bottom"/>
          </w:tcPr>
          <w:p>
            <w:pPr>
              <w:spacing w:after="0" w:line="142" w:lineRule="exact"/>
              <w:ind w:right="83"/>
              <w:jc w:val="right"/>
              <w:rPr>
                <w:color w:val="auto"/>
                <w:sz w:val="20"/>
                <w:szCs w:val="20"/>
              </w:rPr>
            </w:pPr>
            <w:r>
              <w:rPr>
                <w:rFonts w:ascii="Calibri" w:eastAsia="Calibri" w:hAnsi="Calibri" w:cs="Calibri"/>
                <w:color w:val="auto"/>
                <w:sz w:val="12"/>
                <w:szCs w:val="12"/>
              </w:rPr>
              <w:t>45,713</w:t>
            </w:r>
          </w:p>
        </w:tc>
        <w:tc>
          <w:tcPr>
            <w:tcW w:w="620" w:type="dxa"/>
            <w:shd w:val="clear" w:color="auto" w:fill="CCEEFF"/>
            <w:vAlign w:val="bottom"/>
          </w:tcPr>
          <w:p>
            <w:pPr>
              <w:spacing w:after="0"/>
              <w:rPr>
                <w:color w:val="auto"/>
                <w:sz w:val="12"/>
                <w:szCs w:val="12"/>
              </w:rPr>
            </w:pPr>
          </w:p>
        </w:tc>
        <w:tc>
          <w:tcPr>
            <w:tcW w:w="1180" w:type="dxa"/>
            <w:shd w:val="clear" w:color="auto" w:fill="CCEEFF"/>
            <w:vAlign w:val="bottom"/>
          </w:tcPr>
          <w:p>
            <w:pPr>
              <w:spacing w:after="0" w:line="142" w:lineRule="exact"/>
              <w:ind w:right="705"/>
              <w:jc w:val="right"/>
              <w:rPr>
                <w:color w:val="auto"/>
                <w:sz w:val="20"/>
                <w:szCs w:val="20"/>
              </w:rPr>
            </w:pPr>
            <w:r>
              <w:rPr>
                <w:rFonts w:ascii="Calibri" w:eastAsia="Calibri" w:hAnsi="Calibri" w:cs="Calibri"/>
                <w:color w:val="auto"/>
                <w:sz w:val="12"/>
                <w:szCs w:val="12"/>
              </w:rPr>
              <w:t>2.7 %</w:t>
            </w:r>
          </w:p>
        </w:tc>
        <w:tc>
          <w:tcPr>
            <w:tcW w:w="3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(8.4)%</w:t>
            </w:r>
          </w:p>
        </w:tc>
        <w:tc>
          <w:tcPr>
            <w:tcW w:w="80" w:type="dxa"/>
            <w:shd w:val="clear" w:color="auto" w:fill="CCEEFF"/>
            <w:vAlign w:val="bottom"/>
          </w:tcPr>
          <w:p>
            <w:pPr>
              <w:spacing w:after="0"/>
              <w:rPr>
                <w:color w:val="auto"/>
                <w:sz w:val="12"/>
                <w:szCs w:val="12"/>
              </w:rPr>
            </w:pPr>
          </w:p>
        </w:tc>
        <w:tc>
          <w:tcPr>
            <w:tcW w:w="1340" w:type="dxa"/>
            <w:shd w:val="clear" w:color="auto" w:fill="CCEEFF"/>
            <w:vAlign w:val="bottom"/>
          </w:tcPr>
          <w:p>
            <w:pPr>
              <w:spacing w:after="0" w:line="142" w:lineRule="exact"/>
              <w:ind w:right="244"/>
              <w:jc w:val="right"/>
              <w:rPr>
                <w:color w:val="auto"/>
                <w:sz w:val="20"/>
                <w:szCs w:val="20"/>
              </w:rPr>
            </w:pPr>
            <w:r>
              <w:rPr>
                <w:rFonts w:ascii="Calibri" w:eastAsia="Calibri" w:hAnsi="Calibri" w:cs="Calibri"/>
                <w:color w:val="auto"/>
                <w:sz w:val="12"/>
                <w:szCs w:val="12"/>
              </w:rPr>
              <w:t>2.7 %</w:t>
            </w:r>
          </w:p>
        </w:tc>
        <w:tc>
          <w:tcPr>
            <w:tcW w:w="9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(8.4)%</w:t>
            </w:r>
          </w:p>
        </w:tc>
        <w:tc>
          <w:tcPr>
            <w:tcW w:w="1" w:type="dxa"/>
            <w:vAlign w:val="bottom"/>
          </w:tcPr>
          <w:p>
            <w:pPr>
              <w:spacing w:after="0"/>
              <w:rPr>
                <w:color w:val="auto"/>
                <w:sz w:val="1"/>
                <w:szCs w:val="1"/>
              </w:rPr>
            </w:pPr>
          </w:p>
        </w:tc>
      </w:tr>
      <w:tr>
        <w:tblPrEx>
          <w:tblInd w:w="0" w:type="dxa"/>
          <w:tblLayout w:type="fixed"/>
        </w:tblPrEx>
        <w:trPr>
          <w:trHeight w:val="147"/>
        </w:trPr>
        <w:tc>
          <w:tcPr>
            <w:tcW w:w="23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Internatonal</w:t>
            </w:r>
          </w:p>
        </w:tc>
        <w:tc>
          <w:tcPr>
            <w:tcW w:w="1340" w:type="dxa"/>
            <w:tcBorders>
              <w:bottom w:val="single" w:sz="8" w:space="0" w:color="auto"/>
            </w:tcBorders>
            <w:vAlign w:val="bottom"/>
          </w:tcPr>
          <w:p>
            <w:pPr>
              <w:spacing w:after="0"/>
              <w:rPr>
                <w:color w:val="auto"/>
                <w:sz w:val="12"/>
                <w:szCs w:val="12"/>
              </w:rPr>
            </w:pPr>
          </w:p>
        </w:tc>
        <w:tc>
          <w:tcPr>
            <w:tcW w:w="800" w:type="dxa"/>
            <w:tcBorders>
              <w:bottom w:val="single" w:sz="8" w:space="0" w:color="auto"/>
            </w:tcBorders>
            <w:vAlign w:val="bottom"/>
          </w:tcPr>
          <w:p>
            <w:pPr>
              <w:spacing w:after="0" w:line="142" w:lineRule="exact"/>
              <w:ind w:right="3"/>
              <w:jc w:val="right"/>
              <w:rPr>
                <w:color w:val="auto"/>
                <w:sz w:val="20"/>
                <w:szCs w:val="20"/>
              </w:rPr>
            </w:pPr>
            <w:r>
              <w:rPr>
                <w:rFonts w:ascii="Calibri" w:eastAsia="Calibri" w:hAnsi="Calibri" w:cs="Calibri"/>
                <w:color w:val="auto"/>
                <w:sz w:val="12"/>
                <w:szCs w:val="12"/>
              </w:rPr>
              <w:t>13,305</w:t>
            </w:r>
          </w:p>
        </w:tc>
        <w:tc>
          <w:tcPr>
            <w:tcW w:w="300" w:type="dxa"/>
            <w:tcBorders>
              <w:bottom w:val="single" w:sz="8" w:space="0" w:color="auto"/>
            </w:tcBorders>
            <w:vAlign w:val="bottom"/>
          </w:tcPr>
          <w:p>
            <w:pPr>
              <w:spacing w:after="0"/>
              <w:rPr>
                <w:color w:val="auto"/>
                <w:sz w:val="12"/>
                <w:szCs w:val="12"/>
              </w:rPr>
            </w:pPr>
          </w:p>
        </w:tc>
        <w:tc>
          <w:tcPr>
            <w:tcW w:w="820" w:type="dxa"/>
            <w:tcBorders>
              <w:bottom w:val="single" w:sz="8" w:space="0" w:color="auto"/>
            </w:tcBorders>
            <w:vAlign w:val="bottom"/>
          </w:tcPr>
          <w:p>
            <w:pPr>
              <w:spacing w:after="0" w:line="142" w:lineRule="exact"/>
              <w:ind w:right="23"/>
              <w:jc w:val="right"/>
              <w:rPr>
                <w:color w:val="auto"/>
                <w:sz w:val="20"/>
                <w:szCs w:val="20"/>
              </w:rPr>
            </w:pPr>
            <w:r>
              <w:rPr>
                <w:rFonts w:ascii="Calibri" w:eastAsia="Calibri" w:hAnsi="Calibri" w:cs="Calibri"/>
                <w:color w:val="auto"/>
                <w:sz w:val="12"/>
                <w:szCs w:val="12"/>
              </w:rPr>
              <w:t>12,435</w:t>
            </w:r>
          </w:p>
        </w:tc>
        <w:tc>
          <w:tcPr>
            <w:tcW w:w="300" w:type="dxa"/>
            <w:tcBorders>
              <w:bottom w:val="single" w:sz="8" w:space="0" w:color="auto"/>
            </w:tcBorders>
            <w:vAlign w:val="bottom"/>
          </w:tcPr>
          <w:p>
            <w:pPr>
              <w:spacing w:after="0"/>
              <w:rPr>
                <w:color w:val="auto"/>
                <w:sz w:val="12"/>
                <w:szCs w:val="12"/>
              </w:rPr>
            </w:pPr>
          </w:p>
        </w:tc>
        <w:tc>
          <w:tcPr>
            <w:tcW w:w="880" w:type="dxa"/>
            <w:tcBorders>
              <w:bottom w:val="single" w:sz="8" w:space="0" w:color="auto"/>
            </w:tcBorders>
            <w:vAlign w:val="bottom"/>
          </w:tcPr>
          <w:p>
            <w:pPr>
              <w:spacing w:after="0" w:line="142" w:lineRule="exact"/>
              <w:ind w:right="83"/>
              <w:jc w:val="right"/>
              <w:rPr>
                <w:color w:val="auto"/>
                <w:sz w:val="20"/>
                <w:szCs w:val="20"/>
              </w:rPr>
            </w:pPr>
            <w:r>
              <w:rPr>
                <w:rFonts w:ascii="Calibri" w:eastAsia="Calibri" w:hAnsi="Calibri" w:cs="Calibri"/>
                <w:color w:val="auto"/>
                <w:sz w:val="12"/>
                <w:szCs w:val="12"/>
              </w:rPr>
              <w:t>12,341</w:t>
            </w:r>
          </w:p>
        </w:tc>
        <w:tc>
          <w:tcPr>
            <w:tcW w:w="620" w:type="dxa"/>
            <w:tcBorders>
              <w:bottom w:val="single" w:sz="8" w:space="0" w:color="auto"/>
            </w:tcBorders>
            <w:vAlign w:val="bottom"/>
          </w:tcPr>
          <w:p>
            <w:pPr>
              <w:spacing w:after="0"/>
              <w:rPr>
                <w:color w:val="auto"/>
                <w:sz w:val="12"/>
                <w:szCs w:val="12"/>
              </w:rPr>
            </w:pPr>
          </w:p>
        </w:tc>
        <w:tc>
          <w:tcPr>
            <w:tcW w:w="1180" w:type="dxa"/>
            <w:tcBorders>
              <w:bottom w:val="single" w:sz="8" w:space="0" w:color="auto"/>
            </w:tcBorders>
            <w:vAlign w:val="bottom"/>
          </w:tcPr>
          <w:p>
            <w:pPr>
              <w:spacing w:after="0" w:line="142" w:lineRule="exact"/>
              <w:ind w:right="705"/>
              <w:jc w:val="right"/>
              <w:rPr>
                <w:color w:val="auto"/>
                <w:sz w:val="20"/>
                <w:szCs w:val="20"/>
              </w:rPr>
            </w:pPr>
            <w:r>
              <w:rPr>
                <w:rFonts w:ascii="Calibri" w:eastAsia="Calibri" w:hAnsi="Calibri" w:cs="Calibri"/>
                <w:color w:val="auto"/>
                <w:sz w:val="12"/>
                <w:szCs w:val="12"/>
              </w:rPr>
              <w:t>7.0 %</w:t>
            </w:r>
          </w:p>
        </w:tc>
        <w:tc>
          <w:tcPr>
            <w:tcW w:w="3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0.8 %</w:t>
            </w:r>
          </w:p>
        </w:tc>
        <w:tc>
          <w:tcPr>
            <w:tcW w:w="80" w:type="dxa"/>
            <w:tcBorders>
              <w:bottom w:val="single" w:sz="8" w:space="0" w:color="auto"/>
            </w:tcBorders>
            <w:vAlign w:val="bottom"/>
          </w:tcPr>
          <w:p>
            <w:pPr>
              <w:spacing w:after="0"/>
              <w:rPr>
                <w:color w:val="auto"/>
                <w:sz w:val="12"/>
                <w:szCs w:val="12"/>
              </w:rPr>
            </w:pPr>
          </w:p>
        </w:tc>
        <w:tc>
          <w:tcPr>
            <w:tcW w:w="1340" w:type="dxa"/>
            <w:tcBorders>
              <w:bottom w:val="single" w:sz="8" w:space="0" w:color="auto"/>
            </w:tcBorders>
            <w:vAlign w:val="bottom"/>
          </w:tcPr>
          <w:p>
            <w:pPr>
              <w:spacing w:after="0" w:line="142" w:lineRule="exact"/>
              <w:ind w:right="244"/>
              <w:jc w:val="right"/>
              <w:rPr>
                <w:color w:val="auto"/>
                <w:sz w:val="20"/>
                <w:szCs w:val="20"/>
              </w:rPr>
            </w:pPr>
            <w:r>
              <w:rPr>
                <w:rFonts w:ascii="Calibri" w:eastAsia="Calibri" w:hAnsi="Calibri" w:cs="Calibri"/>
                <w:color w:val="auto"/>
                <w:sz w:val="12"/>
                <w:szCs w:val="12"/>
              </w:rPr>
              <w:t>11.1 %</w:t>
            </w:r>
          </w:p>
        </w:tc>
        <w:tc>
          <w:tcPr>
            <w:tcW w:w="9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3.4 %</w:t>
            </w:r>
          </w:p>
        </w:tc>
        <w:tc>
          <w:tcPr>
            <w:tcW w:w="1" w:type="dxa"/>
            <w:vAlign w:val="bottom"/>
          </w:tcPr>
          <w:p>
            <w:pPr>
              <w:spacing w:after="0"/>
              <w:rPr>
                <w:color w:val="auto"/>
                <w:sz w:val="1"/>
                <w:szCs w:val="1"/>
              </w:rPr>
            </w:pPr>
          </w:p>
        </w:tc>
      </w:tr>
      <w:tr>
        <w:tblPrEx>
          <w:tblInd w:w="0" w:type="dxa"/>
          <w:tblLayout w:type="fixed"/>
        </w:tblPrEx>
        <w:trPr>
          <w:trHeight w:val="164"/>
        </w:trPr>
        <w:tc>
          <w:tcPr>
            <w:tcW w:w="23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Net revenues</w:t>
            </w:r>
          </w:p>
        </w:tc>
        <w:tc>
          <w:tcPr>
            <w:tcW w:w="1340" w:type="dxa"/>
            <w:tcBorders>
              <w:bottom w:val="single" w:sz="8" w:space="0" w:color="auto"/>
            </w:tcBorders>
            <w:shd w:val="clear" w:color="auto" w:fill="CCEEFF"/>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c>
          <w:tcPr>
            <w:tcW w:w="800" w:type="dxa"/>
            <w:tcBorders>
              <w:bottom w:val="single" w:sz="8" w:space="0" w:color="auto"/>
            </w:tcBorders>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56,334</w:t>
            </w:r>
          </w:p>
        </w:tc>
        <w:tc>
          <w:tcPr>
            <w:tcW w:w="300" w:type="dxa"/>
            <w:tcBorders>
              <w:bottom w:val="single" w:sz="8" w:space="0" w:color="auto"/>
            </w:tcBorders>
            <w:shd w:val="clear" w:color="auto" w:fill="CCEEFF"/>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820" w:type="dxa"/>
            <w:tcBorders>
              <w:bottom w:val="single" w:sz="8" w:space="0" w:color="auto"/>
            </w:tcBorders>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54,318</w:t>
            </w:r>
          </w:p>
        </w:tc>
        <w:tc>
          <w:tcPr>
            <w:tcW w:w="300" w:type="dxa"/>
            <w:tcBorders>
              <w:bottom w:val="single" w:sz="8" w:space="0" w:color="auto"/>
            </w:tcBorders>
            <w:shd w:val="clear" w:color="auto" w:fill="CCEEFF"/>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880" w:type="dxa"/>
            <w:tcBorders>
              <w:bottom w:val="single" w:sz="8" w:space="0" w:color="auto"/>
            </w:tcBorders>
            <w:shd w:val="clear" w:color="auto" w:fill="CCEEFF"/>
            <w:vAlign w:val="bottom"/>
          </w:tcPr>
          <w:p>
            <w:pPr>
              <w:spacing w:after="0" w:line="142" w:lineRule="exact"/>
              <w:ind w:right="83"/>
              <w:jc w:val="right"/>
              <w:rPr>
                <w:color w:val="auto"/>
                <w:sz w:val="20"/>
                <w:szCs w:val="20"/>
              </w:rPr>
            </w:pPr>
            <w:r>
              <w:rPr>
                <w:rFonts w:ascii="Calibri" w:eastAsia="Calibri" w:hAnsi="Calibri" w:cs="Calibri"/>
                <w:color w:val="auto"/>
                <w:sz w:val="12"/>
                <w:szCs w:val="12"/>
              </w:rPr>
              <w:t>58,054</w:t>
            </w:r>
          </w:p>
        </w:tc>
        <w:tc>
          <w:tcPr>
            <w:tcW w:w="620" w:type="dxa"/>
            <w:tcBorders>
              <w:bottom w:val="single" w:sz="8" w:space="0" w:color="auto"/>
            </w:tcBorders>
            <w:shd w:val="clear" w:color="auto" w:fill="CCEEFF"/>
            <w:vAlign w:val="bottom"/>
          </w:tcPr>
          <w:p>
            <w:pPr>
              <w:spacing w:after="0"/>
              <w:rPr>
                <w:color w:val="auto"/>
                <w:sz w:val="14"/>
                <w:szCs w:val="14"/>
              </w:rPr>
            </w:pPr>
          </w:p>
        </w:tc>
        <w:tc>
          <w:tcPr>
            <w:tcW w:w="1180" w:type="dxa"/>
            <w:tcBorders>
              <w:bottom w:val="single" w:sz="8" w:space="0" w:color="auto"/>
            </w:tcBorders>
            <w:shd w:val="clear" w:color="auto" w:fill="CCEEFF"/>
            <w:vAlign w:val="bottom"/>
          </w:tcPr>
          <w:p>
            <w:pPr>
              <w:spacing w:after="0" w:line="142" w:lineRule="exact"/>
              <w:ind w:right="705"/>
              <w:jc w:val="right"/>
              <w:rPr>
                <w:color w:val="auto"/>
                <w:sz w:val="20"/>
                <w:szCs w:val="20"/>
              </w:rPr>
            </w:pPr>
            <w:r>
              <w:rPr>
                <w:rFonts w:ascii="Calibri" w:eastAsia="Calibri" w:hAnsi="Calibri" w:cs="Calibri"/>
                <w:color w:val="auto"/>
                <w:sz w:val="12"/>
                <w:szCs w:val="12"/>
              </w:rPr>
              <w:t>3.7 %</w:t>
            </w:r>
          </w:p>
        </w:tc>
        <w:tc>
          <w:tcPr>
            <w:tcW w:w="3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(6.4)%</w:t>
            </w:r>
          </w:p>
        </w:tc>
        <w:tc>
          <w:tcPr>
            <w:tcW w:w="80" w:type="dxa"/>
            <w:tcBorders>
              <w:bottom w:val="single" w:sz="8" w:space="0" w:color="auto"/>
            </w:tcBorders>
            <w:shd w:val="clear" w:color="auto" w:fill="CCEEFF"/>
            <w:vAlign w:val="bottom"/>
          </w:tcPr>
          <w:p>
            <w:pPr>
              <w:spacing w:after="0"/>
              <w:rPr>
                <w:color w:val="auto"/>
                <w:sz w:val="14"/>
                <w:szCs w:val="14"/>
              </w:rPr>
            </w:pPr>
          </w:p>
        </w:tc>
        <w:tc>
          <w:tcPr>
            <w:tcW w:w="1340" w:type="dxa"/>
            <w:tcBorders>
              <w:bottom w:val="single" w:sz="8" w:space="0" w:color="auto"/>
            </w:tcBorders>
            <w:shd w:val="clear" w:color="auto" w:fill="CCEEFF"/>
            <w:vAlign w:val="bottom"/>
          </w:tcPr>
          <w:p>
            <w:pPr>
              <w:spacing w:after="0" w:line="142" w:lineRule="exact"/>
              <w:ind w:right="244"/>
              <w:jc w:val="right"/>
              <w:rPr>
                <w:color w:val="auto"/>
                <w:sz w:val="20"/>
                <w:szCs w:val="20"/>
              </w:rPr>
            </w:pPr>
            <w:r>
              <w:rPr>
                <w:rFonts w:ascii="Calibri" w:eastAsia="Calibri" w:hAnsi="Calibri" w:cs="Calibri"/>
                <w:color w:val="auto"/>
                <w:sz w:val="12"/>
                <w:szCs w:val="12"/>
              </w:rPr>
              <w:t>4.6 %</w:t>
            </w:r>
          </w:p>
        </w:tc>
        <w:tc>
          <w:tcPr>
            <w:tcW w:w="90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(5.9)%</w:t>
            </w:r>
          </w:p>
        </w:tc>
        <w:tc>
          <w:tcPr>
            <w:tcW w:w="1" w:type="dxa"/>
            <w:vAlign w:val="bottom"/>
          </w:tcPr>
          <w:p>
            <w:pPr>
              <w:spacing w:after="0"/>
              <w:rPr>
                <w:color w:val="auto"/>
                <w:sz w:val="1"/>
                <w:szCs w:val="1"/>
              </w:rPr>
            </w:pPr>
          </w:p>
        </w:tc>
      </w:tr>
      <w:tr>
        <w:tblPrEx>
          <w:tblInd w:w="0" w:type="dxa"/>
          <w:tblLayout w:type="fixed"/>
        </w:tblPrEx>
        <w:trPr>
          <w:trHeight w:val="973"/>
        </w:trPr>
        <w:tc>
          <w:tcPr>
            <w:tcW w:w="2360" w:type="dxa"/>
            <w:vAlign w:val="bottom"/>
          </w:tcPr>
          <w:p>
            <w:pPr>
              <w:spacing w:after="0"/>
              <w:rPr>
                <w:color w:val="auto"/>
                <w:sz w:val="24"/>
                <w:szCs w:val="24"/>
              </w:rPr>
            </w:pPr>
          </w:p>
        </w:tc>
        <w:tc>
          <w:tcPr>
            <w:tcW w:w="1340" w:type="dxa"/>
            <w:vAlign w:val="bottom"/>
          </w:tcPr>
          <w:p>
            <w:pPr>
              <w:spacing w:after="0"/>
              <w:rPr>
                <w:color w:val="auto"/>
                <w:sz w:val="24"/>
                <w:szCs w:val="24"/>
              </w:rPr>
            </w:pPr>
          </w:p>
        </w:tc>
        <w:tc>
          <w:tcPr>
            <w:tcW w:w="800" w:type="dxa"/>
            <w:vAlign w:val="bottom"/>
          </w:tcPr>
          <w:p>
            <w:pPr>
              <w:spacing w:after="0"/>
              <w:rPr>
                <w:color w:val="auto"/>
                <w:sz w:val="24"/>
                <w:szCs w:val="24"/>
              </w:rPr>
            </w:pPr>
          </w:p>
        </w:tc>
        <w:tc>
          <w:tcPr>
            <w:tcW w:w="300" w:type="dxa"/>
            <w:vAlign w:val="bottom"/>
          </w:tcPr>
          <w:p>
            <w:pPr>
              <w:spacing w:after="0"/>
              <w:rPr>
                <w:color w:val="auto"/>
                <w:sz w:val="24"/>
                <w:szCs w:val="24"/>
              </w:rPr>
            </w:pPr>
          </w:p>
        </w:tc>
        <w:tc>
          <w:tcPr>
            <w:tcW w:w="820" w:type="dxa"/>
            <w:vAlign w:val="bottom"/>
          </w:tcPr>
          <w:p>
            <w:pPr>
              <w:spacing w:after="0"/>
              <w:rPr>
                <w:color w:val="auto"/>
                <w:sz w:val="24"/>
                <w:szCs w:val="24"/>
              </w:rPr>
            </w:pPr>
          </w:p>
        </w:tc>
        <w:tc>
          <w:tcPr>
            <w:tcW w:w="300" w:type="dxa"/>
            <w:vAlign w:val="bottom"/>
          </w:tcPr>
          <w:p>
            <w:pPr>
              <w:spacing w:after="0"/>
              <w:rPr>
                <w:color w:val="auto"/>
                <w:sz w:val="24"/>
                <w:szCs w:val="24"/>
              </w:rPr>
            </w:pPr>
          </w:p>
        </w:tc>
        <w:tc>
          <w:tcPr>
            <w:tcW w:w="880" w:type="dxa"/>
            <w:vAlign w:val="bottom"/>
          </w:tcPr>
          <w:p>
            <w:pPr>
              <w:spacing w:after="0"/>
              <w:rPr>
                <w:color w:val="auto"/>
                <w:sz w:val="24"/>
                <w:szCs w:val="24"/>
              </w:rPr>
            </w:pPr>
          </w:p>
        </w:tc>
        <w:tc>
          <w:tcPr>
            <w:tcW w:w="620" w:type="dxa"/>
            <w:vAlign w:val="bottom"/>
          </w:tcPr>
          <w:p>
            <w:pPr>
              <w:spacing w:after="0"/>
              <w:rPr>
                <w:color w:val="auto"/>
                <w:sz w:val="24"/>
                <w:szCs w:val="24"/>
              </w:rPr>
            </w:pPr>
          </w:p>
        </w:tc>
        <w:tc>
          <w:tcPr>
            <w:tcW w:w="1180" w:type="dxa"/>
            <w:vAlign w:val="bottom"/>
          </w:tcPr>
          <w:p>
            <w:pPr>
              <w:spacing w:after="0"/>
              <w:rPr>
                <w:color w:val="auto"/>
                <w:sz w:val="24"/>
                <w:szCs w:val="24"/>
              </w:rPr>
            </w:pPr>
          </w:p>
        </w:tc>
        <w:tc>
          <w:tcPr>
            <w:tcW w:w="380" w:type="dxa"/>
            <w:vAlign w:val="bottom"/>
          </w:tcPr>
          <w:p>
            <w:pPr>
              <w:spacing w:after="0"/>
              <w:rPr>
                <w:color w:val="auto"/>
                <w:sz w:val="24"/>
                <w:szCs w:val="24"/>
              </w:rPr>
            </w:pPr>
          </w:p>
        </w:tc>
        <w:tc>
          <w:tcPr>
            <w:tcW w:w="80" w:type="dxa"/>
            <w:vAlign w:val="bottom"/>
          </w:tcPr>
          <w:p>
            <w:pPr>
              <w:spacing w:after="0"/>
              <w:rPr>
                <w:color w:val="auto"/>
                <w:sz w:val="24"/>
                <w:szCs w:val="24"/>
              </w:rPr>
            </w:pPr>
          </w:p>
        </w:tc>
        <w:tc>
          <w:tcPr>
            <w:tcW w:w="1340" w:type="dxa"/>
            <w:vAlign w:val="bottom"/>
          </w:tcPr>
          <w:p>
            <w:pPr>
              <w:spacing w:after="0"/>
              <w:ind w:right="164"/>
              <w:jc w:val="right"/>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900" w:type="dxa"/>
            <w:vAlign w:val="bottom"/>
          </w:tcPr>
          <w:p>
            <w:pPr>
              <w:spacing w:after="0"/>
              <w:jc w:val="right"/>
              <w:rPr>
                <w:color w:val="auto"/>
                <w:sz w:val="20"/>
                <w:szCs w:val="20"/>
              </w:rPr>
            </w:pPr>
            <w:r>
              <w:rPr>
                <w:rFonts w:ascii="Calibri" w:eastAsia="Calibri" w:hAnsi="Calibri" w:cs="Calibri"/>
                <w:b/>
                <w:bCs/>
                <w:i/>
                <w:iCs/>
                <w:color w:val="auto"/>
                <w:sz w:val="12"/>
                <w:szCs w:val="12"/>
              </w:rPr>
              <w:t>38</w:t>
            </w:r>
          </w:p>
        </w:tc>
        <w:tc>
          <w:tcPr>
            <w:tcW w:w="1" w:type="dxa"/>
            <w:vAlign w:val="bottom"/>
          </w:tcPr>
          <w:p>
            <w:pPr>
              <w:spacing w:after="0"/>
              <w:rPr>
                <w:color w:val="auto"/>
                <w:sz w:val="1"/>
                <w:szCs w:val="1"/>
              </w:rPr>
            </w:pPr>
          </w:p>
        </w:tc>
      </w:tr>
      <w:tr>
        <w:tblPrEx>
          <w:tblInd w:w="0" w:type="dxa"/>
          <w:tblLayout w:type="fixed"/>
        </w:tblPrEx>
        <w:trPr>
          <w:trHeight w:val="152"/>
        </w:trPr>
        <w:tc>
          <w:tcPr>
            <w:tcW w:w="2360" w:type="dxa"/>
            <w:tcBorders>
              <w:bottom w:val="single" w:sz="8" w:space="0" w:color="9A9A9A"/>
            </w:tcBorders>
            <w:vAlign w:val="bottom"/>
          </w:tcPr>
          <w:p>
            <w:pPr>
              <w:spacing w:after="0"/>
              <w:rPr>
                <w:color w:val="auto"/>
                <w:sz w:val="13"/>
                <w:szCs w:val="13"/>
              </w:rPr>
            </w:pPr>
          </w:p>
        </w:tc>
        <w:tc>
          <w:tcPr>
            <w:tcW w:w="1340" w:type="dxa"/>
            <w:tcBorders>
              <w:bottom w:val="single" w:sz="8" w:space="0" w:color="9A9A9A"/>
            </w:tcBorders>
            <w:vAlign w:val="bottom"/>
          </w:tcPr>
          <w:p>
            <w:pPr>
              <w:spacing w:after="0"/>
              <w:rPr>
                <w:color w:val="auto"/>
                <w:sz w:val="13"/>
                <w:szCs w:val="13"/>
              </w:rPr>
            </w:pPr>
          </w:p>
        </w:tc>
        <w:tc>
          <w:tcPr>
            <w:tcW w:w="800" w:type="dxa"/>
            <w:tcBorders>
              <w:bottom w:val="single" w:sz="8" w:space="0" w:color="9A9A9A"/>
            </w:tcBorders>
            <w:vAlign w:val="bottom"/>
          </w:tcPr>
          <w:p>
            <w:pPr>
              <w:spacing w:after="0"/>
              <w:rPr>
                <w:color w:val="auto"/>
                <w:sz w:val="13"/>
                <w:szCs w:val="13"/>
              </w:rPr>
            </w:pPr>
          </w:p>
        </w:tc>
        <w:tc>
          <w:tcPr>
            <w:tcW w:w="300" w:type="dxa"/>
            <w:tcBorders>
              <w:bottom w:val="single" w:sz="8" w:space="0" w:color="9A9A9A"/>
            </w:tcBorders>
            <w:vAlign w:val="bottom"/>
          </w:tcPr>
          <w:p>
            <w:pPr>
              <w:spacing w:after="0"/>
              <w:rPr>
                <w:color w:val="auto"/>
                <w:sz w:val="13"/>
                <w:szCs w:val="13"/>
              </w:rPr>
            </w:pPr>
          </w:p>
        </w:tc>
        <w:tc>
          <w:tcPr>
            <w:tcW w:w="820" w:type="dxa"/>
            <w:tcBorders>
              <w:bottom w:val="single" w:sz="8" w:space="0" w:color="9A9A9A"/>
            </w:tcBorders>
            <w:vAlign w:val="bottom"/>
          </w:tcPr>
          <w:p>
            <w:pPr>
              <w:spacing w:after="0"/>
              <w:rPr>
                <w:color w:val="auto"/>
                <w:sz w:val="13"/>
                <w:szCs w:val="13"/>
              </w:rPr>
            </w:pPr>
          </w:p>
        </w:tc>
        <w:tc>
          <w:tcPr>
            <w:tcW w:w="300" w:type="dxa"/>
            <w:tcBorders>
              <w:bottom w:val="single" w:sz="8" w:space="0" w:color="9A9A9A"/>
            </w:tcBorders>
            <w:vAlign w:val="bottom"/>
          </w:tcPr>
          <w:p>
            <w:pPr>
              <w:spacing w:after="0"/>
              <w:rPr>
                <w:color w:val="auto"/>
                <w:sz w:val="13"/>
                <w:szCs w:val="13"/>
              </w:rPr>
            </w:pPr>
          </w:p>
        </w:tc>
        <w:tc>
          <w:tcPr>
            <w:tcW w:w="880" w:type="dxa"/>
            <w:tcBorders>
              <w:bottom w:val="single" w:sz="8" w:space="0" w:color="9A9A9A"/>
            </w:tcBorders>
            <w:vAlign w:val="bottom"/>
          </w:tcPr>
          <w:p>
            <w:pPr>
              <w:spacing w:after="0"/>
              <w:rPr>
                <w:color w:val="auto"/>
                <w:sz w:val="13"/>
                <w:szCs w:val="13"/>
              </w:rPr>
            </w:pPr>
          </w:p>
        </w:tc>
        <w:tc>
          <w:tcPr>
            <w:tcW w:w="620" w:type="dxa"/>
            <w:tcBorders>
              <w:bottom w:val="single" w:sz="8" w:space="0" w:color="9A9A9A"/>
            </w:tcBorders>
            <w:vAlign w:val="bottom"/>
          </w:tcPr>
          <w:p>
            <w:pPr>
              <w:spacing w:after="0"/>
              <w:rPr>
                <w:color w:val="auto"/>
                <w:sz w:val="13"/>
                <w:szCs w:val="13"/>
              </w:rPr>
            </w:pPr>
          </w:p>
        </w:tc>
        <w:tc>
          <w:tcPr>
            <w:tcW w:w="1180" w:type="dxa"/>
            <w:tcBorders>
              <w:bottom w:val="single" w:sz="8" w:space="0" w:color="9A9A9A"/>
            </w:tcBorders>
            <w:vAlign w:val="bottom"/>
          </w:tcPr>
          <w:p>
            <w:pPr>
              <w:spacing w:after="0"/>
              <w:rPr>
                <w:color w:val="auto"/>
                <w:sz w:val="13"/>
                <w:szCs w:val="13"/>
              </w:rPr>
            </w:pPr>
          </w:p>
        </w:tc>
        <w:tc>
          <w:tcPr>
            <w:tcW w:w="380" w:type="dxa"/>
            <w:tcBorders>
              <w:bottom w:val="single" w:sz="8" w:space="0" w:color="9A9A9A"/>
            </w:tcBorders>
            <w:vAlign w:val="bottom"/>
          </w:tcPr>
          <w:p>
            <w:pPr>
              <w:spacing w:after="0"/>
              <w:rPr>
                <w:color w:val="auto"/>
                <w:sz w:val="13"/>
                <w:szCs w:val="13"/>
              </w:rPr>
            </w:pPr>
          </w:p>
        </w:tc>
        <w:tc>
          <w:tcPr>
            <w:tcW w:w="80" w:type="dxa"/>
            <w:tcBorders>
              <w:bottom w:val="single" w:sz="8" w:space="0" w:color="9A9A9A"/>
            </w:tcBorders>
            <w:vAlign w:val="bottom"/>
          </w:tcPr>
          <w:p>
            <w:pPr>
              <w:spacing w:after="0"/>
              <w:rPr>
                <w:color w:val="auto"/>
                <w:sz w:val="13"/>
                <w:szCs w:val="13"/>
              </w:rPr>
            </w:pPr>
          </w:p>
        </w:tc>
        <w:tc>
          <w:tcPr>
            <w:tcW w:w="1340" w:type="dxa"/>
            <w:tcBorders>
              <w:bottom w:val="single" w:sz="8" w:space="0" w:color="9A9A9A"/>
            </w:tcBorders>
            <w:vAlign w:val="bottom"/>
          </w:tcPr>
          <w:p>
            <w:pPr>
              <w:spacing w:after="0"/>
              <w:rPr>
                <w:color w:val="auto"/>
                <w:sz w:val="13"/>
                <w:szCs w:val="13"/>
              </w:rPr>
            </w:pPr>
          </w:p>
        </w:tc>
        <w:tc>
          <w:tcPr>
            <w:tcW w:w="900" w:type="dxa"/>
            <w:tcBorders>
              <w:bottom w:val="single" w:sz="8" w:space="0" w:color="9A9A9A"/>
            </w:tcBorders>
            <w:vAlign w:val="bottom"/>
          </w:tcPr>
          <w:p>
            <w:pPr>
              <w:spacing w:after="0"/>
              <w:rPr>
                <w:color w:val="auto"/>
                <w:sz w:val="13"/>
                <w:szCs w:val="13"/>
              </w:rPr>
            </w:pPr>
          </w:p>
        </w:tc>
        <w:tc>
          <w:tcPr>
            <w:tcW w:w="1" w:type="dxa"/>
            <w:vAlign w:val="bottom"/>
          </w:tcPr>
          <w:p>
            <w:pPr>
              <w:spacing w:after="0"/>
              <w:rPr>
                <w:color w:val="auto"/>
                <w:sz w:val="1"/>
                <w:szCs w:val="1"/>
              </w:rPr>
            </w:pPr>
          </w:p>
        </w:tc>
      </w:tr>
    </w:tbl>
    <w:p>
      <w:pPr>
        <w:spacing w:after="0" w:line="20" w:lineRule="exact"/>
        <w:rPr>
          <w:color w:val="auto"/>
          <w:sz w:val="20"/>
          <w:szCs w:val="20"/>
        </w:rPr>
      </w:pPr>
      <w:r>
        <w:rPr>
          <w:color w:val="auto"/>
          <w:sz w:val="20"/>
          <w:szCs w:val="20"/>
        </w:rPr>
        <w:drawing>
          <wp:anchor simplePos="0" relativeHeight="251758592" behindDoc="1" locked="0" layoutInCell="0" allowOverlap="1">
            <wp:simplePos x="0" y="0"/>
            <wp:positionH relativeFrom="column">
              <wp:posOffset>7154545</wp:posOffset>
            </wp:positionH>
            <wp:positionV relativeFrom="paragraph">
              <wp:posOffset>-23495</wp:posOffset>
            </wp:positionV>
            <wp:extent cx="31115" cy="3683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59616" behindDoc="1" locked="0" layoutInCell="0" allowOverlap="1">
            <wp:simplePos x="0" y="0"/>
            <wp:positionH relativeFrom="column">
              <wp:posOffset>-17145</wp:posOffset>
            </wp:positionH>
            <wp:positionV relativeFrom="paragraph">
              <wp:posOffset>-23495</wp:posOffset>
            </wp:positionV>
            <wp:extent cx="31115" cy="3683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60640" behindDoc="1" locked="0" layoutInCell="0" allowOverlap="1">
            <wp:simplePos x="0" y="0"/>
            <wp:positionH relativeFrom="column">
              <wp:posOffset>6475730</wp:posOffset>
            </wp:positionH>
            <wp:positionV relativeFrom="paragraph">
              <wp:posOffset>-222250</wp:posOffset>
            </wp:positionV>
            <wp:extent cx="400050" cy="74295"/>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40" w:name="page41"/>
    <w:bookmarkEnd w:id="40"/>
    <w:p>
      <w:pPr>
        <w:spacing w:after="0"/>
        <w:rPr>
          <w:color w:val="auto"/>
          <w:sz w:val="20"/>
          <w:szCs w:val="20"/>
        </w:rPr>
      </w:pPr>
      <w:r>
        <w:rPr>
          <w:rFonts w:ascii="Calibri" w:eastAsia="Calibri" w:hAnsi="Calibri" w:cs="Calibri"/>
          <w:color w:val="auto"/>
          <w:sz w:val="12"/>
          <w:szCs w:val="12"/>
        </w:rPr>
        <w:t>The following table details AbbVie's worldwide net revenues: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1840"/>
        <w:gridCol w:w="1400"/>
        <w:gridCol w:w="680"/>
        <w:gridCol w:w="800"/>
        <w:gridCol w:w="280"/>
        <w:gridCol w:w="780"/>
        <w:gridCol w:w="300"/>
        <w:gridCol w:w="840"/>
        <w:gridCol w:w="1260"/>
        <w:gridCol w:w="840"/>
        <w:gridCol w:w="100"/>
        <w:gridCol w:w="360"/>
        <w:gridCol w:w="920"/>
        <w:gridCol w:w="880"/>
        <w:gridCol w:w="20"/>
      </w:tblGrid>
      <w:tr>
        <w:tblPrEx>
          <w:tblInd w:w="0" w:type="dxa"/>
          <w:tblLayout w:type="fixed"/>
        </w:tblPrEx>
        <w:trPr>
          <w:trHeight w:val="122"/>
        </w:trPr>
        <w:tc>
          <w:tcPr>
            <w:tcW w:w="1840" w:type="dxa"/>
            <w:vAlign w:val="bottom"/>
          </w:tcPr>
          <w:p>
            <w:pPr>
              <w:spacing w:after="0"/>
              <w:rPr>
                <w:color w:val="auto"/>
                <w:sz w:val="10"/>
                <w:szCs w:val="10"/>
              </w:rPr>
            </w:pPr>
          </w:p>
        </w:tc>
        <w:tc>
          <w:tcPr>
            <w:tcW w:w="1400" w:type="dxa"/>
            <w:vAlign w:val="bottom"/>
          </w:tcPr>
          <w:p>
            <w:pPr>
              <w:spacing w:after="0"/>
              <w:rPr>
                <w:color w:val="auto"/>
                <w:sz w:val="10"/>
                <w:szCs w:val="10"/>
              </w:rPr>
            </w:pPr>
          </w:p>
        </w:tc>
        <w:tc>
          <w:tcPr>
            <w:tcW w:w="680" w:type="dxa"/>
            <w:vAlign w:val="bottom"/>
          </w:tcPr>
          <w:p>
            <w:pPr>
              <w:spacing w:after="0"/>
              <w:rPr>
                <w:color w:val="auto"/>
                <w:sz w:val="10"/>
                <w:szCs w:val="10"/>
              </w:rPr>
            </w:pPr>
          </w:p>
        </w:tc>
        <w:tc>
          <w:tcPr>
            <w:tcW w:w="800" w:type="dxa"/>
            <w:vAlign w:val="bottom"/>
          </w:tcPr>
          <w:p>
            <w:pPr>
              <w:spacing w:after="0"/>
              <w:rPr>
                <w:color w:val="auto"/>
                <w:sz w:val="10"/>
                <w:szCs w:val="10"/>
              </w:rPr>
            </w:pPr>
          </w:p>
        </w:tc>
        <w:tc>
          <w:tcPr>
            <w:tcW w:w="280" w:type="dxa"/>
            <w:vAlign w:val="bottom"/>
          </w:tcPr>
          <w:p>
            <w:pPr>
              <w:spacing w:after="0"/>
              <w:rPr>
                <w:color w:val="auto"/>
                <w:sz w:val="10"/>
                <w:szCs w:val="10"/>
              </w:rPr>
            </w:pPr>
          </w:p>
        </w:tc>
        <w:tc>
          <w:tcPr>
            <w:tcW w:w="780" w:type="dxa"/>
            <w:vAlign w:val="bottom"/>
          </w:tcPr>
          <w:p>
            <w:pPr>
              <w:spacing w:after="0"/>
              <w:rPr>
                <w:color w:val="auto"/>
                <w:sz w:val="10"/>
                <w:szCs w:val="10"/>
              </w:rPr>
            </w:pPr>
          </w:p>
        </w:tc>
        <w:tc>
          <w:tcPr>
            <w:tcW w:w="300" w:type="dxa"/>
            <w:vAlign w:val="bottom"/>
          </w:tcPr>
          <w:p>
            <w:pPr>
              <w:spacing w:after="0"/>
              <w:rPr>
                <w:color w:val="auto"/>
                <w:sz w:val="10"/>
                <w:szCs w:val="10"/>
              </w:rPr>
            </w:pPr>
          </w:p>
        </w:tc>
        <w:tc>
          <w:tcPr>
            <w:tcW w:w="840" w:type="dxa"/>
            <w:vAlign w:val="bottom"/>
          </w:tcPr>
          <w:p>
            <w:pPr>
              <w:spacing w:after="0"/>
              <w:rPr>
                <w:color w:val="auto"/>
                <w:sz w:val="10"/>
                <w:szCs w:val="10"/>
              </w:rPr>
            </w:pPr>
          </w:p>
        </w:tc>
        <w:tc>
          <w:tcPr>
            <w:tcW w:w="1260" w:type="dxa"/>
            <w:vAlign w:val="bottom"/>
          </w:tcPr>
          <w:p>
            <w:pPr>
              <w:spacing w:after="0"/>
              <w:rPr>
                <w:color w:val="auto"/>
                <w:sz w:val="10"/>
                <w:szCs w:val="10"/>
              </w:rPr>
            </w:pPr>
          </w:p>
        </w:tc>
        <w:tc>
          <w:tcPr>
            <w:tcW w:w="1300" w:type="dxa"/>
            <w:gridSpan w:val="3"/>
            <w:vAlign w:val="bottom"/>
          </w:tcPr>
          <w:p>
            <w:pPr>
              <w:spacing w:after="0"/>
              <w:ind w:left="620"/>
              <w:rPr>
                <w:color w:val="auto"/>
                <w:sz w:val="20"/>
                <w:szCs w:val="20"/>
              </w:rPr>
            </w:pPr>
            <w:r>
              <w:rPr>
                <w:rFonts w:ascii="Calibri" w:eastAsia="Calibri" w:hAnsi="Calibri" w:cs="Calibri"/>
                <w:b/>
                <w:bCs/>
                <w:color w:val="auto"/>
                <w:sz w:val="10"/>
                <w:szCs w:val="10"/>
              </w:rPr>
              <w:t>Percent change</w:t>
            </w:r>
          </w:p>
        </w:tc>
        <w:tc>
          <w:tcPr>
            <w:tcW w:w="920" w:type="dxa"/>
            <w:vAlign w:val="bottom"/>
          </w:tcPr>
          <w:p>
            <w:pPr>
              <w:spacing w:after="0"/>
              <w:rPr>
                <w:color w:val="auto"/>
                <w:sz w:val="10"/>
                <w:szCs w:val="10"/>
              </w:rPr>
            </w:pPr>
          </w:p>
        </w:tc>
        <w:tc>
          <w:tcPr>
            <w:tcW w:w="88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2560" w:type="dxa"/>
            <w:gridSpan w:val="4"/>
            <w:tcBorders>
              <w:bottom w:val="single" w:sz="8" w:space="0" w:color="auto"/>
            </w:tcBorders>
            <w:vAlign w:val="bottom"/>
          </w:tcPr>
          <w:p>
            <w:pPr>
              <w:spacing w:after="0"/>
              <w:rPr>
                <w:color w:val="auto"/>
                <w:sz w:val="2"/>
                <w:szCs w:val="2"/>
              </w:rPr>
            </w:pPr>
          </w:p>
        </w:tc>
        <w:tc>
          <w:tcPr>
            <w:tcW w:w="1800" w:type="dxa"/>
            <w:gridSpan w:val="2"/>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1840" w:type="dxa"/>
            <w:vAlign w:val="bottom"/>
          </w:tcPr>
          <w:p>
            <w:pPr>
              <w:spacing w:after="0"/>
              <w:rPr>
                <w:color w:val="auto"/>
                <w:sz w:val="8"/>
                <w:szCs w:val="8"/>
              </w:rPr>
            </w:pPr>
          </w:p>
        </w:tc>
        <w:tc>
          <w:tcPr>
            <w:tcW w:w="1400" w:type="dxa"/>
            <w:vAlign w:val="bottom"/>
          </w:tcPr>
          <w:p>
            <w:pPr>
              <w:spacing w:after="0"/>
              <w:rPr>
                <w:color w:val="auto"/>
                <w:sz w:val="8"/>
                <w:szCs w:val="8"/>
              </w:rPr>
            </w:pPr>
          </w:p>
        </w:tc>
        <w:tc>
          <w:tcPr>
            <w:tcW w:w="680" w:type="dxa"/>
            <w:vAlign w:val="bottom"/>
          </w:tcPr>
          <w:p>
            <w:pPr>
              <w:spacing w:after="0"/>
              <w:rPr>
                <w:color w:val="auto"/>
                <w:sz w:val="8"/>
                <w:szCs w:val="8"/>
              </w:rPr>
            </w:pPr>
          </w:p>
        </w:tc>
        <w:tc>
          <w:tcPr>
            <w:tcW w:w="800" w:type="dxa"/>
            <w:vAlign w:val="bottom"/>
          </w:tcPr>
          <w:p>
            <w:pPr>
              <w:spacing w:after="0"/>
              <w:rPr>
                <w:color w:val="auto"/>
                <w:sz w:val="8"/>
                <w:szCs w:val="8"/>
              </w:rPr>
            </w:pPr>
          </w:p>
        </w:tc>
        <w:tc>
          <w:tcPr>
            <w:tcW w:w="280" w:type="dxa"/>
            <w:vAlign w:val="bottom"/>
          </w:tcPr>
          <w:p>
            <w:pPr>
              <w:spacing w:after="0"/>
              <w:rPr>
                <w:color w:val="auto"/>
                <w:sz w:val="8"/>
                <w:szCs w:val="8"/>
              </w:rPr>
            </w:pPr>
          </w:p>
        </w:tc>
        <w:tc>
          <w:tcPr>
            <w:tcW w:w="780" w:type="dxa"/>
            <w:vAlign w:val="bottom"/>
          </w:tcPr>
          <w:p>
            <w:pPr>
              <w:spacing w:after="0"/>
              <w:rPr>
                <w:color w:val="auto"/>
                <w:sz w:val="8"/>
                <w:szCs w:val="8"/>
              </w:rPr>
            </w:pPr>
          </w:p>
        </w:tc>
        <w:tc>
          <w:tcPr>
            <w:tcW w:w="300" w:type="dxa"/>
            <w:vAlign w:val="bottom"/>
          </w:tcPr>
          <w:p>
            <w:pPr>
              <w:spacing w:after="0"/>
              <w:rPr>
                <w:color w:val="auto"/>
                <w:sz w:val="8"/>
                <w:szCs w:val="8"/>
              </w:rPr>
            </w:pPr>
          </w:p>
        </w:tc>
        <w:tc>
          <w:tcPr>
            <w:tcW w:w="840" w:type="dxa"/>
            <w:vAlign w:val="bottom"/>
          </w:tcPr>
          <w:p>
            <w:pPr>
              <w:spacing w:after="0"/>
              <w:rPr>
                <w:color w:val="auto"/>
                <w:sz w:val="8"/>
                <w:szCs w:val="8"/>
              </w:rPr>
            </w:pPr>
          </w:p>
        </w:tc>
        <w:tc>
          <w:tcPr>
            <w:tcW w:w="2560" w:type="dxa"/>
            <w:gridSpan w:val="4"/>
            <w:vAlign w:val="bottom"/>
          </w:tcPr>
          <w:p>
            <w:pPr>
              <w:spacing w:after="0" w:line="101" w:lineRule="exact"/>
              <w:ind w:left="580"/>
              <w:rPr>
                <w:color w:val="auto"/>
                <w:sz w:val="20"/>
                <w:szCs w:val="20"/>
              </w:rPr>
            </w:pPr>
            <w:r>
              <w:rPr>
                <w:rFonts w:ascii="Calibri" w:eastAsia="Calibri" w:hAnsi="Calibri" w:cs="Calibri"/>
                <w:b/>
                <w:bCs/>
                <w:color w:val="auto"/>
                <w:sz w:val="10"/>
                <w:szCs w:val="10"/>
              </w:rPr>
              <w:t>At actual currency rates</w:t>
            </w:r>
          </w:p>
        </w:tc>
        <w:tc>
          <w:tcPr>
            <w:tcW w:w="1800" w:type="dxa"/>
            <w:gridSpan w:val="2"/>
            <w:vAlign w:val="bottom"/>
          </w:tcPr>
          <w:p>
            <w:pPr>
              <w:spacing w:after="0" w:line="101" w:lineRule="exact"/>
              <w:ind w:right="512"/>
              <w:jc w:val="right"/>
              <w:rPr>
                <w:color w:val="auto"/>
                <w:sz w:val="20"/>
                <w:szCs w:val="20"/>
              </w:rPr>
            </w:pPr>
            <w:r>
              <w:rPr>
                <w:rFonts w:ascii="Calibri" w:eastAsia="Calibri" w:hAnsi="Calibri" w:cs="Calibri"/>
                <w:b/>
                <w:bCs/>
                <w:color w:val="auto"/>
                <w:sz w:val="10"/>
                <w:szCs w:val="10"/>
              </w:rPr>
              <w:t>At constant currency rates</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Merge w:val="restart"/>
            <w:vAlign w:val="bottom"/>
          </w:tcPr>
          <w:p>
            <w:pPr>
              <w:spacing w:after="0"/>
              <w:rPr>
                <w:color w:val="auto"/>
                <w:sz w:val="20"/>
                <w:szCs w:val="20"/>
              </w:rPr>
            </w:pPr>
            <w:r>
              <w:rPr>
                <w:rFonts w:ascii="Calibri" w:eastAsia="Calibri" w:hAnsi="Calibri" w:cs="Calibri"/>
                <w:b/>
                <w:bCs/>
                <w:color w:val="auto"/>
                <w:w w:val="95"/>
                <w:sz w:val="10"/>
                <w:szCs w:val="10"/>
              </w:rPr>
              <w:t>years ended December 31 (dollars in millions)</w:t>
            </w: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Merge w:val="restart"/>
            <w:vAlign w:val="bottom"/>
          </w:tcPr>
          <w:p>
            <w:pPr>
              <w:spacing w:after="0"/>
              <w:ind w:right="392"/>
              <w:jc w:val="right"/>
              <w:rPr>
                <w:color w:val="auto"/>
                <w:sz w:val="20"/>
                <w:szCs w:val="20"/>
              </w:rPr>
            </w:pPr>
            <w:r>
              <w:rPr>
                <w:rFonts w:ascii="Calibri" w:eastAsia="Calibri" w:hAnsi="Calibri" w:cs="Calibri"/>
                <w:b/>
                <w:bCs/>
                <w:color w:val="auto"/>
                <w:sz w:val="10"/>
                <w:szCs w:val="10"/>
              </w:rPr>
              <w:t>2024</w:t>
            </w:r>
          </w:p>
        </w:tc>
        <w:tc>
          <w:tcPr>
            <w:tcW w:w="280" w:type="dxa"/>
            <w:vAlign w:val="bottom"/>
          </w:tcPr>
          <w:p>
            <w:pPr>
              <w:spacing w:after="0"/>
              <w:rPr>
                <w:color w:val="auto"/>
                <w:sz w:val="2"/>
                <w:szCs w:val="2"/>
              </w:rPr>
            </w:pPr>
          </w:p>
        </w:tc>
        <w:tc>
          <w:tcPr>
            <w:tcW w:w="780" w:type="dxa"/>
            <w:vMerge w:val="restart"/>
            <w:vAlign w:val="bottom"/>
          </w:tcPr>
          <w:p>
            <w:pPr>
              <w:spacing w:after="0"/>
              <w:ind w:right="372"/>
              <w:jc w:val="right"/>
              <w:rPr>
                <w:color w:val="auto"/>
                <w:sz w:val="20"/>
                <w:szCs w:val="20"/>
              </w:rPr>
            </w:pPr>
            <w:r>
              <w:rPr>
                <w:rFonts w:ascii="Calibri" w:eastAsia="Calibri" w:hAnsi="Calibri" w:cs="Calibri"/>
                <w:b/>
                <w:bCs/>
                <w:color w:val="auto"/>
                <w:sz w:val="10"/>
                <w:szCs w:val="10"/>
              </w:rPr>
              <w:t>2023</w:t>
            </w:r>
          </w:p>
        </w:tc>
        <w:tc>
          <w:tcPr>
            <w:tcW w:w="300" w:type="dxa"/>
            <w:vAlign w:val="bottom"/>
          </w:tcPr>
          <w:p>
            <w:pPr>
              <w:spacing w:after="0"/>
              <w:rPr>
                <w:color w:val="auto"/>
                <w:sz w:val="2"/>
                <w:szCs w:val="2"/>
              </w:rPr>
            </w:pPr>
          </w:p>
        </w:tc>
        <w:tc>
          <w:tcPr>
            <w:tcW w:w="840" w:type="dxa"/>
            <w:vMerge w:val="restart"/>
            <w:vAlign w:val="bottom"/>
          </w:tcPr>
          <w:p>
            <w:pPr>
              <w:spacing w:after="0"/>
              <w:ind w:right="432"/>
              <w:jc w:val="right"/>
              <w:rPr>
                <w:color w:val="auto"/>
                <w:sz w:val="20"/>
                <w:szCs w:val="20"/>
              </w:rPr>
            </w:pPr>
            <w:r>
              <w:rPr>
                <w:rFonts w:ascii="Calibri" w:eastAsia="Calibri" w:hAnsi="Calibri" w:cs="Calibri"/>
                <w:b/>
                <w:bCs/>
                <w:color w:val="auto"/>
                <w:sz w:val="10"/>
                <w:szCs w:val="10"/>
              </w:rPr>
              <w:t>2022</w:t>
            </w: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1840" w:type="dxa"/>
            <w:vMerge/>
            <w:vAlign w:val="bottom"/>
          </w:tcPr>
          <w:p>
            <w:pPr>
              <w:spacing w:after="0"/>
              <w:rPr>
                <w:color w:val="auto"/>
                <w:sz w:val="8"/>
                <w:szCs w:val="8"/>
              </w:rPr>
            </w:pPr>
          </w:p>
        </w:tc>
        <w:tc>
          <w:tcPr>
            <w:tcW w:w="1400" w:type="dxa"/>
            <w:vAlign w:val="bottom"/>
          </w:tcPr>
          <w:p>
            <w:pPr>
              <w:spacing w:after="0"/>
              <w:rPr>
                <w:color w:val="auto"/>
                <w:sz w:val="8"/>
                <w:szCs w:val="8"/>
              </w:rPr>
            </w:pPr>
          </w:p>
        </w:tc>
        <w:tc>
          <w:tcPr>
            <w:tcW w:w="680" w:type="dxa"/>
            <w:vAlign w:val="bottom"/>
          </w:tcPr>
          <w:p>
            <w:pPr>
              <w:spacing w:after="0"/>
              <w:rPr>
                <w:color w:val="auto"/>
                <w:sz w:val="8"/>
                <w:szCs w:val="8"/>
              </w:rPr>
            </w:pPr>
          </w:p>
        </w:tc>
        <w:tc>
          <w:tcPr>
            <w:tcW w:w="800" w:type="dxa"/>
            <w:vMerge/>
            <w:vAlign w:val="bottom"/>
          </w:tcPr>
          <w:p>
            <w:pPr>
              <w:spacing w:after="0"/>
              <w:rPr>
                <w:color w:val="auto"/>
                <w:sz w:val="8"/>
                <w:szCs w:val="8"/>
              </w:rPr>
            </w:pPr>
          </w:p>
        </w:tc>
        <w:tc>
          <w:tcPr>
            <w:tcW w:w="280" w:type="dxa"/>
            <w:vAlign w:val="bottom"/>
          </w:tcPr>
          <w:p>
            <w:pPr>
              <w:spacing w:after="0"/>
              <w:rPr>
                <w:color w:val="auto"/>
                <w:sz w:val="8"/>
                <w:szCs w:val="8"/>
              </w:rPr>
            </w:pPr>
          </w:p>
        </w:tc>
        <w:tc>
          <w:tcPr>
            <w:tcW w:w="780" w:type="dxa"/>
            <w:vMerge/>
            <w:vAlign w:val="bottom"/>
          </w:tcPr>
          <w:p>
            <w:pPr>
              <w:spacing w:after="0"/>
              <w:rPr>
                <w:color w:val="auto"/>
                <w:sz w:val="8"/>
                <w:szCs w:val="8"/>
              </w:rPr>
            </w:pPr>
          </w:p>
        </w:tc>
        <w:tc>
          <w:tcPr>
            <w:tcW w:w="300" w:type="dxa"/>
            <w:vAlign w:val="bottom"/>
          </w:tcPr>
          <w:p>
            <w:pPr>
              <w:spacing w:after="0"/>
              <w:rPr>
                <w:color w:val="auto"/>
                <w:sz w:val="8"/>
                <w:szCs w:val="8"/>
              </w:rPr>
            </w:pPr>
          </w:p>
        </w:tc>
        <w:tc>
          <w:tcPr>
            <w:tcW w:w="840" w:type="dxa"/>
            <w:vMerge/>
            <w:vAlign w:val="bottom"/>
          </w:tcPr>
          <w:p>
            <w:pPr>
              <w:spacing w:after="0"/>
              <w:rPr>
                <w:color w:val="auto"/>
                <w:sz w:val="8"/>
                <w:szCs w:val="8"/>
              </w:rPr>
            </w:pPr>
          </w:p>
        </w:tc>
        <w:tc>
          <w:tcPr>
            <w:tcW w:w="1260" w:type="dxa"/>
            <w:vAlign w:val="bottom"/>
          </w:tcPr>
          <w:p>
            <w:pPr>
              <w:spacing w:after="0" w:line="101" w:lineRule="exact"/>
              <w:ind w:right="612"/>
              <w:jc w:val="right"/>
              <w:rPr>
                <w:color w:val="auto"/>
                <w:sz w:val="20"/>
                <w:szCs w:val="20"/>
              </w:rPr>
            </w:pPr>
            <w:r>
              <w:rPr>
                <w:rFonts w:ascii="Calibri" w:eastAsia="Calibri" w:hAnsi="Calibri" w:cs="Calibri"/>
                <w:b/>
                <w:bCs/>
                <w:color w:val="auto"/>
                <w:sz w:val="10"/>
                <w:szCs w:val="10"/>
              </w:rPr>
              <w:t>2024</w:t>
            </w:r>
          </w:p>
        </w:tc>
        <w:tc>
          <w:tcPr>
            <w:tcW w:w="840" w:type="dxa"/>
            <w:vAlign w:val="bottom"/>
          </w:tcPr>
          <w:p>
            <w:pPr>
              <w:spacing w:after="0" w:line="101" w:lineRule="exact"/>
              <w:ind w:right="352"/>
              <w:jc w:val="right"/>
              <w:rPr>
                <w:color w:val="auto"/>
                <w:sz w:val="20"/>
                <w:szCs w:val="20"/>
              </w:rPr>
            </w:pPr>
            <w:r>
              <w:rPr>
                <w:rFonts w:ascii="Calibri" w:eastAsia="Calibri" w:hAnsi="Calibri" w:cs="Calibri"/>
                <w:b/>
                <w:bCs/>
                <w:color w:val="auto"/>
                <w:sz w:val="10"/>
                <w:szCs w:val="10"/>
              </w:rPr>
              <w:t>2023</w:t>
            </w:r>
          </w:p>
        </w:tc>
        <w:tc>
          <w:tcPr>
            <w:tcW w:w="100" w:type="dxa"/>
            <w:vAlign w:val="bottom"/>
          </w:tcPr>
          <w:p>
            <w:pPr>
              <w:spacing w:after="0"/>
              <w:rPr>
                <w:color w:val="auto"/>
                <w:sz w:val="8"/>
                <w:szCs w:val="8"/>
              </w:rPr>
            </w:pPr>
          </w:p>
        </w:tc>
        <w:tc>
          <w:tcPr>
            <w:tcW w:w="360" w:type="dxa"/>
            <w:vAlign w:val="bottom"/>
          </w:tcPr>
          <w:p>
            <w:pPr>
              <w:spacing w:after="0"/>
              <w:rPr>
                <w:color w:val="auto"/>
                <w:sz w:val="8"/>
                <w:szCs w:val="8"/>
              </w:rPr>
            </w:pPr>
          </w:p>
        </w:tc>
        <w:tc>
          <w:tcPr>
            <w:tcW w:w="920" w:type="dxa"/>
            <w:vAlign w:val="bottom"/>
          </w:tcPr>
          <w:p>
            <w:pPr>
              <w:spacing w:after="0" w:line="101" w:lineRule="exact"/>
              <w:ind w:right="612"/>
              <w:jc w:val="right"/>
              <w:rPr>
                <w:color w:val="auto"/>
                <w:sz w:val="20"/>
                <w:szCs w:val="20"/>
              </w:rPr>
            </w:pPr>
            <w:r>
              <w:rPr>
                <w:rFonts w:ascii="Calibri" w:eastAsia="Calibri" w:hAnsi="Calibri" w:cs="Calibri"/>
                <w:b/>
                <w:bCs/>
                <w:color w:val="auto"/>
                <w:sz w:val="10"/>
                <w:szCs w:val="10"/>
              </w:rPr>
              <w:t>2024</w:t>
            </w:r>
          </w:p>
        </w:tc>
        <w:tc>
          <w:tcPr>
            <w:tcW w:w="880" w:type="dxa"/>
            <w:vAlign w:val="bottom"/>
          </w:tcPr>
          <w:p>
            <w:pPr>
              <w:spacing w:after="0" w:line="101" w:lineRule="exact"/>
              <w:ind w:right="372"/>
              <w:jc w:val="right"/>
              <w:rPr>
                <w:color w:val="auto"/>
                <w:sz w:val="20"/>
                <w:szCs w:val="20"/>
              </w:rPr>
            </w:pPr>
            <w:r>
              <w:rPr>
                <w:rFonts w:ascii="Calibri" w:eastAsia="Calibri" w:hAnsi="Calibri" w:cs="Calibri"/>
                <w:b/>
                <w:bCs/>
                <w:color w:val="auto"/>
                <w:sz w:val="10"/>
                <w:szCs w:val="10"/>
              </w:rPr>
              <w:t>2023</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1840" w:type="dxa"/>
            <w:vAlign w:val="bottom"/>
          </w:tcPr>
          <w:p>
            <w:pPr>
              <w:spacing w:after="0" w:line="101" w:lineRule="exact"/>
              <w:rPr>
                <w:color w:val="auto"/>
                <w:sz w:val="20"/>
                <w:szCs w:val="20"/>
              </w:rPr>
            </w:pPr>
            <w:r>
              <w:rPr>
                <w:rFonts w:ascii="Calibri" w:eastAsia="Calibri" w:hAnsi="Calibri" w:cs="Calibri"/>
                <w:b/>
                <w:bCs/>
                <w:color w:val="auto"/>
                <w:sz w:val="10"/>
                <w:szCs w:val="10"/>
              </w:rPr>
              <w:t>Immunology</w:t>
            </w:r>
          </w:p>
        </w:tc>
        <w:tc>
          <w:tcPr>
            <w:tcW w:w="1400" w:type="dxa"/>
            <w:vAlign w:val="bottom"/>
          </w:tcPr>
          <w:p>
            <w:pPr>
              <w:spacing w:after="0"/>
              <w:rPr>
                <w:color w:val="auto"/>
                <w:sz w:val="8"/>
                <w:szCs w:val="8"/>
              </w:rPr>
            </w:pPr>
          </w:p>
        </w:tc>
        <w:tc>
          <w:tcPr>
            <w:tcW w:w="680" w:type="dxa"/>
            <w:vAlign w:val="bottom"/>
          </w:tcPr>
          <w:p>
            <w:pPr>
              <w:spacing w:after="0"/>
              <w:rPr>
                <w:color w:val="auto"/>
                <w:sz w:val="8"/>
                <w:szCs w:val="8"/>
              </w:rPr>
            </w:pPr>
          </w:p>
        </w:tc>
        <w:tc>
          <w:tcPr>
            <w:tcW w:w="800" w:type="dxa"/>
            <w:vAlign w:val="bottom"/>
          </w:tcPr>
          <w:p>
            <w:pPr>
              <w:spacing w:after="0"/>
              <w:rPr>
                <w:color w:val="auto"/>
                <w:sz w:val="8"/>
                <w:szCs w:val="8"/>
              </w:rPr>
            </w:pPr>
          </w:p>
        </w:tc>
        <w:tc>
          <w:tcPr>
            <w:tcW w:w="280" w:type="dxa"/>
            <w:vAlign w:val="bottom"/>
          </w:tcPr>
          <w:p>
            <w:pPr>
              <w:spacing w:after="0"/>
              <w:rPr>
                <w:color w:val="auto"/>
                <w:sz w:val="8"/>
                <w:szCs w:val="8"/>
              </w:rPr>
            </w:pPr>
          </w:p>
        </w:tc>
        <w:tc>
          <w:tcPr>
            <w:tcW w:w="780" w:type="dxa"/>
            <w:vAlign w:val="bottom"/>
          </w:tcPr>
          <w:p>
            <w:pPr>
              <w:spacing w:after="0"/>
              <w:rPr>
                <w:color w:val="auto"/>
                <w:sz w:val="8"/>
                <w:szCs w:val="8"/>
              </w:rPr>
            </w:pPr>
          </w:p>
        </w:tc>
        <w:tc>
          <w:tcPr>
            <w:tcW w:w="300" w:type="dxa"/>
            <w:vAlign w:val="bottom"/>
          </w:tcPr>
          <w:p>
            <w:pPr>
              <w:spacing w:after="0"/>
              <w:rPr>
                <w:color w:val="auto"/>
                <w:sz w:val="8"/>
                <w:szCs w:val="8"/>
              </w:rPr>
            </w:pPr>
          </w:p>
        </w:tc>
        <w:tc>
          <w:tcPr>
            <w:tcW w:w="840" w:type="dxa"/>
            <w:vAlign w:val="bottom"/>
          </w:tcPr>
          <w:p>
            <w:pPr>
              <w:spacing w:after="0"/>
              <w:rPr>
                <w:color w:val="auto"/>
                <w:sz w:val="8"/>
                <w:szCs w:val="8"/>
              </w:rPr>
            </w:pPr>
          </w:p>
        </w:tc>
        <w:tc>
          <w:tcPr>
            <w:tcW w:w="1260" w:type="dxa"/>
            <w:vAlign w:val="bottom"/>
          </w:tcPr>
          <w:p>
            <w:pPr>
              <w:spacing w:after="0"/>
              <w:rPr>
                <w:color w:val="auto"/>
                <w:sz w:val="8"/>
                <w:szCs w:val="8"/>
              </w:rPr>
            </w:pPr>
          </w:p>
        </w:tc>
        <w:tc>
          <w:tcPr>
            <w:tcW w:w="840" w:type="dxa"/>
            <w:vAlign w:val="bottom"/>
          </w:tcPr>
          <w:p>
            <w:pPr>
              <w:spacing w:after="0"/>
              <w:rPr>
                <w:color w:val="auto"/>
                <w:sz w:val="8"/>
                <w:szCs w:val="8"/>
              </w:rPr>
            </w:pPr>
          </w:p>
        </w:tc>
        <w:tc>
          <w:tcPr>
            <w:tcW w:w="100" w:type="dxa"/>
            <w:vAlign w:val="bottom"/>
          </w:tcPr>
          <w:p>
            <w:pPr>
              <w:spacing w:after="0"/>
              <w:rPr>
                <w:color w:val="auto"/>
                <w:sz w:val="8"/>
                <w:szCs w:val="8"/>
              </w:rPr>
            </w:pPr>
          </w:p>
        </w:tc>
        <w:tc>
          <w:tcPr>
            <w:tcW w:w="360" w:type="dxa"/>
            <w:vAlign w:val="bottom"/>
          </w:tcPr>
          <w:p>
            <w:pPr>
              <w:spacing w:after="0"/>
              <w:rPr>
                <w:color w:val="auto"/>
                <w:sz w:val="8"/>
                <w:szCs w:val="8"/>
              </w:rPr>
            </w:pPr>
          </w:p>
        </w:tc>
        <w:tc>
          <w:tcPr>
            <w:tcW w:w="920" w:type="dxa"/>
            <w:vAlign w:val="bottom"/>
          </w:tcPr>
          <w:p>
            <w:pPr>
              <w:spacing w:after="0"/>
              <w:rPr>
                <w:color w:val="auto"/>
                <w:sz w:val="8"/>
                <w:szCs w:val="8"/>
              </w:rPr>
            </w:pPr>
          </w:p>
        </w:tc>
        <w:tc>
          <w:tcPr>
            <w:tcW w:w="880" w:type="dxa"/>
            <w:vAlign w:val="bottom"/>
          </w:tcPr>
          <w:p>
            <w:pPr>
              <w:spacing w:after="0"/>
              <w:rPr>
                <w:color w:val="auto"/>
                <w:sz w:val="8"/>
                <w:szCs w:val="8"/>
              </w:rPr>
            </w:pP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184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Humira</w:t>
            </w: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United States</w:t>
            </w:r>
          </w:p>
        </w:tc>
        <w:tc>
          <w:tcPr>
            <w:tcW w:w="680" w:type="dxa"/>
            <w:tcBorders>
              <w:bottom w:val="single" w:sz="8" w:space="0" w:color="CCEEFF"/>
            </w:tcBorders>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7,142</w:t>
            </w:r>
          </w:p>
        </w:tc>
        <w:tc>
          <w:tcPr>
            <w:tcW w:w="280" w:type="dxa"/>
            <w:tcBorders>
              <w:bottom w:val="single" w:sz="8" w:space="0" w:color="CCEEFF"/>
            </w:tcBorders>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12,160</w:t>
            </w:r>
          </w:p>
        </w:tc>
        <w:tc>
          <w:tcPr>
            <w:tcW w:w="300" w:type="dxa"/>
            <w:tcBorders>
              <w:bottom w:val="single" w:sz="8" w:space="0" w:color="CCEEFF"/>
            </w:tcBorders>
            <w:shd w:val="clear" w:color="auto" w:fill="CCEEFF"/>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18,619</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(41.3)%</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(34.7)%</w:t>
            </w:r>
          </w:p>
        </w:tc>
        <w:tc>
          <w:tcPr>
            <w:tcW w:w="10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(41.3)%</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(34.7)%</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1,851</w:t>
            </w:r>
          </w:p>
        </w:tc>
        <w:tc>
          <w:tcPr>
            <w:tcW w:w="2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2,244</w:t>
            </w:r>
          </w:p>
        </w:tc>
        <w:tc>
          <w:tcPr>
            <w:tcW w:w="300" w:type="dxa"/>
            <w:vAlign w:val="bottom"/>
          </w:tcPr>
          <w:p>
            <w:pPr>
              <w:spacing w:after="0"/>
              <w:rPr>
                <w:color w:val="auto"/>
                <w:sz w:val="9"/>
                <w:szCs w:val="9"/>
              </w:rPr>
            </w:pP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2,618</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(17.5)%</w:t>
            </w: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(14.3)%</w:t>
            </w:r>
          </w:p>
        </w:tc>
        <w:tc>
          <w:tcPr>
            <w:tcW w:w="10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(13.2)%</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(11.8)%</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8,993</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14,404</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21,237</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(37.6)%</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(32.2)%</w:t>
            </w:r>
          </w:p>
        </w:tc>
        <w:tc>
          <w:tcPr>
            <w:tcW w:w="10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(36.9)%</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(31.9)%</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Skyrizi</w:t>
            </w: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10,086</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6,753</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4,484</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49.3 %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50.6 %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49.3 %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50.6 %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1,632</w:t>
            </w:r>
          </w:p>
        </w:tc>
        <w:tc>
          <w:tcPr>
            <w:tcW w:w="2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1,010</w:t>
            </w:r>
          </w:p>
        </w:tc>
        <w:tc>
          <w:tcPr>
            <w:tcW w:w="30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681</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61.6 %</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48.3 %</w:t>
            </w:r>
          </w:p>
        </w:tc>
        <w:tc>
          <w:tcPr>
            <w:tcW w:w="10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65.4 %</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50.3 %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11,718</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7,763</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5,165</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50.9 %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50.3 %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51.4 %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50.6 %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Rinvoq</w:t>
            </w: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4,259</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2,824</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1,794</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50.8 %</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57.4 %</w:t>
            </w:r>
          </w:p>
        </w:tc>
        <w:tc>
          <w:tcPr>
            <w:tcW w:w="10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50.8 %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57.4 %</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1,712</w:t>
            </w:r>
          </w:p>
        </w:tc>
        <w:tc>
          <w:tcPr>
            <w:tcW w:w="2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1,145</w:t>
            </w:r>
          </w:p>
        </w:tc>
        <w:tc>
          <w:tcPr>
            <w:tcW w:w="300" w:type="dxa"/>
            <w:vAlign w:val="bottom"/>
          </w:tcPr>
          <w:p>
            <w:pPr>
              <w:spacing w:after="0"/>
              <w:rPr>
                <w:color w:val="auto"/>
                <w:sz w:val="9"/>
                <w:szCs w:val="9"/>
              </w:rPr>
            </w:pP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728</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49.6 %</w:t>
            </w: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57.3 %</w:t>
            </w:r>
          </w:p>
        </w:tc>
        <w:tc>
          <w:tcPr>
            <w:tcW w:w="10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57.0 %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60.7 %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5,971</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3,969</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2,522</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50.4 %</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57.4 %</w:t>
            </w:r>
          </w:p>
        </w:tc>
        <w:tc>
          <w:tcPr>
            <w:tcW w:w="10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52.5 %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58.4 %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b/>
                <w:bCs/>
                <w:color w:val="auto"/>
                <w:sz w:val="10"/>
                <w:szCs w:val="10"/>
              </w:rPr>
              <w:t>Oncology</w:t>
            </w:r>
          </w:p>
        </w:tc>
        <w:tc>
          <w:tcPr>
            <w:tcW w:w="1400" w:type="dxa"/>
            <w:tcBorders>
              <w:top w:val="single" w:sz="8" w:space="0" w:color="auto"/>
            </w:tcBorders>
            <w:vAlign w:val="bottom"/>
          </w:tcPr>
          <w:p>
            <w:pPr>
              <w:spacing w:after="0"/>
              <w:rPr>
                <w:color w:val="auto"/>
                <w:sz w:val="8"/>
                <w:szCs w:val="8"/>
              </w:rPr>
            </w:pPr>
          </w:p>
        </w:tc>
        <w:tc>
          <w:tcPr>
            <w:tcW w:w="680" w:type="dxa"/>
            <w:tcBorders>
              <w:top w:val="single" w:sz="8" w:space="0" w:color="auto"/>
            </w:tcBorders>
            <w:vAlign w:val="bottom"/>
          </w:tcPr>
          <w:p>
            <w:pPr>
              <w:spacing w:after="0"/>
              <w:rPr>
                <w:color w:val="auto"/>
                <w:sz w:val="8"/>
                <w:szCs w:val="8"/>
              </w:rPr>
            </w:pPr>
          </w:p>
        </w:tc>
        <w:tc>
          <w:tcPr>
            <w:tcW w:w="800" w:type="dxa"/>
            <w:tcBorders>
              <w:top w:val="single" w:sz="8" w:space="0" w:color="auto"/>
            </w:tcBorders>
            <w:vAlign w:val="bottom"/>
          </w:tcPr>
          <w:p>
            <w:pPr>
              <w:spacing w:after="0"/>
              <w:rPr>
                <w:color w:val="auto"/>
                <w:sz w:val="8"/>
                <w:szCs w:val="8"/>
              </w:rPr>
            </w:pPr>
          </w:p>
        </w:tc>
        <w:tc>
          <w:tcPr>
            <w:tcW w:w="280" w:type="dxa"/>
            <w:tcBorders>
              <w:top w:val="single" w:sz="8" w:space="0" w:color="auto"/>
            </w:tcBorders>
            <w:vAlign w:val="bottom"/>
          </w:tcPr>
          <w:p>
            <w:pPr>
              <w:spacing w:after="0"/>
              <w:rPr>
                <w:color w:val="auto"/>
                <w:sz w:val="8"/>
                <w:szCs w:val="8"/>
              </w:rPr>
            </w:pPr>
          </w:p>
        </w:tc>
        <w:tc>
          <w:tcPr>
            <w:tcW w:w="780" w:type="dxa"/>
            <w:tcBorders>
              <w:top w:val="single" w:sz="8" w:space="0" w:color="auto"/>
            </w:tcBorders>
            <w:vAlign w:val="bottom"/>
          </w:tcPr>
          <w:p>
            <w:pPr>
              <w:spacing w:after="0"/>
              <w:rPr>
                <w:color w:val="auto"/>
                <w:sz w:val="8"/>
                <w:szCs w:val="8"/>
              </w:rPr>
            </w:pPr>
          </w:p>
        </w:tc>
        <w:tc>
          <w:tcPr>
            <w:tcW w:w="300" w:type="dxa"/>
            <w:tcBorders>
              <w:top w:val="single" w:sz="8" w:space="0" w:color="auto"/>
            </w:tcBorders>
            <w:vAlign w:val="bottom"/>
          </w:tcPr>
          <w:p>
            <w:pPr>
              <w:spacing w:after="0"/>
              <w:rPr>
                <w:color w:val="auto"/>
                <w:sz w:val="8"/>
                <w:szCs w:val="8"/>
              </w:rPr>
            </w:pPr>
          </w:p>
        </w:tc>
        <w:tc>
          <w:tcPr>
            <w:tcW w:w="840" w:type="dxa"/>
            <w:tcBorders>
              <w:top w:val="single" w:sz="8" w:space="0" w:color="auto"/>
            </w:tcBorders>
            <w:vAlign w:val="bottom"/>
          </w:tcPr>
          <w:p>
            <w:pPr>
              <w:spacing w:after="0"/>
              <w:rPr>
                <w:color w:val="auto"/>
                <w:sz w:val="8"/>
                <w:szCs w:val="8"/>
              </w:rPr>
            </w:pPr>
          </w:p>
        </w:tc>
        <w:tc>
          <w:tcPr>
            <w:tcW w:w="1260" w:type="dxa"/>
            <w:tcBorders>
              <w:top w:val="single" w:sz="8" w:space="0" w:color="auto"/>
            </w:tcBorders>
            <w:vAlign w:val="bottom"/>
          </w:tcPr>
          <w:p>
            <w:pPr>
              <w:spacing w:after="0"/>
              <w:rPr>
                <w:color w:val="auto"/>
                <w:sz w:val="8"/>
                <w:szCs w:val="8"/>
              </w:rPr>
            </w:pPr>
          </w:p>
        </w:tc>
        <w:tc>
          <w:tcPr>
            <w:tcW w:w="840" w:type="dxa"/>
            <w:tcBorders>
              <w:top w:val="single" w:sz="8" w:space="0" w:color="auto"/>
            </w:tcBorders>
            <w:vAlign w:val="bottom"/>
          </w:tcPr>
          <w:p>
            <w:pPr>
              <w:spacing w:after="0"/>
              <w:rPr>
                <w:color w:val="auto"/>
                <w:sz w:val="8"/>
                <w:szCs w:val="8"/>
              </w:rPr>
            </w:pP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rPr>
                <w:color w:val="auto"/>
                <w:sz w:val="8"/>
                <w:szCs w:val="8"/>
              </w:rPr>
            </w:pPr>
          </w:p>
        </w:tc>
        <w:tc>
          <w:tcPr>
            <w:tcW w:w="880" w:type="dxa"/>
            <w:tcBorders>
              <w:top w:val="single" w:sz="8" w:space="0" w:color="auto"/>
            </w:tcBorders>
            <w:vAlign w:val="bottom"/>
          </w:tcPr>
          <w:p>
            <w:pPr>
              <w:spacing w:after="0"/>
              <w:rPr>
                <w:color w:val="auto"/>
                <w:sz w:val="8"/>
                <w:szCs w:val="8"/>
              </w:rPr>
            </w:pP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184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Imbruvica</w:t>
            </w: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United States</w:t>
            </w:r>
          </w:p>
        </w:tc>
        <w:tc>
          <w:tcPr>
            <w:tcW w:w="680" w:type="dxa"/>
            <w:tcBorders>
              <w:bottom w:val="single" w:sz="8" w:space="0" w:color="CCEEFF"/>
            </w:tcBorders>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2,448</w:t>
            </w:r>
          </w:p>
        </w:tc>
        <w:tc>
          <w:tcPr>
            <w:tcW w:w="280" w:type="dxa"/>
            <w:tcBorders>
              <w:bottom w:val="single" w:sz="8" w:space="0" w:color="CCEEFF"/>
            </w:tcBorders>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2,665</w:t>
            </w:r>
          </w:p>
        </w:tc>
        <w:tc>
          <w:tcPr>
            <w:tcW w:w="300" w:type="dxa"/>
            <w:tcBorders>
              <w:bottom w:val="single" w:sz="8" w:space="0" w:color="CCEEFF"/>
            </w:tcBorders>
            <w:shd w:val="clear" w:color="auto" w:fill="CCEEFF"/>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3,426</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(8.1)%</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(22.2)%</w:t>
            </w:r>
          </w:p>
        </w:tc>
        <w:tc>
          <w:tcPr>
            <w:tcW w:w="10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(8.1)%</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(22.2)%</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Collaboraton revenues</w:t>
            </w:r>
          </w:p>
        </w:tc>
        <w:tc>
          <w:tcPr>
            <w:tcW w:w="6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899</w:t>
            </w:r>
          </w:p>
        </w:tc>
        <w:tc>
          <w:tcPr>
            <w:tcW w:w="2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931</w:t>
            </w:r>
          </w:p>
        </w:tc>
        <w:tc>
          <w:tcPr>
            <w:tcW w:w="300" w:type="dxa"/>
            <w:vAlign w:val="bottom"/>
          </w:tcPr>
          <w:p>
            <w:pPr>
              <w:spacing w:after="0"/>
              <w:rPr>
                <w:color w:val="auto"/>
                <w:sz w:val="9"/>
                <w:szCs w:val="9"/>
              </w:rPr>
            </w:pP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1,142</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(3.5)%</w:t>
            </w: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(18.5)%</w:t>
            </w:r>
          </w:p>
        </w:tc>
        <w:tc>
          <w:tcPr>
            <w:tcW w:w="10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(3.5)%</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(18.5)%</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3,347</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3,596</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4,568</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(6.9)%</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(21.3)%</w:t>
            </w:r>
          </w:p>
        </w:tc>
        <w:tc>
          <w:tcPr>
            <w:tcW w:w="10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(6.9)%</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(21.3)%</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Venclexta</w:t>
            </w: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1,234</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1,087</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1,009</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13.5 %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7.8 %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13.5 %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7.8 %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1,349</w:t>
            </w:r>
          </w:p>
        </w:tc>
        <w:tc>
          <w:tcPr>
            <w:tcW w:w="2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1,201</w:t>
            </w:r>
          </w:p>
        </w:tc>
        <w:tc>
          <w:tcPr>
            <w:tcW w:w="30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1,000</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12.3 %</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20.1 %</w:t>
            </w:r>
          </w:p>
        </w:tc>
        <w:tc>
          <w:tcPr>
            <w:tcW w:w="10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18.0 %</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22.3 %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2,583</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2,288</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2,009</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12.9 %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13.9 %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15.9 %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15.0 %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4"/>
        </w:trPr>
        <w:tc>
          <w:tcPr>
            <w:tcW w:w="1840" w:type="dxa"/>
            <w:shd w:val="clear" w:color="auto" w:fill="CCEEFF"/>
            <w:vAlign w:val="bottom"/>
          </w:tcPr>
          <w:p>
            <w:pPr>
              <w:spacing w:after="0" w:line="124" w:lineRule="exact"/>
              <w:rPr>
                <w:color w:val="auto"/>
                <w:sz w:val="20"/>
                <w:szCs w:val="20"/>
              </w:rPr>
            </w:pPr>
            <w:r>
              <w:rPr>
                <w:rFonts w:ascii="Calibri" w:eastAsia="Calibri" w:hAnsi="Calibri" w:cs="Calibri"/>
                <w:color w:val="auto"/>
                <w:sz w:val="10"/>
                <w:szCs w:val="10"/>
              </w:rPr>
              <w:t>Elahere</w:t>
            </w:r>
            <w:r>
              <w:rPr>
                <w:rFonts w:ascii="Calibri" w:eastAsia="Calibri" w:hAnsi="Calibri" w:cs="Calibri"/>
                <w:color w:val="auto"/>
                <w:sz w:val="12"/>
                <w:szCs w:val="12"/>
                <w:vertAlign w:val="superscript"/>
              </w:rPr>
              <w:t>(a)</w:t>
            </w:r>
          </w:p>
        </w:tc>
        <w:tc>
          <w:tcPr>
            <w:tcW w:w="1400" w:type="dxa"/>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United States</w:t>
            </w:r>
          </w:p>
        </w:tc>
        <w:tc>
          <w:tcPr>
            <w:tcW w:w="680" w:type="dxa"/>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00" w:type="dxa"/>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477</w:t>
            </w:r>
          </w:p>
        </w:tc>
        <w:tc>
          <w:tcPr>
            <w:tcW w:w="280" w:type="dxa"/>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780" w:type="dxa"/>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00" w:type="dxa"/>
            <w:shd w:val="clear" w:color="auto" w:fill="CCEEFF"/>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840" w:type="dxa"/>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w:t>
            </w:r>
          </w:p>
        </w:tc>
        <w:tc>
          <w:tcPr>
            <w:tcW w:w="1260" w:type="dxa"/>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n/m</w:t>
            </w:r>
          </w:p>
        </w:tc>
        <w:tc>
          <w:tcPr>
            <w:tcW w:w="1300" w:type="dxa"/>
            <w:gridSpan w:val="3"/>
            <w:shd w:val="clear" w:color="auto" w:fill="CCEEFF"/>
            <w:vAlign w:val="bottom"/>
          </w:tcPr>
          <w:p>
            <w:pPr>
              <w:spacing w:after="0" w:line="112" w:lineRule="exact"/>
              <w:ind w:left="680"/>
              <w:rPr>
                <w:color w:val="auto"/>
                <w:sz w:val="20"/>
                <w:szCs w:val="20"/>
              </w:rPr>
            </w:pPr>
            <w:r>
              <w:rPr>
                <w:rFonts w:ascii="Calibri" w:eastAsia="Calibri" w:hAnsi="Calibri" w:cs="Calibri"/>
                <w:color w:val="auto"/>
                <w:sz w:val="10"/>
                <w:szCs w:val="10"/>
              </w:rPr>
              <w:t>n/m</w:t>
            </w:r>
          </w:p>
        </w:tc>
        <w:tc>
          <w:tcPr>
            <w:tcW w:w="920" w:type="dxa"/>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n/m</w:t>
            </w:r>
          </w:p>
        </w:tc>
        <w:tc>
          <w:tcPr>
            <w:tcW w:w="880" w:type="dxa"/>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n/m</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2</w:t>
            </w:r>
          </w:p>
        </w:tc>
        <w:tc>
          <w:tcPr>
            <w:tcW w:w="2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00" w:type="dxa"/>
            <w:vAlign w:val="bottom"/>
          </w:tcPr>
          <w:p>
            <w:pPr>
              <w:spacing w:after="0"/>
              <w:rPr>
                <w:color w:val="auto"/>
                <w:sz w:val="9"/>
                <w:szCs w:val="9"/>
              </w:rPr>
            </w:pP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n/m</w:t>
            </w:r>
          </w:p>
        </w:tc>
        <w:tc>
          <w:tcPr>
            <w:tcW w:w="1300" w:type="dxa"/>
            <w:gridSpan w:val="3"/>
            <w:vAlign w:val="bottom"/>
          </w:tcPr>
          <w:p>
            <w:pPr>
              <w:spacing w:after="0" w:line="112" w:lineRule="exact"/>
              <w:ind w:left="680"/>
              <w:rPr>
                <w:color w:val="auto"/>
                <w:sz w:val="20"/>
                <w:szCs w:val="20"/>
              </w:rPr>
            </w:pPr>
            <w:r>
              <w:rPr>
                <w:rFonts w:ascii="Calibri" w:eastAsia="Calibri" w:hAnsi="Calibri" w:cs="Calibri"/>
                <w:color w:val="auto"/>
                <w:sz w:val="10"/>
                <w:szCs w:val="10"/>
              </w:rPr>
              <w:t>n/m</w:t>
            </w: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n/m</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n/m</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479</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n/m</w:t>
            </w:r>
          </w:p>
        </w:tc>
        <w:tc>
          <w:tcPr>
            <w:tcW w:w="1300" w:type="dxa"/>
            <w:gridSpan w:val="3"/>
            <w:tcBorders>
              <w:bottom w:val="single" w:sz="8" w:space="0" w:color="CCEEFF"/>
            </w:tcBorders>
            <w:shd w:val="clear" w:color="auto" w:fill="CCEEFF"/>
            <w:vAlign w:val="bottom"/>
          </w:tcPr>
          <w:p>
            <w:pPr>
              <w:spacing w:after="0" w:line="101" w:lineRule="exact"/>
              <w:ind w:left="680"/>
              <w:rPr>
                <w:color w:val="auto"/>
                <w:sz w:val="20"/>
                <w:szCs w:val="20"/>
              </w:rPr>
            </w:pPr>
            <w:r>
              <w:rPr>
                <w:rFonts w:ascii="Calibri" w:eastAsia="Calibri" w:hAnsi="Calibri" w:cs="Calibri"/>
                <w:color w:val="auto"/>
                <w:sz w:val="10"/>
                <w:szCs w:val="10"/>
              </w:rPr>
              <w:t>n/m</w:t>
            </w: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n/m</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n/m</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Epkinly</w:t>
            </w: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Collaboraton revenues</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118</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28</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&gt;100.0 %</w:t>
            </w:r>
          </w:p>
        </w:tc>
        <w:tc>
          <w:tcPr>
            <w:tcW w:w="1300" w:type="dxa"/>
            <w:gridSpan w:val="3"/>
            <w:tcBorders>
              <w:top w:val="single" w:sz="8" w:space="0" w:color="auto"/>
            </w:tcBorders>
            <w:vAlign w:val="bottom"/>
          </w:tcPr>
          <w:p>
            <w:pPr>
              <w:spacing w:after="0" w:line="101" w:lineRule="exact"/>
              <w:ind w:left="680"/>
              <w:rPr>
                <w:color w:val="auto"/>
                <w:sz w:val="20"/>
                <w:szCs w:val="20"/>
              </w:rPr>
            </w:pPr>
            <w:r>
              <w:rPr>
                <w:rFonts w:ascii="Calibri" w:eastAsia="Calibri" w:hAnsi="Calibri" w:cs="Calibri"/>
                <w:color w:val="auto"/>
                <w:sz w:val="10"/>
                <w:szCs w:val="10"/>
              </w:rPr>
              <w:t>n/m</w:t>
            </w: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&gt;100.0 %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n/m</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28</w:t>
            </w:r>
          </w:p>
        </w:tc>
        <w:tc>
          <w:tcPr>
            <w:tcW w:w="2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3</w:t>
            </w:r>
          </w:p>
        </w:tc>
        <w:tc>
          <w:tcPr>
            <w:tcW w:w="30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&gt;100.0 %</w:t>
            </w:r>
          </w:p>
        </w:tc>
        <w:tc>
          <w:tcPr>
            <w:tcW w:w="1300" w:type="dxa"/>
            <w:gridSpan w:val="3"/>
            <w:tcBorders>
              <w:bottom w:val="single" w:sz="8" w:space="0" w:color="CCEEFF"/>
            </w:tcBorders>
            <w:shd w:val="clear" w:color="auto" w:fill="CCEEFF"/>
            <w:vAlign w:val="bottom"/>
          </w:tcPr>
          <w:p>
            <w:pPr>
              <w:spacing w:after="0" w:line="112" w:lineRule="exact"/>
              <w:ind w:left="680"/>
              <w:rPr>
                <w:color w:val="auto"/>
                <w:sz w:val="20"/>
                <w:szCs w:val="20"/>
              </w:rPr>
            </w:pPr>
            <w:r>
              <w:rPr>
                <w:rFonts w:ascii="Calibri" w:eastAsia="Calibri" w:hAnsi="Calibri" w:cs="Calibri"/>
                <w:color w:val="auto"/>
                <w:sz w:val="10"/>
                <w:szCs w:val="10"/>
              </w:rPr>
              <w:t>n/m</w:t>
            </w: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&gt;100.0 %</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n/m</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146</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31</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&gt;100.0 %</w:t>
            </w:r>
          </w:p>
        </w:tc>
        <w:tc>
          <w:tcPr>
            <w:tcW w:w="1300" w:type="dxa"/>
            <w:gridSpan w:val="3"/>
            <w:tcBorders>
              <w:top w:val="single" w:sz="8" w:space="0" w:color="auto"/>
            </w:tcBorders>
            <w:vAlign w:val="bottom"/>
          </w:tcPr>
          <w:p>
            <w:pPr>
              <w:spacing w:after="0" w:line="101" w:lineRule="exact"/>
              <w:ind w:left="680"/>
              <w:rPr>
                <w:color w:val="auto"/>
                <w:sz w:val="20"/>
                <w:szCs w:val="20"/>
              </w:rPr>
            </w:pPr>
            <w:r>
              <w:rPr>
                <w:rFonts w:ascii="Calibri" w:eastAsia="Calibri" w:hAnsi="Calibri" w:cs="Calibri"/>
                <w:color w:val="auto"/>
                <w:sz w:val="10"/>
                <w:szCs w:val="10"/>
              </w:rPr>
              <w:t>n/m</w:t>
            </w: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&gt;100.0 %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n/m</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b/>
                <w:bCs/>
                <w:color w:val="auto"/>
                <w:sz w:val="10"/>
                <w:szCs w:val="10"/>
              </w:rPr>
              <w:t>Aesthetcs</w:t>
            </w:r>
          </w:p>
        </w:tc>
        <w:tc>
          <w:tcPr>
            <w:tcW w:w="1400" w:type="dxa"/>
            <w:tcBorders>
              <w:bottom w:val="single" w:sz="8" w:space="0" w:color="CCEEFF"/>
            </w:tcBorders>
            <w:shd w:val="clear" w:color="auto" w:fill="CCEEFF"/>
            <w:vAlign w:val="bottom"/>
          </w:tcPr>
          <w:p>
            <w:pPr>
              <w:spacing w:after="0"/>
              <w:rPr>
                <w:color w:val="auto"/>
                <w:sz w:val="9"/>
                <w:szCs w:val="9"/>
              </w:rPr>
            </w:pPr>
          </w:p>
        </w:tc>
        <w:tc>
          <w:tcPr>
            <w:tcW w:w="680" w:type="dxa"/>
            <w:tcBorders>
              <w:bottom w:val="single" w:sz="8" w:space="0" w:color="CCEEFF"/>
            </w:tcBorders>
            <w:shd w:val="clear" w:color="auto" w:fill="CCEEFF"/>
            <w:vAlign w:val="bottom"/>
          </w:tcPr>
          <w:p>
            <w:pPr>
              <w:spacing w:after="0"/>
              <w:rPr>
                <w:color w:val="auto"/>
                <w:sz w:val="9"/>
                <w:szCs w:val="9"/>
              </w:rPr>
            </w:pPr>
          </w:p>
        </w:tc>
        <w:tc>
          <w:tcPr>
            <w:tcW w:w="800" w:type="dxa"/>
            <w:tcBorders>
              <w:bottom w:val="single" w:sz="8" w:space="0" w:color="CCEEFF"/>
            </w:tcBorders>
            <w:shd w:val="clear" w:color="auto" w:fill="CCEEFF"/>
            <w:vAlign w:val="bottom"/>
          </w:tcPr>
          <w:p>
            <w:pPr>
              <w:spacing w:after="0"/>
              <w:rPr>
                <w:color w:val="auto"/>
                <w:sz w:val="9"/>
                <w:szCs w:val="9"/>
              </w:rPr>
            </w:pPr>
          </w:p>
        </w:tc>
        <w:tc>
          <w:tcPr>
            <w:tcW w:w="280" w:type="dxa"/>
            <w:tcBorders>
              <w:bottom w:val="single" w:sz="8" w:space="0" w:color="CCEEFF"/>
            </w:tcBorders>
            <w:shd w:val="clear" w:color="auto" w:fill="CCEEFF"/>
            <w:vAlign w:val="bottom"/>
          </w:tcPr>
          <w:p>
            <w:pPr>
              <w:spacing w:after="0"/>
              <w:rPr>
                <w:color w:val="auto"/>
                <w:sz w:val="9"/>
                <w:szCs w:val="9"/>
              </w:rPr>
            </w:pPr>
          </w:p>
        </w:tc>
        <w:tc>
          <w:tcPr>
            <w:tcW w:w="780" w:type="dxa"/>
            <w:tcBorders>
              <w:bottom w:val="single" w:sz="8" w:space="0" w:color="CCEEFF"/>
            </w:tcBorders>
            <w:shd w:val="clear" w:color="auto" w:fill="CCEEFF"/>
            <w:vAlign w:val="bottom"/>
          </w:tcPr>
          <w:p>
            <w:pPr>
              <w:spacing w:after="0"/>
              <w:rPr>
                <w:color w:val="auto"/>
                <w:sz w:val="9"/>
                <w:szCs w:val="9"/>
              </w:rPr>
            </w:pPr>
          </w:p>
        </w:tc>
        <w:tc>
          <w:tcPr>
            <w:tcW w:w="300" w:type="dxa"/>
            <w:tcBorders>
              <w:bottom w:val="single" w:sz="8" w:space="0" w:color="CCEEFF"/>
            </w:tcBorders>
            <w:shd w:val="clear" w:color="auto" w:fill="CCEEFF"/>
            <w:vAlign w:val="bottom"/>
          </w:tcPr>
          <w:p>
            <w:pPr>
              <w:spacing w:after="0"/>
              <w:rPr>
                <w:color w:val="auto"/>
                <w:sz w:val="9"/>
                <w:szCs w:val="9"/>
              </w:rPr>
            </w:pPr>
          </w:p>
        </w:tc>
        <w:tc>
          <w:tcPr>
            <w:tcW w:w="840" w:type="dxa"/>
            <w:tcBorders>
              <w:bottom w:val="single" w:sz="8" w:space="0" w:color="CCEEFF"/>
            </w:tcBorders>
            <w:shd w:val="clear" w:color="auto" w:fill="CCEEFF"/>
            <w:vAlign w:val="bottom"/>
          </w:tcPr>
          <w:p>
            <w:pPr>
              <w:spacing w:after="0"/>
              <w:rPr>
                <w:color w:val="auto"/>
                <w:sz w:val="9"/>
                <w:szCs w:val="9"/>
              </w:rPr>
            </w:pPr>
          </w:p>
        </w:tc>
        <w:tc>
          <w:tcPr>
            <w:tcW w:w="1260" w:type="dxa"/>
            <w:tcBorders>
              <w:bottom w:val="single" w:sz="8" w:space="0" w:color="CCEEFF"/>
            </w:tcBorders>
            <w:shd w:val="clear" w:color="auto" w:fill="CCEEFF"/>
            <w:vAlign w:val="bottom"/>
          </w:tcPr>
          <w:p>
            <w:pPr>
              <w:spacing w:after="0"/>
              <w:rPr>
                <w:color w:val="auto"/>
                <w:sz w:val="9"/>
                <w:szCs w:val="9"/>
              </w:rPr>
            </w:pPr>
          </w:p>
        </w:tc>
        <w:tc>
          <w:tcPr>
            <w:tcW w:w="840" w:type="dxa"/>
            <w:tcBorders>
              <w:bottom w:val="single" w:sz="8" w:space="0" w:color="CCEEFF"/>
            </w:tcBorders>
            <w:shd w:val="clear" w:color="auto" w:fill="CCEEFF"/>
            <w:vAlign w:val="bottom"/>
          </w:tcPr>
          <w:p>
            <w:pPr>
              <w:spacing w:after="0"/>
              <w:rPr>
                <w:color w:val="auto"/>
                <w:sz w:val="9"/>
                <w:szCs w:val="9"/>
              </w:rPr>
            </w:pPr>
          </w:p>
        </w:tc>
        <w:tc>
          <w:tcPr>
            <w:tcW w:w="10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rPr>
                <w:color w:val="auto"/>
                <w:sz w:val="9"/>
                <w:szCs w:val="9"/>
              </w:rPr>
            </w:pPr>
          </w:p>
        </w:tc>
        <w:tc>
          <w:tcPr>
            <w:tcW w:w="880" w:type="dxa"/>
            <w:tcBorders>
              <w:bottom w:val="single" w:sz="8" w:space="0" w:color="CCEEFF"/>
            </w:tcBorders>
            <w:shd w:val="clear" w:color="auto" w:fill="CCEEFF"/>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line="112" w:lineRule="exact"/>
              <w:rPr>
                <w:color w:val="auto"/>
                <w:sz w:val="20"/>
                <w:szCs w:val="20"/>
              </w:rPr>
            </w:pPr>
            <w:r>
              <w:rPr>
                <w:rFonts w:ascii="Calibri" w:eastAsia="Calibri" w:hAnsi="Calibri" w:cs="Calibri"/>
                <w:color w:val="auto"/>
                <w:sz w:val="10"/>
                <w:szCs w:val="10"/>
              </w:rPr>
              <w:t>Botox Cosmetc</w:t>
            </w: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United States</w:t>
            </w:r>
          </w:p>
        </w:tc>
        <w:tc>
          <w:tcPr>
            <w:tcW w:w="680" w:type="dxa"/>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1,682</w:t>
            </w:r>
          </w:p>
        </w:tc>
        <w:tc>
          <w:tcPr>
            <w:tcW w:w="280" w:type="dxa"/>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1,670</w:t>
            </w:r>
          </w:p>
        </w:tc>
        <w:tc>
          <w:tcPr>
            <w:tcW w:w="300" w:type="dxa"/>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1,654</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0.7 %</w:t>
            </w: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1.0 %</w:t>
            </w:r>
          </w:p>
        </w:tc>
        <w:tc>
          <w:tcPr>
            <w:tcW w:w="10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0.7 %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1.0 %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1,038</w:t>
            </w:r>
          </w:p>
        </w:tc>
        <w:tc>
          <w:tcPr>
            <w:tcW w:w="2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1,012</w:t>
            </w:r>
          </w:p>
        </w:tc>
        <w:tc>
          <w:tcPr>
            <w:tcW w:w="30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961</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2.7 %</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5.3 %</w:t>
            </w:r>
          </w:p>
        </w:tc>
        <w:tc>
          <w:tcPr>
            <w:tcW w:w="10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6.7 %</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9.7 %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2,720</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2,682</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2,615</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1.4 %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2.6 %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2.9 %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4.2 %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Juvederm Collecton</w:t>
            </w: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469</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519</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548</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(9.6)%</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(5.4)%</w:t>
            </w:r>
          </w:p>
        </w:tc>
        <w:tc>
          <w:tcPr>
            <w:tcW w:w="10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(9.6)%</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(5.4)%</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708</w:t>
            </w:r>
          </w:p>
        </w:tc>
        <w:tc>
          <w:tcPr>
            <w:tcW w:w="2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859</w:t>
            </w:r>
          </w:p>
        </w:tc>
        <w:tc>
          <w:tcPr>
            <w:tcW w:w="300" w:type="dxa"/>
            <w:vAlign w:val="bottom"/>
          </w:tcPr>
          <w:p>
            <w:pPr>
              <w:spacing w:after="0"/>
              <w:rPr>
                <w:color w:val="auto"/>
                <w:sz w:val="9"/>
                <w:szCs w:val="9"/>
              </w:rPr>
            </w:pP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880</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(17.6)%</w:t>
            </w: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(2.4)%</w:t>
            </w:r>
          </w:p>
        </w:tc>
        <w:tc>
          <w:tcPr>
            <w:tcW w:w="10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(13.4)%</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1.9 %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1,177</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1,378</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1,428</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(14.6)%</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(3.6)%</w:t>
            </w:r>
          </w:p>
        </w:tc>
        <w:tc>
          <w:tcPr>
            <w:tcW w:w="10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(12.0)%</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(0.9)%</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Other Aesthetcs</w:t>
            </w: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1,118</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1,060</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1,122</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5.5 %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(5.6)%</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5.5 %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(5.6)%</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161</w:t>
            </w:r>
          </w:p>
        </w:tc>
        <w:tc>
          <w:tcPr>
            <w:tcW w:w="2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174</w:t>
            </w:r>
          </w:p>
        </w:tc>
        <w:tc>
          <w:tcPr>
            <w:tcW w:w="30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168</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(7.1)%</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3.3 %</w:t>
            </w:r>
          </w:p>
        </w:tc>
        <w:tc>
          <w:tcPr>
            <w:tcW w:w="10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(1.0)%</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8.1 %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1,279</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1,234</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1,290</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3.7 %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(4.4)%</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4.6 %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(3.8)%</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b/>
                <w:bCs/>
                <w:color w:val="auto"/>
                <w:sz w:val="10"/>
                <w:szCs w:val="10"/>
              </w:rPr>
              <w:t>Neuroscience</w:t>
            </w:r>
          </w:p>
        </w:tc>
        <w:tc>
          <w:tcPr>
            <w:tcW w:w="1400" w:type="dxa"/>
            <w:tcBorders>
              <w:bottom w:val="single" w:sz="8" w:space="0" w:color="CCEEFF"/>
            </w:tcBorders>
            <w:shd w:val="clear" w:color="auto" w:fill="CCEEFF"/>
            <w:vAlign w:val="bottom"/>
          </w:tcPr>
          <w:p>
            <w:pPr>
              <w:spacing w:after="0"/>
              <w:rPr>
                <w:color w:val="auto"/>
                <w:sz w:val="9"/>
                <w:szCs w:val="9"/>
              </w:rPr>
            </w:pPr>
          </w:p>
        </w:tc>
        <w:tc>
          <w:tcPr>
            <w:tcW w:w="680" w:type="dxa"/>
            <w:tcBorders>
              <w:bottom w:val="single" w:sz="8" w:space="0" w:color="CCEEFF"/>
            </w:tcBorders>
            <w:shd w:val="clear" w:color="auto" w:fill="CCEEFF"/>
            <w:vAlign w:val="bottom"/>
          </w:tcPr>
          <w:p>
            <w:pPr>
              <w:spacing w:after="0"/>
              <w:rPr>
                <w:color w:val="auto"/>
                <w:sz w:val="9"/>
                <w:szCs w:val="9"/>
              </w:rPr>
            </w:pPr>
          </w:p>
        </w:tc>
        <w:tc>
          <w:tcPr>
            <w:tcW w:w="800" w:type="dxa"/>
            <w:tcBorders>
              <w:bottom w:val="single" w:sz="8" w:space="0" w:color="CCEEFF"/>
            </w:tcBorders>
            <w:shd w:val="clear" w:color="auto" w:fill="CCEEFF"/>
            <w:vAlign w:val="bottom"/>
          </w:tcPr>
          <w:p>
            <w:pPr>
              <w:spacing w:after="0"/>
              <w:rPr>
                <w:color w:val="auto"/>
                <w:sz w:val="9"/>
                <w:szCs w:val="9"/>
              </w:rPr>
            </w:pPr>
          </w:p>
        </w:tc>
        <w:tc>
          <w:tcPr>
            <w:tcW w:w="280" w:type="dxa"/>
            <w:tcBorders>
              <w:bottom w:val="single" w:sz="8" w:space="0" w:color="CCEEFF"/>
            </w:tcBorders>
            <w:shd w:val="clear" w:color="auto" w:fill="CCEEFF"/>
            <w:vAlign w:val="bottom"/>
          </w:tcPr>
          <w:p>
            <w:pPr>
              <w:spacing w:after="0"/>
              <w:rPr>
                <w:color w:val="auto"/>
                <w:sz w:val="9"/>
                <w:szCs w:val="9"/>
              </w:rPr>
            </w:pPr>
          </w:p>
        </w:tc>
        <w:tc>
          <w:tcPr>
            <w:tcW w:w="780" w:type="dxa"/>
            <w:tcBorders>
              <w:bottom w:val="single" w:sz="8" w:space="0" w:color="CCEEFF"/>
            </w:tcBorders>
            <w:shd w:val="clear" w:color="auto" w:fill="CCEEFF"/>
            <w:vAlign w:val="bottom"/>
          </w:tcPr>
          <w:p>
            <w:pPr>
              <w:spacing w:after="0"/>
              <w:rPr>
                <w:color w:val="auto"/>
                <w:sz w:val="9"/>
                <w:szCs w:val="9"/>
              </w:rPr>
            </w:pPr>
          </w:p>
        </w:tc>
        <w:tc>
          <w:tcPr>
            <w:tcW w:w="300" w:type="dxa"/>
            <w:tcBorders>
              <w:bottom w:val="single" w:sz="8" w:space="0" w:color="CCEEFF"/>
            </w:tcBorders>
            <w:shd w:val="clear" w:color="auto" w:fill="CCEEFF"/>
            <w:vAlign w:val="bottom"/>
          </w:tcPr>
          <w:p>
            <w:pPr>
              <w:spacing w:after="0"/>
              <w:rPr>
                <w:color w:val="auto"/>
                <w:sz w:val="9"/>
                <w:szCs w:val="9"/>
              </w:rPr>
            </w:pPr>
          </w:p>
        </w:tc>
        <w:tc>
          <w:tcPr>
            <w:tcW w:w="840" w:type="dxa"/>
            <w:tcBorders>
              <w:bottom w:val="single" w:sz="8" w:space="0" w:color="CCEEFF"/>
            </w:tcBorders>
            <w:shd w:val="clear" w:color="auto" w:fill="CCEEFF"/>
            <w:vAlign w:val="bottom"/>
          </w:tcPr>
          <w:p>
            <w:pPr>
              <w:spacing w:after="0"/>
              <w:rPr>
                <w:color w:val="auto"/>
                <w:sz w:val="9"/>
                <w:szCs w:val="9"/>
              </w:rPr>
            </w:pPr>
          </w:p>
        </w:tc>
        <w:tc>
          <w:tcPr>
            <w:tcW w:w="1260" w:type="dxa"/>
            <w:tcBorders>
              <w:bottom w:val="single" w:sz="8" w:space="0" w:color="CCEEFF"/>
            </w:tcBorders>
            <w:shd w:val="clear" w:color="auto" w:fill="CCEEFF"/>
            <w:vAlign w:val="bottom"/>
          </w:tcPr>
          <w:p>
            <w:pPr>
              <w:spacing w:after="0"/>
              <w:rPr>
                <w:color w:val="auto"/>
                <w:sz w:val="9"/>
                <w:szCs w:val="9"/>
              </w:rPr>
            </w:pPr>
          </w:p>
        </w:tc>
        <w:tc>
          <w:tcPr>
            <w:tcW w:w="840" w:type="dxa"/>
            <w:tcBorders>
              <w:bottom w:val="single" w:sz="8" w:space="0" w:color="CCEEFF"/>
            </w:tcBorders>
            <w:shd w:val="clear" w:color="auto" w:fill="CCEEFF"/>
            <w:vAlign w:val="bottom"/>
          </w:tcPr>
          <w:p>
            <w:pPr>
              <w:spacing w:after="0"/>
              <w:rPr>
                <w:color w:val="auto"/>
                <w:sz w:val="9"/>
                <w:szCs w:val="9"/>
              </w:rPr>
            </w:pPr>
          </w:p>
        </w:tc>
        <w:tc>
          <w:tcPr>
            <w:tcW w:w="10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rPr>
                <w:color w:val="auto"/>
                <w:sz w:val="9"/>
                <w:szCs w:val="9"/>
              </w:rPr>
            </w:pPr>
          </w:p>
        </w:tc>
        <w:tc>
          <w:tcPr>
            <w:tcW w:w="880" w:type="dxa"/>
            <w:tcBorders>
              <w:bottom w:val="single" w:sz="8" w:space="0" w:color="CCEEFF"/>
            </w:tcBorders>
            <w:shd w:val="clear" w:color="auto" w:fill="CCEEFF"/>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line="112" w:lineRule="exact"/>
              <w:rPr>
                <w:color w:val="auto"/>
                <w:sz w:val="20"/>
                <w:szCs w:val="20"/>
              </w:rPr>
            </w:pPr>
            <w:r>
              <w:rPr>
                <w:rFonts w:ascii="Calibri" w:eastAsia="Calibri" w:hAnsi="Calibri" w:cs="Calibri"/>
                <w:color w:val="auto"/>
                <w:sz w:val="10"/>
                <w:szCs w:val="10"/>
              </w:rPr>
              <w:t>Botox Therapeutc</w:t>
            </w: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United States</w:t>
            </w:r>
          </w:p>
        </w:tc>
        <w:tc>
          <w:tcPr>
            <w:tcW w:w="680" w:type="dxa"/>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2,718</w:t>
            </w:r>
          </w:p>
        </w:tc>
        <w:tc>
          <w:tcPr>
            <w:tcW w:w="280" w:type="dxa"/>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2,476</w:t>
            </w:r>
          </w:p>
        </w:tc>
        <w:tc>
          <w:tcPr>
            <w:tcW w:w="300" w:type="dxa"/>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2,255</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9.8 %</w:t>
            </w: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9.8 %</w:t>
            </w:r>
          </w:p>
        </w:tc>
        <w:tc>
          <w:tcPr>
            <w:tcW w:w="10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9.8 %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9.8 %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565</w:t>
            </w:r>
          </w:p>
        </w:tc>
        <w:tc>
          <w:tcPr>
            <w:tcW w:w="2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515</w:t>
            </w:r>
          </w:p>
        </w:tc>
        <w:tc>
          <w:tcPr>
            <w:tcW w:w="30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464</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9.8 %</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11.1 %</w:t>
            </w:r>
          </w:p>
        </w:tc>
        <w:tc>
          <w:tcPr>
            <w:tcW w:w="10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14.0 %</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15.5 %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3,283</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2,991</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2,719</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9.8 %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10.0 %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10.5 %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10.8 %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Vraylar</w:t>
            </w: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3,260</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2,755</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2,037</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18.4 %</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35.2 %</w:t>
            </w:r>
          </w:p>
        </w:tc>
        <w:tc>
          <w:tcPr>
            <w:tcW w:w="10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18.4 %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35.2 %</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7</w:t>
            </w:r>
          </w:p>
        </w:tc>
        <w:tc>
          <w:tcPr>
            <w:tcW w:w="2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4</w:t>
            </w:r>
          </w:p>
        </w:tc>
        <w:tc>
          <w:tcPr>
            <w:tcW w:w="300" w:type="dxa"/>
            <w:vAlign w:val="bottom"/>
          </w:tcPr>
          <w:p>
            <w:pPr>
              <w:spacing w:after="0"/>
              <w:rPr>
                <w:color w:val="auto"/>
                <w:sz w:val="9"/>
                <w:szCs w:val="9"/>
              </w:rPr>
            </w:pP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1</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57.8 %</w:t>
            </w: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&gt;100.0 %</w:t>
            </w:r>
          </w:p>
        </w:tc>
        <w:tc>
          <w:tcPr>
            <w:tcW w:w="10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58.6 %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&gt;100.0 %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3,267</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2,759</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2,038</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18.4 %</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35.4 %</w:t>
            </w:r>
          </w:p>
        </w:tc>
        <w:tc>
          <w:tcPr>
            <w:tcW w:w="10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18.4 %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35.4 %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Duodopa</w:t>
            </w: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96</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97</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95</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(1.8)%</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3.0 %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(1.8)%</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3.0 %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351</w:t>
            </w:r>
          </w:p>
        </w:tc>
        <w:tc>
          <w:tcPr>
            <w:tcW w:w="2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371</w:t>
            </w:r>
          </w:p>
        </w:tc>
        <w:tc>
          <w:tcPr>
            <w:tcW w:w="30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363</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(5.3)%</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2.1 %</w:t>
            </w:r>
          </w:p>
        </w:tc>
        <w:tc>
          <w:tcPr>
            <w:tcW w:w="10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(5.4)%</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1.8 %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447</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468</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458</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(4.6)%</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2.3 %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(4.7)%</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2.1 %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Ubrelvy</w:t>
            </w: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981</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803</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680</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22.1 %</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18.2 %</w:t>
            </w:r>
          </w:p>
        </w:tc>
        <w:tc>
          <w:tcPr>
            <w:tcW w:w="10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22.1 %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18.2 %</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400" w:type="dxa"/>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25</w:t>
            </w:r>
          </w:p>
        </w:tc>
        <w:tc>
          <w:tcPr>
            <w:tcW w:w="2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12</w:t>
            </w:r>
          </w:p>
        </w:tc>
        <w:tc>
          <w:tcPr>
            <w:tcW w:w="300" w:type="dxa"/>
            <w:vAlign w:val="bottom"/>
          </w:tcPr>
          <w:p>
            <w:pPr>
              <w:spacing w:after="0"/>
              <w:rPr>
                <w:color w:val="auto"/>
                <w:sz w:val="9"/>
                <w:szCs w:val="9"/>
              </w:rPr>
            </w:pPr>
          </w:p>
        </w:tc>
        <w:tc>
          <w:tcPr>
            <w:tcW w:w="840" w:type="dxa"/>
            <w:vAlign w:val="bottom"/>
          </w:tcPr>
          <w:p>
            <w:pPr>
              <w:spacing w:after="0" w:line="112" w:lineRule="exact"/>
              <w:ind w:right="72"/>
              <w:jc w:val="right"/>
              <w:rPr>
                <w:color w:val="auto"/>
                <w:sz w:val="20"/>
                <w:szCs w:val="20"/>
              </w:rPr>
            </w:pPr>
            <w:r>
              <w:rPr>
                <w:rFonts w:ascii="Calibri" w:eastAsia="Calibri" w:hAnsi="Calibri" w:cs="Calibri"/>
                <w:color w:val="auto"/>
                <w:sz w:val="10"/>
                <w:szCs w:val="10"/>
              </w:rPr>
              <w:t>—</w:t>
            </w:r>
          </w:p>
        </w:tc>
        <w:tc>
          <w:tcPr>
            <w:tcW w:w="126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&gt;100.0 %</w:t>
            </w: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&gt;100.0 %</w:t>
            </w:r>
          </w:p>
        </w:tc>
        <w:tc>
          <w:tcPr>
            <w:tcW w:w="10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&gt;100.0 %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&gt;100.0 %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40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1,006</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815</w:t>
            </w:r>
          </w:p>
        </w:tc>
        <w:tc>
          <w:tcPr>
            <w:tcW w:w="30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72"/>
              <w:jc w:val="right"/>
              <w:rPr>
                <w:color w:val="auto"/>
                <w:sz w:val="20"/>
                <w:szCs w:val="20"/>
              </w:rPr>
            </w:pPr>
            <w:r>
              <w:rPr>
                <w:rFonts w:ascii="Calibri" w:eastAsia="Calibri" w:hAnsi="Calibri" w:cs="Calibri"/>
                <w:color w:val="auto"/>
                <w:sz w:val="10"/>
                <w:szCs w:val="10"/>
              </w:rPr>
              <w:t>680</w:t>
            </w:r>
          </w:p>
        </w:tc>
        <w:tc>
          <w:tcPr>
            <w:tcW w:w="126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23.4 %</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19.9 %</w:t>
            </w:r>
          </w:p>
        </w:tc>
        <w:tc>
          <w:tcPr>
            <w:tcW w:w="10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23.4 %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19.9 %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Qulipta</w:t>
            </w: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United States</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628</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405</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158</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55.3 %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&gt;100.0 %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55.3 %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&gt;100.0 %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400" w:type="dxa"/>
            <w:vAlign w:val="bottom"/>
          </w:tcPr>
          <w:p>
            <w:pPr>
              <w:spacing w:after="0"/>
              <w:rPr>
                <w:color w:val="auto"/>
                <w:sz w:val="2"/>
                <w:szCs w:val="2"/>
              </w:rPr>
            </w:pPr>
          </w:p>
        </w:tc>
        <w:tc>
          <w:tcPr>
            <w:tcW w:w="6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780" w:type="dxa"/>
            <w:vAlign w:val="bottom"/>
          </w:tcPr>
          <w:p>
            <w:pPr>
              <w:spacing w:after="0"/>
              <w:rPr>
                <w:color w:val="auto"/>
                <w:sz w:val="2"/>
                <w:szCs w:val="2"/>
              </w:rPr>
            </w:pPr>
          </w:p>
        </w:tc>
        <w:tc>
          <w:tcPr>
            <w:tcW w:w="300" w:type="dxa"/>
            <w:vAlign w:val="bottom"/>
          </w:tcPr>
          <w:p>
            <w:pPr>
              <w:spacing w:after="0"/>
              <w:rPr>
                <w:color w:val="auto"/>
                <w:sz w:val="2"/>
                <w:szCs w:val="2"/>
              </w:rPr>
            </w:pPr>
          </w:p>
        </w:tc>
        <w:tc>
          <w:tcPr>
            <w:tcW w:w="8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0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40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Internatonal</w:t>
            </w:r>
          </w:p>
        </w:tc>
        <w:tc>
          <w:tcPr>
            <w:tcW w:w="6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30</w:t>
            </w:r>
          </w:p>
        </w:tc>
        <w:tc>
          <w:tcPr>
            <w:tcW w:w="2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3</w:t>
            </w:r>
          </w:p>
        </w:tc>
        <w:tc>
          <w:tcPr>
            <w:tcW w:w="30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72"/>
              <w:jc w:val="right"/>
              <w:rPr>
                <w:color w:val="auto"/>
                <w:sz w:val="20"/>
                <w:szCs w:val="20"/>
              </w:rPr>
            </w:pPr>
            <w:r>
              <w:rPr>
                <w:rFonts w:ascii="Calibri" w:eastAsia="Calibri" w:hAnsi="Calibri" w:cs="Calibri"/>
                <w:color w:val="auto"/>
                <w:sz w:val="10"/>
                <w:szCs w:val="10"/>
              </w:rPr>
              <w:t>—</w:t>
            </w:r>
          </w:p>
        </w:tc>
        <w:tc>
          <w:tcPr>
            <w:tcW w:w="126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&gt;100.0 %</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&gt;100.0 %</w:t>
            </w:r>
          </w:p>
        </w:tc>
        <w:tc>
          <w:tcPr>
            <w:tcW w:w="10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&gt;100.0 %</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&gt;100.0 %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40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color w:val="auto"/>
                <w:sz w:val="10"/>
                <w:szCs w:val="10"/>
              </w:rPr>
              <w:t>Total</w:t>
            </w:r>
          </w:p>
        </w:tc>
        <w:tc>
          <w:tcPr>
            <w:tcW w:w="6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658</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408</w:t>
            </w:r>
          </w:p>
        </w:tc>
        <w:tc>
          <w:tcPr>
            <w:tcW w:w="30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72"/>
              <w:jc w:val="right"/>
              <w:rPr>
                <w:color w:val="auto"/>
                <w:sz w:val="20"/>
                <w:szCs w:val="20"/>
              </w:rPr>
            </w:pPr>
            <w:r>
              <w:rPr>
                <w:rFonts w:ascii="Calibri" w:eastAsia="Calibri" w:hAnsi="Calibri" w:cs="Calibri"/>
                <w:color w:val="auto"/>
                <w:sz w:val="10"/>
                <w:szCs w:val="10"/>
              </w:rPr>
              <w:t>158</w:t>
            </w:r>
          </w:p>
        </w:tc>
        <w:tc>
          <w:tcPr>
            <w:tcW w:w="126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61.3 %</w:t>
            </w:r>
          </w:p>
        </w:tc>
        <w:tc>
          <w:tcPr>
            <w:tcW w:w="8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&gt;100.0 %</w:t>
            </w:r>
          </w:p>
        </w:tc>
        <w:tc>
          <w:tcPr>
            <w:tcW w:w="10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61.3 %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&gt;100.0 %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400" w:type="dxa"/>
            <w:tcBorders>
              <w:bottom w:val="single" w:sz="8" w:space="0" w:color="auto"/>
            </w:tcBorders>
            <w:vAlign w:val="bottom"/>
          </w:tcPr>
          <w:p>
            <w:pPr>
              <w:spacing w:after="0"/>
              <w:rPr>
                <w:color w:val="auto"/>
                <w:sz w:val="2"/>
                <w:szCs w:val="2"/>
              </w:rPr>
            </w:pPr>
          </w:p>
        </w:tc>
        <w:tc>
          <w:tcPr>
            <w:tcW w:w="6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bl>
    <w:p>
      <w:pPr>
        <w:spacing w:after="0" w:line="250"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39</w:t>
      </w:r>
      <w:r>
        <w:rPr>
          <w:color w:val="auto"/>
          <w:sz w:val="20"/>
          <w:szCs w:val="20"/>
        </w:rPr>
        <w:tab/>
      </w:r>
      <w:r>
        <w:rPr>
          <w:color w:val="auto"/>
          <w:sz w:val="1"/>
          <w:szCs w:val="1"/>
        </w:rPr>
        <w:drawing>
          <wp:inline distT="0" distB="0" distL="0" distR="0">
            <wp:extent cx="400050" cy="7429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61664" behindDoc="1" locked="0" layoutInCell="0" allowOverlap="1">
            <wp:simplePos x="0" y="0"/>
            <wp:positionH relativeFrom="column">
              <wp:posOffset>-17145</wp:posOffset>
            </wp:positionH>
            <wp:positionV relativeFrom="paragraph">
              <wp:posOffset>133985</wp:posOffset>
            </wp:positionV>
            <wp:extent cx="7203440" cy="3683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849" w:right="319" w:bottom="1440" w:left="300" w:header="0" w:footer="0" w:gutter="0"/>
          <w:cols w:num="1" w:space="720" w:equalWidth="0">
            <w:col w:w="11280" w:space="0"/>
          </w:cols>
        </w:sectPr>
      </w:pPr>
    </w:p>
    <w:bookmarkStart w:id="41" w:name="page42"/>
    <w:bookmarkEnd w:id="41"/>
    <w:tbl>
      <w:tblPr>
        <w:tblInd w:w="0" w:type="dxa"/>
        <w:tblLayout w:type="fixed"/>
        <w:tblCellMar>
          <w:top w:w="0" w:type="dxa"/>
          <w:left w:w="0" w:type="dxa"/>
          <w:bottom w:w="0" w:type="dxa"/>
          <w:right w:w="0" w:type="dxa"/>
        </w:tblCellMar>
      </w:tblPr>
      <w:tblGrid>
        <w:gridCol w:w="1840"/>
        <w:gridCol w:w="1220"/>
        <w:gridCol w:w="880"/>
        <w:gridCol w:w="780"/>
        <w:gridCol w:w="280"/>
        <w:gridCol w:w="800"/>
        <w:gridCol w:w="280"/>
        <w:gridCol w:w="860"/>
        <w:gridCol w:w="1240"/>
        <w:gridCol w:w="860"/>
        <w:gridCol w:w="80"/>
        <w:gridCol w:w="360"/>
        <w:gridCol w:w="920"/>
        <w:gridCol w:w="880"/>
        <w:gridCol w:w="20"/>
      </w:tblGrid>
      <w:tr>
        <w:tblPrEx>
          <w:tblInd w:w="0" w:type="dxa"/>
          <w:tblLayout w:type="fixed"/>
        </w:tblPrEx>
        <w:trPr>
          <w:trHeight w:val="122"/>
        </w:trPr>
        <w:tc>
          <w:tcPr>
            <w:tcW w:w="1840" w:type="dxa"/>
            <w:vAlign w:val="bottom"/>
          </w:tcPr>
          <w:p>
            <w:pPr>
              <w:spacing w:after="0"/>
              <w:rPr>
                <w:color w:val="auto"/>
                <w:sz w:val="10"/>
                <w:szCs w:val="10"/>
              </w:rPr>
            </w:pPr>
          </w:p>
        </w:tc>
        <w:tc>
          <w:tcPr>
            <w:tcW w:w="1220" w:type="dxa"/>
            <w:vAlign w:val="bottom"/>
          </w:tcPr>
          <w:p>
            <w:pPr>
              <w:spacing w:after="0"/>
              <w:rPr>
                <w:color w:val="auto"/>
                <w:sz w:val="10"/>
                <w:szCs w:val="10"/>
              </w:rPr>
            </w:pPr>
          </w:p>
        </w:tc>
        <w:tc>
          <w:tcPr>
            <w:tcW w:w="880" w:type="dxa"/>
            <w:vAlign w:val="bottom"/>
          </w:tcPr>
          <w:p>
            <w:pPr>
              <w:spacing w:after="0"/>
              <w:rPr>
                <w:color w:val="auto"/>
                <w:sz w:val="10"/>
                <w:szCs w:val="10"/>
              </w:rPr>
            </w:pPr>
          </w:p>
        </w:tc>
        <w:tc>
          <w:tcPr>
            <w:tcW w:w="780" w:type="dxa"/>
            <w:vAlign w:val="bottom"/>
          </w:tcPr>
          <w:p>
            <w:pPr>
              <w:spacing w:after="0"/>
              <w:rPr>
                <w:color w:val="auto"/>
                <w:sz w:val="10"/>
                <w:szCs w:val="10"/>
              </w:rPr>
            </w:pPr>
          </w:p>
        </w:tc>
        <w:tc>
          <w:tcPr>
            <w:tcW w:w="280" w:type="dxa"/>
            <w:vAlign w:val="bottom"/>
          </w:tcPr>
          <w:p>
            <w:pPr>
              <w:spacing w:after="0"/>
              <w:rPr>
                <w:color w:val="auto"/>
                <w:sz w:val="10"/>
                <w:szCs w:val="10"/>
              </w:rPr>
            </w:pPr>
          </w:p>
        </w:tc>
        <w:tc>
          <w:tcPr>
            <w:tcW w:w="800" w:type="dxa"/>
            <w:vAlign w:val="bottom"/>
          </w:tcPr>
          <w:p>
            <w:pPr>
              <w:spacing w:after="0"/>
              <w:rPr>
                <w:color w:val="auto"/>
                <w:sz w:val="10"/>
                <w:szCs w:val="10"/>
              </w:rPr>
            </w:pPr>
          </w:p>
        </w:tc>
        <w:tc>
          <w:tcPr>
            <w:tcW w:w="280" w:type="dxa"/>
            <w:vAlign w:val="bottom"/>
          </w:tcPr>
          <w:p>
            <w:pPr>
              <w:spacing w:after="0"/>
              <w:rPr>
                <w:color w:val="auto"/>
                <w:sz w:val="10"/>
                <w:szCs w:val="10"/>
              </w:rPr>
            </w:pPr>
          </w:p>
        </w:tc>
        <w:tc>
          <w:tcPr>
            <w:tcW w:w="860" w:type="dxa"/>
            <w:vAlign w:val="bottom"/>
          </w:tcPr>
          <w:p>
            <w:pPr>
              <w:spacing w:after="0"/>
              <w:rPr>
                <w:color w:val="auto"/>
                <w:sz w:val="10"/>
                <w:szCs w:val="10"/>
              </w:rPr>
            </w:pPr>
          </w:p>
        </w:tc>
        <w:tc>
          <w:tcPr>
            <w:tcW w:w="1240" w:type="dxa"/>
            <w:vAlign w:val="bottom"/>
          </w:tcPr>
          <w:p>
            <w:pPr>
              <w:spacing w:after="0"/>
              <w:rPr>
                <w:color w:val="auto"/>
                <w:sz w:val="10"/>
                <w:szCs w:val="10"/>
              </w:rPr>
            </w:pPr>
          </w:p>
        </w:tc>
        <w:tc>
          <w:tcPr>
            <w:tcW w:w="1300" w:type="dxa"/>
            <w:gridSpan w:val="3"/>
            <w:vAlign w:val="bottom"/>
          </w:tcPr>
          <w:p>
            <w:pPr>
              <w:spacing w:after="0"/>
              <w:ind w:left="620"/>
              <w:rPr>
                <w:color w:val="auto"/>
                <w:sz w:val="20"/>
                <w:szCs w:val="20"/>
              </w:rPr>
            </w:pPr>
            <w:r>
              <w:rPr>
                <w:rFonts w:ascii="Calibri" w:eastAsia="Calibri" w:hAnsi="Calibri" w:cs="Calibri"/>
                <w:b/>
                <w:bCs/>
                <w:color w:val="auto"/>
                <w:sz w:val="10"/>
                <w:szCs w:val="10"/>
              </w:rPr>
              <w:t>Percent change</w:t>
            </w:r>
          </w:p>
        </w:tc>
        <w:tc>
          <w:tcPr>
            <w:tcW w:w="920" w:type="dxa"/>
            <w:vAlign w:val="bottom"/>
          </w:tcPr>
          <w:p>
            <w:pPr>
              <w:spacing w:after="0"/>
              <w:rPr>
                <w:color w:val="auto"/>
                <w:sz w:val="10"/>
                <w:szCs w:val="10"/>
              </w:rPr>
            </w:pPr>
          </w:p>
        </w:tc>
        <w:tc>
          <w:tcPr>
            <w:tcW w:w="88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1840" w:type="dxa"/>
            <w:vAlign w:val="bottom"/>
          </w:tcPr>
          <w:p>
            <w:pPr>
              <w:spacing w:after="0"/>
              <w:rPr>
                <w:color w:val="auto"/>
                <w:sz w:val="2"/>
                <w:szCs w:val="2"/>
              </w:rPr>
            </w:pPr>
          </w:p>
        </w:tc>
        <w:tc>
          <w:tcPr>
            <w:tcW w:w="1220" w:type="dxa"/>
            <w:vAlign w:val="bottom"/>
          </w:tcPr>
          <w:p>
            <w:pPr>
              <w:spacing w:after="0"/>
              <w:rPr>
                <w:color w:val="auto"/>
                <w:sz w:val="2"/>
                <w:szCs w:val="2"/>
              </w:rPr>
            </w:pPr>
          </w:p>
        </w:tc>
        <w:tc>
          <w:tcPr>
            <w:tcW w:w="880" w:type="dxa"/>
            <w:vAlign w:val="bottom"/>
          </w:tcPr>
          <w:p>
            <w:pPr>
              <w:spacing w:after="0"/>
              <w:rPr>
                <w:color w:val="auto"/>
                <w:sz w:val="2"/>
                <w:szCs w:val="2"/>
              </w:rPr>
            </w:pPr>
          </w:p>
        </w:tc>
        <w:tc>
          <w:tcPr>
            <w:tcW w:w="780" w:type="dxa"/>
            <w:vAlign w:val="bottom"/>
          </w:tcPr>
          <w:p>
            <w:pPr>
              <w:spacing w:after="0"/>
              <w:rPr>
                <w:color w:val="auto"/>
                <w:sz w:val="2"/>
                <w:szCs w:val="2"/>
              </w:rPr>
            </w:pPr>
          </w:p>
        </w:tc>
        <w:tc>
          <w:tcPr>
            <w:tcW w:w="2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860" w:type="dxa"/>
            <w:vAlign w:val="bottom"/>
          </w:tcPr>
          <w:p>
            <w:pPr>
              <w:spacing w:after="0"/>
              <w:rPr>
                <w:color w:val="auto"/>
                <w:sz w:val="2"/>
                <w:szCs w:val="2"/>
              </w:rPr>
            </w:pPr>
          </w:p>
        </w:tc>
        <w:tc>
          <w:tcPr>
            <w:tcW w:w="2540" w:type="dxa"/>
            <w:gridSpan w:val="4"/>
            <w:tcBorders>
              <w:bottom w:val="single" w:sz="8" w:space="0" w:color="auto"/>
            </w:tcBorders>
            <w:vAlign w:val="bottom"/>
          </w:tcPr>
          <w:p>
            <w:pPr>
              <w:spacing w:after="0"/>
              <w:rPr>
                <w:color w:val="auto"/>
                <w:sz w:val="2"/>
                <w:szCs w:val="2"/>
              </w:rPr>
            </w:pPr>
          </w:p>
        </w:tc>
        <w:tc>
          <w:tcPr>
            <w:tcW w:w="1800" w:type="dxa"/>
            <w:gridSpan w:val="2"/>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1840" w:type="dxa"/>
            <w:vAlign w:val="bottom"/>
          </w:tcPr>
          <w:p>
            <w:pPr>
              <w:spacing w:after="0"/>
              <w:rPr>
                <w:color w:val="auto"/>
                <w:sz w:val="8"/>
                <w:szCs w:val="8"/>
              </w:rPr>
            </w:pPr>
          </w:p>
        </w:tc>
        <w:tc>
          <w:tcPr>
            <w:tcW w:w="1220" w:type="dxa"/>
            <w:vAlign w:val="bottom"/>
          </w:tcPr>
          <w:p>
            <w:pPr>
              <w:spacing w:after="0"/>
              <w:rPr>
                <w:color w:val="auto"/>
                <w:sz w:val="8"/>
                <w:szCs w:val="8"/>
              </w:rPr>
            </w:pPr>
          </w:p>
        </w:tc>
        <w:tc>
          <w:tcPr>
            <w:tcW w:w="880" w:type="dxa"/>
            <w:vAlign w:val="bottom"/>
          </w:tcPr>
          <w:p>
            <w:pPr>
              <w:spacing w:after="0"/>
              <w:rPr>
                <w:color w:val="auto"/>
                <w:sz w:val="8"/>
                <w:szCs w:val="8"/>
              </w:rPr>
            </w:pPr>
          </w:p>
        </w:tc>
        <w:tc>
          <w:tcPr>
            <w:tcW w:w="780" w:type="dxa"/>
            <w:vAlign w:val="bottom"/>
          </w:tcPr>
          <w:p>
            <w:pPr>
              <w:spacing w:after="0"/>
              <w:rPr>
                <w:color w:val="auto"/>
                <w:sz w:val="8"/>
                <w:szCs w:val="8"/>
              </w:rPr>
            </w:pPr>
          </w:p>
        </w:tc>
        <w:tc>
          <w:tcPr>
            <w:tcW w:w="280" w:type="dxa"/>
            <w:vAlign w:val="bottom"/>
          </w:tcPr>
          <w:p>
            <w:pPr>
              <w:spacing w:after="0"/>
              <w:rPr>
                <w:color w:val="auto"/>
                <w:sz w:val="8"/>
                <w:szCs w:val="8"/>
              </w:rPr>
            </w:pPr>
          </w:p>
        </w:tc>
        <w:tc>
          <w:tcPr>
            <w:tcW w:w="800" w:type="dxa"/>
            <w:vAlign w:val="bottom"/>
          </w:tcPr>
          <w:p>
            <w:pPr>
              <w:spacing w:after="0"/>
              <w:rPr>
                <w:color w:val="auto"/>
                <w:sz w:val="8"/>
                <w:szCs w:val="8"/>
              </w:rPr>
            </w:pPr>
          </w:p>
        </w:tc>
        <w:tc>
          <w:tcPr>
            <w:tcW w:w="280" w:type="dxa"/>
            <w:vAlign w:val="bottom"/>
          </w:tcPr>
          <w:p>
            <w:pPr>
              <w:spacing w:after="0"/>
              <w:rPr>
                <w:color w:val="auto"/>
                <w:sz w:val="8"/>
                <w:szCs w:val="8"/>
              </w:rPr>
            </w:pPr>
          </w:p>
        </w:tc>
        <w:tc>
          <w:tcPr>
            <w:tcW w:w="860" w:type="dxa"/>
            <w:vAlign w:val="bottom"/>
          </w:tcPr>
          <w:p>
            <w:pPr>
              <w:spacing w:after="0"/>
              <w:rPr>
                <w:color w:val="auto"/>
                <w:sz w:val="8"/>
                <w:szCs w:val="8"/>
              </w:rPr>
            </w:pPr>
          </w:p>
        </w:tc>
        <w:tc>
          <w:tcPr>
            <w:tcW w:w="2540" w:type="dxa"/>
            <w:gridSpan w:val="4"/>
            <w:vAlign w:val="bottom"/>
          </w:tcPr>
          <w:p>
            <w:pPr>
              <w:spacing w:after="0" w:line="101" w:lineRule="exact"/>
              <w:ind w:left="580"/>
              <w:rPr>
                <w:color w:val="auto"/>
                <w:sz w:val="20"/>
                <w:szCs w:val="20"/>
              </w:rPr>
            </w:pPr>
            <w:r>
              <w:rPr>
                <w:rFonts w:ascii="Calibri" w:eastAsia="Calibri" w:hAnsi="Calibri" w:cs="Calibri"/>
                <w:b/>
                <w:bCs/>
                <w:color w:val="auto"/>
                <w:sz w:val="10"/>
                <w:szCs w:val="10"/>
              </w:rPr>
              <w:t>At actual currency rates</w:t>
            </w:r>
          </w:p>
        </w:tc>
        <w:tc>
          <w:tcPr>
            <w:tcW w:w="1800" w:type="dxa"/>
            <w:gridSpan w:val="2"/>
            <w:vAlign w:val="bottom"/>
          </w:tcPr>
          <w:p>
            <w:pPr>
              <w:spacing w:after="0" w:line="101" w:lineRule="exact"/>
              <w:ind w:right="512"/>
              <w:jc w:val="right"/>
              <w:rPr>
                <w:color w:val="auto"/>
                <w:sz w:val="20"/>
                <w:szCs w:val="20"/>
              </w:rPr>
            </w:pPr>
            <w:r>
              <w:rPr>
                <w:rFonts w:ascii="Calibri" w:eastAsia="Calibri" w:hAnsi="Calibri" w:cs="Calibri"/>
                <w:b/>
                <w:bCs/>
                <w:color w:val="auto"/>
                <w:sz w:val="10"/>
                <w:szCs w:val="10"/>
              </w:rPr>
              <w:t>At constant currency rates</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Merge w:val="restart"/>
            <w:vAlign w:val="bottom"/>
          </w:tcPr>
          <w:p>
            <w:pPr>
              <w:spacing w:after="0"/>
              <w:rPr>
                <w:color w:val="auto"/>
                <w:sz w:val="20"/>
                <w:szCs w:val="20"/>
              </w:rPr>
            </w:pPr>
            <w:r>
              <w:rPr>
                <w:rFonts w:ascii="Calibri" w:eastAsia="Calibri" w:hAnsi="Calibri" w:cs="Calibri"/>
                <w:b/>
                <w:bCs/>
                <w:color w:val="auto"/>
                <w:w w:val="95"/>
                <w:sz w:val="10"/>
                <w:szCs w:val="10"/>
              </w:rPr>
              <w:t>years ended December 31 (dollars in millions)</w:t>
            </w:r>
          </w:p>
        </w:tc>
        <w:tc>
          <w:tcPr>
            <w:tcW w:w="1220" w:type="dxa"/>
            <w:vAlign w:val="bottom"/>
          </w:tcPr>
          <w:p>
            <w:pPr>
              <w:spacing w:after="0"/>
              <w:rPr>
                <w:color w:val="auto"/>
                <w:sz w:val="2"/>
                <w:szCs w:val="2"/>
              </w:rPr>
            </w:pPr>
          </w:p>
        </w:tc>
        <w:tc>
          <w:tcPr>
            <w:tcW w:w="880" w:type="dxa"/>
            <w:vAlign w:val="bottom"/>
          </w:tcPr>
          <w:p>
            <w:pPr>
              <w:spacing w:after="0"/>
              <w:rPr>
                <w:color w:val="auto"/>
                <w:sz w:val="2"/>
                <w:szCs w:val="2"/>
              </w:rPr>
            </w:pPr>
          </w:p>
        </w:tc>
        <w:tc>
          <w:tcPr>
            <w:tcW w:w="780" w:type="dxa"/>
            <w:vMerge w:val="restart"/>
            <w:vAlign w:val="bottom"/>
          </w:tcPr>
          <w:p>
            <w:pPr>
              <w:spacing w:after="0"/>
              <w:ind w:right="372"/>
              <w:jc w:val="right"/>
              <w:rPr>
                <w:color w:val="auto"/>
                <w:sz w:val="20"/>
                <w:szCs w:val="20"/>
              </w:rPr>
            </w:pPr>
            <w:r>
              <w:rPr>
                <w:rFonts w:ascii="Calibri" w:eastAsia="Calibri" w:hAnsi="Calibri" w:cs="Calibri"/>
                <w:b/>
                <w:bCs/>
                <w:color w:val="auto"/>
                <w:sz w:val="10"/>
                <w:szCs w:val="10"/>
              </w:rPr>
              <w:t>2024</w:t>
            </w:r>
          </w:p>
        </w:tc>
        <w:tc>
          <w:tcPr>
            <w:tcW w:w="280" w:type="dxa"/>
            <w:vAlign w:val="bottom"/>
          </w:tcPr>
          <w:p>
            <w:pPr>
              <w:spacing w:after="0"/>
              <w:rPr>
                <w:color w:val="auto"/>
                <w:sz w:val="2"/>
                <w:szCs w:val="2"/>
              </w:rPr>
            </w:pPr>
          </w:p>
        </w:tc>
        <w:tc>
          <w:tcPr>
            <w:tcW w:w="800" w:type="dxa"/>
            <w:vMerge w:val="restart"/>
            <w:vAlign w:val="bottom"/>
          </w:tcPr>
          <w:p>
            <w:pPr>
              <w:spacing w:after="0"/>
              <w:ind w:right="392"/>
              <w:jc w:val="right"/>
              <w:rPr>
                <w:color w:val="auto"/>
                <w:sz w:val="20"/>
                <w:szCs w:val="20"/>
              </w:rPr>
            </w:pPr>
            <w:r>
              <w:rPr>
                <w:rFonts w:ascii="Calibri" w:eastAsia="Calibri" w:hAnsi="Calibri" w:cs="Calibri"/>
                <w:b/>
                <w:bCs/>
                <w:color w:val="auto"/>
                <w:sz w:val="10"/>
                <w:szCs w:val="10"/>
              </w:rPr>
              <w:t>2023</w:t>
            </w:r>
          </w:p>
        </w:tc>
        <w:tc>
          <w:tcPr>
            <w:tcW w:w="280" w:type="dxa"/>
            <w:vAlign w:val="bottom"/>
          </w:tcPr>
          <w:p>
            <w:pPr>
              <w:spacing w:after="0"/>
              <w:rPr>
                <w:color w:val="auto"/>
                <w:sz w:val="2"/>
                <w:szCs w:val="2"/>
              </w:rPr>
            </w:pPr>
          </w:p>
        </w:tc>
        <w:tc>
          <w:tcPr>
            <w:tcW w:w="860" w:type="dxa"/>
            <w:vMerge w:val="restart"/>
            <w:vAlign w:val="bottom"/>
          </w:tcPr>
          <w:p>
            <w:pPr>
              <w:spacing w:after="0"/>
              <w:ind w:right="452"/>
              <w:jc w:val="right"/>
              <w:rPr>
                <w:color w:val="auto"/>
                <w:sz w:val="20"/>
                <w:szCs w:val="20"/>
              </w:rPr>
            </w:pPr>
            <w:r>
              <w:rPr>
                <w:rFonts w:ascii="Calibri" w:eastAsia="Calibri" w:hAnsi="Calibri" w:cs="Calibri"/>
                <w:b/>
                <w:bCs/>
                <w:color w:val="auto"/>
                <w:sz w:val="10"/>
                <w:szCs w:val="10"/>
              </w:rPr>
              <w:t>2022</w:t>
            </w: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1840" w:type="dxa"/>
            <w:vMerge/>
            <w:vAlign w:val="bottom"/>
          </w:tcPr>
          <w:p>
            <w:pPr>
              <w:spacing w:after="0"/>
              <w:rPr>
                <w:color w:val="auto"/>
                <w:sz w:val="8"/>
                <w:szCs w:val="8"/>
              </w:rPr>
            </w:pPr>
          </w:p>
        </w:tc>
        <w:tc>
          <w:tcPr>
            <w:tcW w:w="1220" w:type="dxa"/>
            <w:vAlign w:val="bottom"/>
          </w:tcPr>
          <w:p>
            <w:pPr>
              <w:spacing w:after="0"/>
              <w:rPr>
                <w:color w:val="auto"/>
                <w:sz w:val="8"/>
                <w:szCs w:val="8"/>
              </w:rPr>
            </w:pPr>
          </w:p>
        </w:tc>
        <w:tc>
          <w:tcPr>
            <w:tcW w:w="880" w:type="dxa"/>
            <w:vAlign w:val="bottom"/>
          </w:tcPr>
          <w:p>
            <w:pPr>
              <w:spacing w:after="0"/>
              <w:rPr>
                <w:color w:val="auto"/>
                <w:sz w:val="8"/>
                <w:szCs w:val="8"/>
              </w:rPr>
            </w:pPr>
          </w:p>
        </w:tc>
        <w:tc>
          <w:tcPr>
            <w:tcW w:w="780" w:type="dxa"/>
            <w:vMerge/>
            <w:vAlign w:val="bottom"/>
          </w:tcPr>
          <w:p>
            <w:pPr>
              <w:spacing w:after="0"/>
              <w:rPr>
                <w:color w:val="auto"/>
                <w:sz w:val="8"/>
                <w:szCs w:val="8"/>
              </w:rPr>
            </w:pPr>
          </w:p>
        </w:tc>
        <w:tc>
          <w:tcPr>
            <w:tcW w:w="280" w:type="dxa"/>
            <w:vAlign w:val="bottom"/>
          </w:tcPr>
          <w:p>
            <w:pPr>
              <w:spacing w:after="0"/>
              <w:rPr>
                <w:color w:val="auto"/>
                <w:sz w:val="8"/>
                <w:szCs w:val="8"/>
              </w:rPr>
            </w:pPr>
          </w:p>
        </w:tc>
        <w:tc>
          <w:tcPr>
            <w:tcW w:w="800" w:type="dxa"/>
            <w:vMerge/>
            <w:vAlign w:val="bottom"/>
          </w:tcPr>
          <w:p>
            <w:pPr>
              <w:spacing w:after="0"/>
              <w:rPr>
                <w:color w:val="auto"/>
                <w:sz w:val="8"/>
                <w:szCs w:val="8"/>
              </w:rPr>
            </w:pPr>
          </w:p>
        </w:tc>
        <w:tc>
          <w:tcPr>
            <w:tcW w:w="280" w:type="dxa"/>
            <w:vAlign w:val="bottom"/>
          </w:tcPr>
          <w:p>
            <w:pPr>
              <w:spacing w:after="0"/>
              <w:rPr>
                <w:color w:val="auto"/>
                <w:sz w:val="8"/>
                <w:szCs w:val="8"/>
              </w:rPr>
            </w:pPr>
          </w:p>
        </w:tc>
        <w:tc>
          <w:tcPr>
            <w:tcW w:w="860" w:type="dxa"/>
            <w:vMerge/>
            <w:vAlign w:val="bottom"/>
          </w:tcPr>
          <w:p>
            <w:pPr>
              <w:spacing w:after="0"/>
              <w:rPr>
                <w:color w:val="auto"/>
                <w:sz w:val="8"/>
                <w:szCs w:val="8"/>
              </w:rPr>
            </w:pPr>
          </w:p>
        </w:tc>
        <w:tc>
          <w:tcPr>
            <w:tcW w:w="1240" w:type="dxa"/>
            <w:vAlign w:val="bottom"/>
          </w:tcPr>
          <w:p>
            <w:pPr>
              <w:spacing w:after="0" w:line="101" w:lineRule="exact"/>
              <w:ind w:right="592"/>
              <w:jc w:val="right"/>
              <w:rPr>
                <w:color w:val="auto"/>
                <w:sz w:val="20"/>
                <w:szCs w:val="20"/>
              </w:rPr>
            </w:pPr>
            <w:r>
              <w:rPr>
                <w:rFonts w:ascii="Calibri" w:eastAsia="Calibri" w:hAnsi="Calibri" w:cs="Calibri"/>
                <w:b/>
                <w:bCs/>
                <w:color w:val="auto"/>
                <w:sz w:val="10"/>
                <w:szCs w:val="10"/>
              </w:rPr>
              <w:t>2024</w:t>
            </w:r>
          </w:p>
        </w:tc>
        <w:tc>
          <w:tcPr>
            <w:tcW w:w="860" w:type="dxa"/>
            <w:vAlign w:val="bottom"/>
          </w:tcPr>
          <w:p>
            <w:pPr>
              <w:spacing w:after="0" w:line="101" w:lineRule="exact"/>
              <w:ind w:right="352"/>
              <w:jc w:val="right"/>
              <w:rPr>
                <w:color w:val="auto"/>
                <w:sz w:val="20"/>
                <w:szCs w:val="20"/>
              </w:rPr>
            </w:pPr>
            <w:r>
              <w:rPr>
                <w:rFonts w:ascii="Calibri" w:eastAsia="Calibri" w:hAnsi="Calibri" w:cs="Calibri"/>
                <w:b/>
                <w:bCs/>
                <w:color w:val="auto"/>
                <w:sz w:val="10"/>
                <w:szCs w:val="10"/>
              </w:rPr>
              <w:t>2023</w:t>
            </w:r>
          </w:p>
        </w:tc>
        <w:tc>
          <w:tcPr>
            <w:tcW w:w="80" w:type="dxa"/>
            <w:vAlign w:val="bottom"/>
          </w:tcPr>
          <w:p>
            <w:pPr>
              <w:spacing w:after="0"/>
              <w:rPr>
                <w:color w:val="auto"/>
                <w:sz w:val="8"/>
                <w:szCs w:val="8"/>
              </w:rPr>
            </w:pPr>
          </w:p>
        </w:tc>
        <w:tc>
          <w:tcPr>
            <w:tcW w:w="360" w:type="dxa"/>
            <w:vAlign w:val="bottom"/>
          </w:tcPr>
          <w:p>
            <w:pPr>
              <w:spacing w:after="0"/>
              <w:rPr>
                <w:color w:val="auto"/>
                <w:sz w:val="8"/>
                <w:szCs w:val="8"/>
              </w:rPr>
            </w:pPr>
          </w:p>
        </w:tc>
        <w:tc>
          <w:tcPr>
            <w:tcW w:w="920" w:type="dxa"/>
            <w:vAlign w:val="bottom"/>
          </w:tcPr>
          <w:p>
            <w:pPr>
              <w:spacing w:after="0" w:line="101" w:lineRule="exact"/>
              <w:ind w:right="612"/>
              <w:jc w:val="right"/>
              <w:rPr>
                <w:color w:val="auto"/>
                <w:sz w:val="20"/>
                <w:szCs w:val="20"/>
              </w:rPr>
            </w:pPr>
            <w:r>
              <w:rPr>
                <w:rFonts w:ascii="Calibri" w:eastAsia="Calibri" w:hAnsi="Calibri" w:cs="Calibri"/>
                <w:b/>
                <w:bCs/>
                <w:color w:val="auto"/>
                <w:sz w:val="10"/>
                <w:szCs w:val="10"/>
              </w:rPr>
              <w:t>2024</w:t>
            </w:r>
          </w:p>
        </w:tc>
        <w:tc>
          <w:tcPr>
            <w:tcW w:w="880" w:type="dxa"/>
            <w:vAlign w:val="bottom"/>
          </w:tcPr>
          <w:p>
            <w:pPr>
              <w:spacing w:after="0" w:line="101" w:lineRule="exact"/>
              <w:ind w:right="372"/>
              <w:jc w:val="right"/>
              <w:rPr>
                <w:color w:val="auto"/>
                <w:sz w:val="20"/>
                <w:szCs w:val="20"/>
              </w:rPr>
            </w:pPr>
            <w:r>
              <w:rPr>
                <w:rFonts w:ascii="Calibri" w:eastAsia="Calibri" w:hAnsi="Calibri" w:cs="Calibri"/>
                <w:b/>
                <w:bCs/>
                <w:color w:val="auto"/>
                <w:sz w:val="10"/>
                <w:szCs w:val="10"/>
              </w:rPr>
              <w:t>2023</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Other Neuroscience</w:t>
            </w: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United States</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224</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254</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456</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(11.6)%</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(44.4)%</w:t>
            </w:r>
          </w:p>
        </w:tc>
        <w:tc>
          <w:tcPr>
            <w:tcW w:w="8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(11.6)%</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(44.4)%</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220" w:type="dxa"/>
            <w:vAlign w:val="bottom"/>
          </w:tcPr>
          <w:p>
            <w:pPr>
              <w:spacing w:after="0" w:line="112" w:lineRule="exact"/>
              <w:ind w:left="40"/>
              <w:rPr>
                <w:color w:val="auto"/>
                <w:sz w:val="20"/>
                <w:szCs w:val="20"/>
              </w:rPr>
            </w:pPr>
            <w:r>
              <w:rPr>
                <w:rFonts w:ascii="Calibri" w:eastAsia="Calibri" w:hAnsi="Calibri" w:cs="Calibri"/>
                <w:color w:val="auto"/>
                <w:sz w:val="10"/>
                <w:szCs w:val="10"/>
              </w:rPr>
              <w:t>Internatonal</w:t>
            </w:r>
          </w:p>
        </w:tc>
        <w:tc>
          <w:tcPr>
            <w:tcW w:w="8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114</w:t>
            </w:r>
          </w:p>
        </w:tc>
        <w:tc>
          <w:tcPr>
            <w:tcW w:w="2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22</w:t>
            </w:r>
          </w:p>
        </w:tc>
        <w:tc>
          <w:tcPr>
            <w:tcW w:w="280" w:type="dxa"/>
            <w:vAlign w:val="bottom"/>
          </w:tcPr>
          <w:p>
            <w:pPr>
              <w:spacing w:after="0"/>
              <w:rPr>
                <w:color w:val="auto"/>
                <w:sz w:val="9"/>
                <w:szCs w:val="9"/>
              </w:rPr>
            </w:pPr>
          </w:p>
        </w:tc>
        <w:tc>
          <w:tcPr>
            <w:tcW w:w="860" w:type="dxa"/>
            <w:vAlign w:val="bottom"/>
          </w:tcPr>
          <w:p>
            <w:pPr>
              <w:spacing w:after="0" w:line="112" w:lineRule="exact"/>
              <w:ind w:right="92"/>
              <w:jc w:val="right"/>
              <w:rPr>
                <w:color w:val="auto"/>
                <w:sz w:val="20"/>
                <w:szCs w:val="20"/>
              </w:rPr>
            </w:pPr>
            <w:r>
              <w:rPr>
                <w:rFonts w:ascii="Calibri" w:eastAsia="Calibri" w:hAnsi="Calibri" w:cs="Calibri"/>
                <w:color w:val="auto"/>
                <w:sz w:val="10"/>
                <w:szCs w:val="10"/>
              </w:rPr>
              <w:t>19</w:t>
            </w:r>
          </w:p>
        </w:tc>
        <w:tc>
          <w:tcPr>
            <w:tcW w:w="124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&gt;100.0 %</w:t>
            </w:r>
          </w:p>
        </w:tc>
        <w:tc>
          <w:tcPr>
            <w:tcW w:w="860" w:type="dxa"/>
            <w:vAlign w:val="bottom"/>
          </w:tcPr>
          <w:p>
            <w:pPr>
              <w:spacing w:after="0" w:line="112" w:lineRule="exact"/>
              <w:jc w:val="right"/>
              <w:rPr>
                <w:color w:val="auto"/>
                <w:sz w:val="20"/>
                <w:szCs w:val="20"/>
              </w:rPr>
            </w:pPr>
            <w:r>
              <w:rPr>
                <w:rFonts w:ascii="Calibri" w:eastAsia="Calibri" w:hAnsi="Calibri" w:cs="Calibri"/>
                <w:color w:val="auto"/>
                <w:sz w:val="10"/>
                <w:szCs w:val="10"/>
              </w:rPr>
              <w:t>20.2 %</w:t>
            </w:r>
          </w:p>
        </w:tc>
        <w:tc>
          <w:tcPr>
            <w:tcW w:w="8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&gt;100.0 %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24.4 %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Total</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338</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276</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475</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22.4 %</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(41.9)%</w:t>
            </w:r>
          </w:p>
        </w:tc>
        <w:tc>
          <w:tcPr>
            <w:tcW w:w="8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22.7 %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(41.7)%</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b/>
                <w:bCs/>
                <w:color w:val="auto"/>
                <w:sz w:val="10"/>
                <w:szCs w:val="10"/>
              </w:rPr>
              <w:t>Eye Care</w:t>
            </w:r>
          </w:p>
        </w:tc>
        <w:tc>
          <w:tcPr>
            <w:tcW w:w="1220" w:type="dxa"/>
            <w:tcBorders>
              <w:top w:val="single" w:sz="8" w:space="0" w:color="auto"/>
            </w:tcBorders>
            <w:vAlign w:val="bottom"/>
          </w:tcPr>
          <w:p>
            <w:pPr>
              <w:spacing w:after="0"/>
              <w:rPr>
                <w:color w:val="auto"/>
                <w:sz w:val="8"/>
                <w:szCs w:val="8"/>
              </w:rPr>
            </w:pPr>
          </w:p>
        </w:tc>
        <w:tc>
          <w:tcPr>
            <w:tcW w:w="880" w:type="dxa"/>
            <w:tcBorders>
              <w:top w:val="single" w:sz="8" w:space="0" w:color="auto"/>
            </w:tcBorders>
            <w:vAlign w:val="bottom"/>
          </w:tcPr>
          <w:p>
            <w:pPr>
              <w:spacing w:after="0"/>
              <w:rPr>
                <w:color w:val="auto"/>
                <w:sz w:val="8"/>
                <w:szCs w:val="8"/>
              </w:rPr>
            </w:pPr>
          </w:p>
        </w:tc>
        <w:tc>
          <w:tcPr>
            <w:tcW w:w="780" w:type="dxa"/>
            <w:tcBorders>
              <w:top w:val="single" w:sz="8" w:space="0" w:color="auto"/>
            </w:tcBorders>
            <w:vAlign w:val="bottom"/>
          </w:tcPr>
          <w:p>
            <w:pPr>
              <w:spacing w:after="0"/>
              <w:rPr>
                <w:color w:val="auto"/>
                <w:sz w:val="8"/>
                <w:szCs w:val="8"/>
              </w:rPr>
            </w:pPr>
          </w:p>
        </w:tc>
        <w:tc>
          <w:tcPr>
            <w:tcW w:w="280" w:type="dxa"/>
            <w:tcBorders>
              <w:top w:val="single" w:sz="8" w:space="0" w:color="auto"/>
            </w:tcBorders>
            <w:vAlign w:val="bottom"/>
          </w:tcPr>
          <w:p>
            <w:pPr>
              <w:spacing w:after="0"/>
              <w:rPr>
                <w:color w:val="auto"/>
                <w:sz w:val="8"/>
                <w:szCs w:val="8"/>
              </w:rPr>
            </w:pPr>
          </w:p>
        </w:tc>
        <w:tc>
          <w:tcPr>
            <w:tcW w:w="800" w:type="dxa"/>
            <w:tcBorders>
              <w:top w:val="single" w:sz="8" w:space="0" w:color="auto"/>
            </w:tcBorders>
            <w:vAlign w:val="bottom"/>
          </w:tcPr>
          <w:p>
            <w:pPr>
              <w:spacing w:after="0"/>
              <w:rPr>
                <w:color w:val="auto"/>
                <w:sz w:val="8"/>
                <w:szCs w:val="8"/>
              </w:rPr>
            </w:pPr>
          </w:p>
        </w:tc>
        <w:tc>
          <w:tcPr>
            <w:tcW w:w="280" w:type="dxa"/>
            <w:tcBorders>
              <w:top w:val="single" w:sz="8" w:space="0" w:color="auto"/>
            </w:tcBorders>
            <w:vAlign w:val="bottom"/>
          </w:tcPr>
          <w:p>
            <w:pPr>
              <w:spacing w:after="0"/>
              <w:rPr>
                <w:color w:val="auto"/>
                <w:sz w:val="8"/>
                <w:szCs w:val="8"/>
              </w:rPr>
            </w:pPr>
          </w:p>
        </w:tc>
        <w:tc>
          <w:tcPr>
            <w:tcW w:w="860" w:type="dxa"/>
            <w:tcBorders>
              <w:top w:val="single" w:sz="8" w:space="0" w:color="auto"/>
            </w:tcBorders>
            <w:vAlign w:val="bottom"/>
          </w:tcPr>
          <w:p>
            <w:pPr>
              <w:spacing w:after="0"/>
              <w:rPr>
                <w:color w:val="auto"/>
                <w:sz w:val="8"/>
                <w:szCs w:val="8"/>
              </w:rPr>
            </w:pPr>
          </w:p>
        </w:tc>
        <w:tc>
          <w:tcPr>
            <w:tcW w:w="1240" w:type="dxa"/>
            <w:tcBorders>
              <w:top w:val="single" w:sz="8" w:space="0" w:color="auto"/>
            </w:tcBorders>
            <w:vAlign w:val="bottom"/>
          </w:tcPr>
          <w:p>
            <w:pPr>
              <w:spacing w:after="0"/>
              <w:rPr>
                <w:color w:val="auto"/>
                <w:sz w:val="8"/>
                <w:szCs w:val="8"/>
              </w:rPr>
            </w:pPr>
          </w:p>
        </w:tc>
        <w:tc>
          <w:tcPr>
            <w:tcW w:w="860" w:type="dxa"/>
            <w:tcBorders>
              <w:top w:val="single" w:sz="8" w:space="0" w:color="auto"/>
            </w:tcBorders>
            <w:vAlign w:val="bottom"/>
          </w:tcPr>
          <w:p>
            <w:pPr>
              <w:spacing w:after="0"/>
              <w:rPr>
                <w:color w:val="auto"/>
                <w:sz w:val="8"/>
                <w:szCs w:val="8"/>
              </w:rPr>
            </w:pPr>
          </w:p>
        </w:tc>
        <w:tc>
          <w:tcPr>
            <w:tcW w:w="8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rPr>
                <w:color w:val="auto"/>
                <w:sz w:val="8"/>
                <w:szCs w:val="8"/>
              </w:rPr>
            </w:pPr>
          </w:p>
        </w:tc>
        <w:tc>
          <w:tcPr>
            <w:tcW w:w="880" w:type="dxa"/>
            <w:tcBorders>
              <w:top w:val="single" w:sz="8" w:space="0" w:color="auto"/>
            </w:tcBorders>
            <w:vAlign w:val="bottom"/>
          </w:tcPr>
          <w:p>
            <w:pPr>
              <w:spacing w:after="0"/>
              <w:rPr>
                <w:color w:val="auto"/>
                <w:sz w:val="8"/>
                <w:szCs w:val="8"/>
              </w:rPr>
            </w:pP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220" w:type="dxa"/>
            <w:vAlign w:val="bottom"/>
          </w:tcPr>
          <w:p>
            <w:pPr>
              <w:spacing w:after="0"/>
              <w:rPr>
                <w:color w:val="auto"/>
                <w:sz w:val="2"/>
                <w:szCs w:val="2"/>
              </w:rPr>
            </w:pPr>
          </w:p>
        </w:tc>
        <w:tc>
          <w:tcPr>
            <w:tcW w:w="880" w:type="dxa"/>
            <w:vAlign w:val="bottom"/>
          </w:tcPr>
          <w:p>
            <w:pPr>
              <w:spacing w:after="0"/>
              <w:rPr>
                <w:color w:val="auto"/>
                <w:sz w:val="2"/>
                <w:szCs w:val="2"/>
              </w:rPr>
            </w:pPr>
          </w:p>
        </w:tc>
        <w:tc>
          <w:tcPr>
            <w:tcW w:w="780" w:type="dxa"/>
            <w:vAlign w:val="bottom"/>
          </w:tcPr>
          <w:p>
            <w:pPr>
              <w:spacing w:after="0"/>
              <w:rPr>
                <w:color w:val="auto"/>
                <w:sz w:val="2"/>
                <w:szCs w:val="2"/>
              </w:rPr>
            </w:pPr>
          </w:p>
        </w:tc>
        <w:tc>
          <w:tcPr>
            <w:tcW w:w="2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860" w:type="dxa"/>
            <w:vAlign w:val="bottom"/>
          </w:tcPr>
          <w:p>
            <w:pPr>
              <w:spacing w:after="0"/>
              <w:rPr>
                <w:color w:val="auto"/>
                <w:sz w:val="2"/>
                <w:szCs w:val="2"/>
              </w:rPr>
            </w:pPr>
          </w:p>
        </w:tc>
        <w:tc>
          <w:tcPr>
            <w:tcW w:w="1240" w:type="dxa"/>
            <w:vAlign w:val="bottom"/>
          </w:tcPr>
          <w:p>
            <w:pPr>
              <w:spacing w:after="0"/>
              <w:rPr>
                <w:color w:val="auto"/>
                <w:sz w:val="2"/>
                <w:szCs w:val="2"/>
              </w:rPr>
            </w:pPr>
          </w:p>
        </w:tc>
        <w:tc>
          <w:tcPr>
            <w:tcW w:w="860" w:type="dxa"/>
            <w:vAlign w:val="bottom"/>
          </w:tcPr>
          <w:p>
            <w:pPr>
              <w:spacing w:after="0"/>
              <w:rPr>
                <w:color w:val="auto"/>
                <w:sz w:val="2"/>
                <w:szCs w:val="2"/>
              </w:rPr>
            </w:pPr>
          </w:p>
        </w:tc>
        <w:tc>
          <w:tcPr>
            <w:tcW w:w="8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184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Ozurdex</w:t>
            </w:r>
          </w:p>
        </w:tc>
        <w:tc>
          <w:tcPr>
            <w:tcW w:w="1220" w:type="dxa"/>
            <w:tcBorders>
              <w:bottom w:val="single" w:sz="8" w:space="0" w:color="CCEEFF"/>
            </w:tcBorders>
            <w:shd w:val="clear" w:color="auto" w:fill="CCEEFF"/>
            <w:vAlign w:val="bottom"/>
          </w:tcPr>
          <w:p>
            <w:pPr>
              <w:spacing w:after="0" w:line="112" w:lineRule="exact"/>
              <w:ind w:left="40"/>
              <w:rPr>
                <w:color w:val="auto"/>
                <w:sz w:val="20"/>
                <w:szCs w:val="20"/>
              </w:rPr>
            </w:pPr>
            <w:r>
              <w:rPr>
                <w:rFonts w:ascii="Calibri" w:eastAsia="Calibri" w:hAnsi="Calibri" w:cs="Calibri"/>
                <w:color w:val="auto"/>
                <w:sz w:val="10"/>
                <w:szCs w:val="10"/>
              </w:rPr>
              <w:t>United States</w:t>
            </w:r>
          </w:p>
        </w:tc>
        <w:tc>
          <w:tcPr>
            <w:tcW w:w="880" w:type="dxa"/>
            <w:tcBorders>
              <w:bottom w:val="single" w:sz="8" w:space="0" w:color="CCEEFF"/>
            </w:tcBorders>
            <w:shd w:val="clear" w:color="auto" w:fill="CCEEFF"/>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138</w:t>
            </w:r>
          </w:p>
        </w:tc>
        <w:tc>
          <w:tcPr>
            <w:tcW w:w="280" w:type="dxa"/>
            <w:tcBorders>
              <w:bottom w:val="single" w:sz="8" w:space="0" w:color="CCEEFF"/>
            </w:tcBorders>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143</w:t>
            </w:r>
          </w:p>
        </w:tc>
        <w:tc>
          <w:tcPr>
            <w:tcW w:w="280" w:type="dxa"/>
            <w:tcBorders>
              <w:bottom w:val="single" w:sz="8" w:space="0" w:color="CCEEFF"/>
            </w:tcBorders>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12" w:lineRule="exact"/>
              <w:ind w:right="92"/>
              <w:jc w:val="right"/>
              <w:rPr>
                <w:color w:val="auto"/>
                <w:sz w:val="20"/>
                <w:szCs w:val="20"/>
              </w:rPr>
            </w:pPr>
            <w:r>
              <w:rPr>
                <w:rFonts w:ascii="Calibri" w:eastAsia="Calibri" w:hAnsi="Calibri" w:cs="Calibri"/>
                <w:color w:val="auto"/>
                <w:sz w:val="10"/>
                <w:szCs w:val="10"/>
              </w:rPr>
              <w:t>139</w:t>
            </w:r>
          </w:p>
        </w:tc>
        <w:tc>
          <w:tcPr>
            <w:tcW w:w="124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(4.1)%</w:t>
            </w:r>
          </w:p>
        </w:tc>
        <w:tc>
          <w:tcPr>
            <w:tcW w:w="86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2.7 %</w:t>
            </w:r>
          </w:p>
        </w:tc>
        <w:tc>
          <w:tcPr>
            <w:tcW w:w="8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(4.1)%</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2.7 %</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220" w:type="dxa"/>
            <w:vAlign w:val="bottom"/>
          </w:tcPr>
          <w:p>
            <w:pPr>
              <w:spacing w:after="0" w:line="112" w:lineRule="exact"/>
              <w:ind w:left="40"/>
              <w:rPr>
                <w:color w:val="auto"/>
                <w:sz w:val="20"/>
                <w:szCs w:val="20"/>
              </w:rPr>
            </w:pPr>
            <w:r>
              <w:rPr>
                <w:rFonts w:ascii="Calibri" w:eastAsia="Calibri" w:hAnsi="Calibri" w:cs="Calibri"/>
                <w:color w:val="auto"/>
                <w:sz w:val="10"/>
                <w:szCs w:val="10"/>
              </w:rPr>
              <w:t>Internatonal</w:t>
            </w:r>
          </w:p>
        </w:tc>
        <w:tc>
          <w:tcPr>
            <w:tcW w:w="8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356</w:t>
            </w:r>
          </w:p>
        </w:tc>
        <w:tc>
          <w:tcPr>
            <w:tcW w:w="2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329</w:t>
            </w:r>
          </w:p>
        </w:tc>
        <w:tc>
          <w:tcPr>
            <w:tcW w:w="280" w:type="dxa"/>
            <w:vAlign w:val="bottom"/>
          </w:tcPr>
          <w:p>
            <w:pPr>
              <w:spacing w:after="0"/>
              <w:rPr>
                <w:color w:val="auto"/>
                <w:sz w:val="9"/>
                <w:szCs w:val="9"/>
              </w:rPr>
            </w:pPr>
          </w:p>
        </w:tc>
        <w:tc>
          <w:tcPr>
            <w:tcW w:w="860" w:type="dxa"/>
            <w:vAlign w:val="bottom"/>
          </w:tcPr>
          <w:p>
            <w:pPr>
              <w:spacing w:after="0" w:line="112" w:lineRule="exact"/>
              <w:ind w:right="92"/>
              <w:jc w:val="right"/>
              <w:rPr>
                <w:color w:val="auto"/>
                <w:sz w:val="20"/>
                <w:szCs w:val="20"/>
              </w:rPr>
            </w:pPr>
            <w:r>
              <w:rPr>
                <w:rFonts w:ascii="Calibri" w:eastAsia="Calibri" w:hAnsi="Calibri" w:cs="Calibri"/>
                <w:color w:val="auto"/>
                <w:sz w:val="10"/>
                <w:szCs w:val="10"/>
              </w:rPr>
              <w:t>289</w:t>
            </w:r>
          </w:p>
        </w:tc>
        <w:tc>
          <w:tcPr>
            <w:tcW w:w="124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8.3 %</w:t>
            </w:r>
          </w:p>
        </w:tc>
        <w:tc>
          <w:tcPr>
            <w:tcW w:w="860" w:type="dxa"/>
            <w:vAlign w:val="bottom"/>
          </w:tcPr>
          <w:p>
            <w:pPr>
              <w:spacing w:after="0" w:line="112" w:lineRule="exact"/>
              <w:jc w:val="right"/>
              <w:rPr>
                <w:color w:val="auto"/>
                <w:sz w:val="20"/>
                <w:szCs w:val="20"/>
              </w:rPr>
            </w:pPr>
            <w:r>
              <w:rPr>
                <w:rFonts w:ascii="Calibri" w:eastAsia="Calibri" w:hAnsi="Calibri" w:cs="Calibri"/>
                <w:color w:val="auto"/>
                <w:sz w:val="10"/>
                <w:szCs w:val="10"/>
              </w:rPr>
              <w:t>14.0 %</w:t>
            </w:r>
          </w:p>
        </w:tc>
        <w:tc>
          <w:tcPr>
            <w:tcW w:w="8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10.7 %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15.9 %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Total</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494</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472</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428</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4.5 %</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10.3 %</w:t>
            </w:r>
          </w:p>
        </w:tc>
        <w:tc>
          <w:tcPr>
            <w:tcW w:w="8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6.2 %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11.6 %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Lumigan/Ganfort</w:t>
            </w:r>
          </w:p>
        </w:tc>
        <w:tc>
          <w:tcPr>
            <w:tcW w:w="1220" w:type="dxa"/>
            <w:tcBorders>
              <w:top w:val="single" w:sz="8" w:space="0" w:color="auto"/>
            </w:tcBorders>
            <w:vAlign w:val="bottom"/>
          </w:tcPr>
          <w:p>
            <w:pPr>
              <w:spacing w:after="0" w:line="101" w:lineRule="exact"/>
              <w:ind w:left="40"/>
              <w:rPr>
                <w:color w:val="auto"/>
                <w:sz w:val="20"/>
                <w:szCs w:val="20"/>
              </w:rPr>
            </w:pPr>
            <w:r>
              <w:rPr>
                <w:rFonts w:ascii="Calibri" w:eastAsia="Calibri" w:hAnsi="Calibri" w:cs="Calibri"/>
                <w:color w:val="auto"/>
                <w:sz w:val="10"/>
                <w:szCs w:val="10"/>
              </w:rPr>
              <w:t>United States</w:t>
            </w:r>
          </w:p>
        </w:tc>
        <w:tc>
          <w:tcPr>
            <w:tcW w:w="88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187</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173</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top w:val="single" w:sz="8" w:space="0" w:color="auto"/>
            </w:tcBorders>
            <w:vAlign w:val="bottom"/>
          </w:tcPr>
          <w:p>
            <w:pPr>
              <w:spacing w:after="0" w:line="101" w:lineRule="exact"/>
              <w:ind w:right="92"/>
              <w:jc w:val="right"/>
              <w:rPr>
                <w:color w:val="auto"/>
                <w:sz w:val="20"/>
                <w:szCs w:val="20"/>
              </w:rPr>
            </w:pPr>
            <w:r>
              <w:rPr>
                <w:rFonts w:ascii="Calibri" w:eastAsia="Calibri" w:hAnsi="Calibri" w:cs="Calibri"/>
                <w:color w:val="auto"/>
                <w:sz w:val="10"/>
                <w:szCs w:val="10"/>
              </w:rPr>
              <w:t>242</w:t>
            </w:r>
          </w:p>
        </w:tc>
        <w:tc>
          <w:tcPr>
            <w:tcW w:w="124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7.5 %</w:t>
            </w:r>
          </w:p>
        </w:tc>
        <w:tc>
          <w:tcPr>
            <w:tcW w:w="86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(28.4)%</w:t>
            </w:r>
          </w:p>
        </w:tc>
        <w:tc>
          <w:tcPr>
            <w:tcW w:w="8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7.5 %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(28.4)%</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220" w:type="dxa"/>
            <w:vAlign w:val="bottom"/>
          </w:tcPr>
          <w:p>
            <w:pPr>
              <w:spacing w:after="0"/>
              <w:rPr>
                <w:color w:val="auto"/>
                <w:sz w:val="2"/>
                <w:szCs w:val="2"/>
              </w:rPr>
            </w:pPr>
          </w:p>
        </w:tc>
        <w:tc>
          <w:tcPr>
            <w:tcW w:w="880" w:type="dxa"/>
            <w:vAlign w:val="bottom"/>
          </w:tcPr>
          <w:p>
            <w:pPr>
              <w:spacing w:after="0"/>
              <w:rPr>
                <w:color w:val="auto"/>
                <w:sz w:val="2"/>
                <w:szCs w:val="2"/>
              </w:rPr>
            </w:pPr>
          </w:p>
        </w:tc>
        <w:tc>
          <w:tcPr>
            <w:tcW w:w="780" w:type="dxa"/>
            <w:vAlign w:val="bottom"/>
          </w:tcPr>
          <w:p>
            <w:pPr>
              <w:spacing w:after="0"/>
              <w:rPr>
                <w:color w:val="auto"/>
                <w:sz w:val="2"/>
                <w:szCs w:val="2"/>
              </w:rPr>
            </w:pPr>
          </w:p>
        </w:tc>
        <w:tc>
          <w:tcPr>
            <w:tcW w:w="2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860" w:type="dxa"/>
            <w:vAlign w:val="bottom"/>
          </w:tcPr>
          <w:p>
            <w:pPr>
              <w:spacing w:after="0"/>
              <w:rPr>
                <w:color w:val="auto"/>
                <w:sz w:val="2"/>
                <w:szCs w:val="2"/>
              </w:rPr>
            </w:pPr>
          </w:p>
        </w:tc>
        <w:tc>
          <w:tcPr>
            <w:tcW w:w="1240" w:type="dxa"/>
            <w:vAlign w:val="bottom"/>
          </w:tcPr>
          <w:p>
            <w:pPr>
              <w:spacing w:after="0"/>
              <w:rPr>
                <w:color w:val="auto"/>
                <w:sz w:val="2"/>
                <w:szCs w:val="2"/>
              </w:rPr>
            </w:pPr>
          </w:p>
        </w:tc>
        <w:tc>
          <w:tcPr>
            <w:tcW w:w="860" w:type="dxa"/>
            <w:vAlign w:val="bottom"/>
          </w:tcPr>
          <w:p>
            <w:pPr>
              <w:spacing w:after="0"/>
              <w:rPr>
                <w:color w:val="auto"/>
                <w:sz w:val="2"/>
                <w:szCs w:val="2"/>
              </w:rPr>
            </w:pPr>
          </w:p>
        </w:tc>
        <w:tc>
          <w:tcPr>
            <w:tcW w:w="8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220" w:type="dxa"/>
            <w:tcBorders>
              <w:bottom w:val="single" w:sz="8" w:space="0" w:color="CCEEFF"/>
            </w:tcBorders>
            <w:shd w:val="clear" w:color="auto" w:fill="CCEEFF"/>
            <w:vAlign w:val="bottom"/>
          </w:tcPr>
          <w:p>
            <w:pPr>
              <w:spacing w:after="0" w:line="112" w:lineRule="exact"/>
              <w:ind w:left="40"/>
              <w:rPr>
                <w:color w:val="auto"/>
                <w:sz w:val="20"/>
                <w:szCs w:val="20"/>
              </w:rPr>
            </w:pPr>
            <w:r>
              <w:rPr>
                <w:rFonts w:ascii="Calibri" w:eastAsia="Calibri" w:hAnsi="Calibri" w:cs="Calibri"/>
                <w:color w:val="auto"/>
                <w:sz w:val="10"/>
                <w:szCs w:val="10"/>
              </w:rPr>
              <w:t>Internatonal</w:t>
            </w:r>
          </w:p>
        </w:tc>
        <w:tc>
          <w:tcPr>
            <w:tcW w:w="8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242</w:t>
            </w:r>
          </w:p>
        </w:tc>
        <w:tc>
          <w:tcPr>
            <w:tcW w:w="2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259</w:t>
            </w:r>
          </w:p>
        </w:tc>
        <w:tc>
          <w:tcPr>
            <w:tcW w:w="280" w:type="dxa"/>
            <w:tcBorders>
              <w:bottom w:val="single" w:sz="8" w:space="0" w:color="CCEEFF"/>
            </w:tcBorders>
            <w:shd w:val="clear" w:color="auto" w:fill="CCEEFF"/>
            <w:vAlign w:val="bottom"/>
          </w:tcPr>
          <w:p>
            <w:pPr>
              <w:spacing w:after="0"/>
              <w:rPr>
                <w:color w:val="auto"/>
                <w:sz w:val="11"/>
                <w:szCs w:val="11"/>
              </w:rPr>
            </w:pPr>
          </w:p>
        </w:tc>
        <w:tc>
          <w:tcPr>
            <w:tcW w:w="860" w:type="dxa"/>
            <w:tcBorders>
              <w:bottom w:val="single" w:sz="8" w:space="0" w:color="CCEEFF"/>
            </w:tcBorders>
            <w:shd w:val="clear" w:color="auto" w:fill="CCEEFF"/>
            <w:vAlign w:val="bottom"/>
          </w:tcPr>
          <w:p>
            <w:pPr>
              <w:spacing w:after="0" w:line="112" w:lineRule="exact"/>
              <w:ind w:right="92"/>
              <w:jc w:val="right"/>
              <w:rPr>
                <w:color w:val="auto"/>
                <w:sz w:val="20"/>
                <w:szCs w:val="20"/>
              </w:rPr>
            </w:pPr>
            <w:r>
              <w:rPr>
                <w:rFonts w:ascii="Calibri" w:eastAsia="Calibri" w:hAnsi="Calibri" w:cs="Calibri"/>
                <w:color w:val="auto"/>
                <w:sz w:val="10"/>
                <w:szCs w:val="10"/>
              </w:rPr>
              <w:t>272</w:t>
            </w:r>
          </w:p>
        </w:tc>
        <w:tc>
          <w:tcPr>
            <w:tcW w:w="124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(6.4)%</w:t>
            </w:r>
          </w:p>
        </w:tc>
        <w:tc>
          <w:tcPr>
            <w:tcW w:w="86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(4.8)%</w:t>
            </w:r>
          </w:p>
        </w:tc>
        <w:tc>
          <w:tcPr>
            <w:tcW w:w="8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(3.9)%</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(3.6)%</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rPr>
                <w:color w:val="auto"/>
                <w:sz w:val="8"/>
                <w:szCs w:val="8"/>
              </w:rPr>
            </w:pPr>
          </w:p>
        </w:tc>
        <w:tc>
          <w:tcPr>
            <w:tcW w:w="1220" w:type="dxa"/>
            <w:tcBorders>
              <w:top w:val="single" w:sz="8" w:space="0" w:color="auto"/>
            </w:tcBorders>
            <w:vAlign w:val="bottom"/>
          </w:tcPr>
          <w:p>
            <w:pPr>
              <w:spacing w:after="0" w:line="101" w:lineRule="exact"/>
              <w:ind w:left="40"/>
              <w:rPr>
                <w:color w:val="auto"/>
                <w:sz w:val="20"/>
                <w:szCs w:val="20"/>
              </w:rPr>
            </w:pPr>
            <w:r>
              <w:rPr>
                <w:rFonts w:ascii="Calibri" w:eastAsia="Calibri" w:hAnsi="Calibri" w:cs="Calibri"/>
                <w:color w:val="auto"/>
                <w:sz w:val="10"/>
                <w:szCs w:val="10"/>
              </w:rPr>
              <w:t>Total</w:t>
            </w:r>
          </w:p>
        </w:tc>
        <w:tc>
          <w:tcPr>
            <w:tcW w:w="88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429</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432</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top w:val="single" w:sz="8" w:space="0" w:color="auto"/>
            </w:tcBorders>
            <w:vAlign w:val="bottom"/>
          </w:tcPr>
          <w:p>
            <w:pPr>
              <w:spacing w:after="0" w:line="101" w:lineRule="exact"/>
              <w:ind w:right="92"/>
              <w:jc w:val="right"/>
              <w:rPr>
                <w:color w:val="auto"/>
                <w:sz w:val="20"/>
                <w:szCs w:val="20"/>
              </w:rPr>
            </w:pPr>
            <w:r>
              <w:rPr>
                <w:rFonts w:ascii="Calibri" w:eastAsia="Calibri" w:hAnsi="Calibri" w:cs="Calibri"/>
                <w:color w:val="auto"/>
                <w:sz w:val="10"/>
                <w:szCs w:val="10"/>
              </w:rPr>
              <w:t>514</w:t>
            </w:r>
          </w:p>
        </w:tc>
        <w:tc>
          <w:tcPr>
            <w:tcW w:w="124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(0.9)%</w:t>
            </w:r>
          </w:p>
        </w:tc>
        <w:tc>
          <w:tcPr>
            <w:tcW w:w="86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(15.9)%</w:t>
            </w:r>
          </w:p>
        </w:tc>
        <w:tc>
          <w:tcPr>
            <w:tcW w:w="8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0.6 %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(15.3)%</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Alphagan/Combigan</w:t>
            </w: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United States</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95</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121</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202</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(21.8)%</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(40.1)%</w:t>
            </w:r>
          </w:p>
        </w:tc>
        <w:tc>
          <w:tcPr>
            <w:tcW w:w="8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(21.8)%</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(40.1)%</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220" w:type="dxa"/>
            <w:vAlign w:val="bottom"/>
          </w:tcPr>
          <w:p>
            <w:pPr>
              <w:spacing w:after="0" w:line="112" w:lineRule="exact"/>
              <w:ind w:left="40"/>
              <w:rPr>
                <w:color w:val="auto"/>
                <w:sz w:val="20"/>
                <w:szCs w:val="20"/>
              </w:rPr>
            </w:pPr>
            <w:r>
              <w:rPr>
                <w:rFonts w:ascii="Calibri" w:eastAsia="Calibri" w:hAnsi="Calibri" w:cs="Calibri"/>
                <w:color w:val="auto"/>
                <w:sz w:val="10"/>
                <w:szCs w:val="10"/>
              </w:rPr>
              <w:t>Internatonal</w:t>
            </w:r>
          </w:p>
        </w:tc>
        <w:tc>
          <w:tcPr>
            <w:tcW w:w="8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153</w:t>
            </w:r>
          </w:p>
        </w:tc>
        <w:tc>
          <w:tcPr>
            <w:tcW w:w="2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151</w:t>
            </w:r>
          </w:p>
        </w:tc>
        <w:tc>
          <w:tcPr>
            <w:tcW w:w="280" w:type="dxa"/>
            <w:vAlign w:val="bottom"/>
          </w:tcPr>
          <w:p>
            <w:pPr>
              <w:spacing w:after="0"/>
              <w:rPr>
                <w:color w:val="auto"/>
                <w:sz w:val="9"/>
                <w:szCs w:val="9"/>
              </w:rPr>
            </w:pPr>
          </w:p>
        </w:tc>
        <w:tc>
          <w:tcPr>
            <w:tcW w:w="860" w:type="dxa"/>
            <w:vAlign w:val="bottom"/>
          </w:tcPr>
          <w:p>
            <w:pPr>
              <w:spacing w:after="0" w:line="112" w:lineRule="exact"/>
              <w:ind w:right="92"/>
              <w:jc w:val="right"/>
              <w:rPr>
                <w:color w:val="auto"/>
                <w:sz w:val="20"/>
                <w:szCs w:val="20"/>
              </w:rPr>
            </w:pPr>
            <w:r>
              <w:rPr>
                <w:rFonts w:ascii="Calibri" w:eastAsia="Calibri" w:hAnsi="Calibri" w:cs="Calibri"/>
                <w:color w:val="auto"/>
                <w:sz w:val="10"/>
                <w:szCs w:val="10"/>
              </w:rPr>
              <w:t>144</w:t>
            </w:r>
          </w:p>
        </w:tc>
        <w:tc>
          <w:tcPr>
            <w:tcW w:w="124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1.5 %</w:t>
            </w:r>
          </w:p>
        </w:tc>
        <w:tc>
          <w:tcPr>
            <w:tcW w:w="860" w:type="dxa"/>
            <w:vAlign w:val="bottom"/>
          </w:tcPr>
          <w:p>
            <w:pPr>
              <w:spacing w:after="0" w:line="112" w:lineRule="exact"/>
              <w:jc w:val="right"/>
              <w:rPr>
                <w:color w:val="auto"/>
                <w:sz w:val="20"/>
                <w:szCs w:val="20"/>
              </w:rPr>
            </w:pPr>
            <w:r>
              <w:rPr>
                <w:rFonts w:ascii="Calibri" w:eastAsia="Calibri" w:hAnsi="Calibri" w:cs="Calibri"/>
                <w:color w:val="auto"/>
                <w:sz w:val="10"/>
                <w:szCs w:val="10"/>
              </w:rPr>
              <w:t>4.9 %</w:t>
            </w:r>
          </w:p>
        </w:tc>
        <w:tc>
          <w:tcPr>
            <w:tcW w:w="8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7.6 %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10.4 %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Total</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248</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272</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346</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(8.8)%</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(21.4)%</w:t>
            </w:r>
          </w:p>
        </w:tc>
        <w:tc>
          <w:tcPr>
            <w:tcW w:w="8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(5.4)%</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(19.1)%</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Restasis</w:t>
            </w:r>
          </w:p>
        </w:tc>
        <w:tc>
          <w:tcPr>
            <w:tcW w:w="1220" w:type="dxa"/>
            <w:tcBorders>
              <w:top w:val="single" w:sz="8" w:space="0" w:color="auto"/>
            </w:tcBorders>
            <w:vAlign w:val="bottom"/>
          </w:tcPr>
          <w:p>
            <w:pPr>
              <w:spacing w:after="0" w:line="101" w:lineRule="exact"/>
              <w:ind w:left="40"/>
              <w:rPr>
                <w:color w:val="auto"/>
                <w:sz w:val="20"/>
                <w:szCs w:val="20"/>
              </w:rPr>
            </w:pPr>
            <w:r>
              <w:rPr>
                <w:rFonts w:ascii="Calibri" w:eastAsia="Calibri" w:hAnsi="Calibri" w:cs="Calibri"/>
                <w:color w:val="auto"/>
                <w:sz w:val="10"/>
                <w:szCs w:val="10"/>
              </w:rPr>
              <w:t>United States</w:t>
            </w:r>
          </w:p>
        </w:tc>
        <w:tc>
          <w:tcPr>
            <w:tcW w:w="88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172</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382</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top w:val="single" w:sz="8" w:space="0" w:color="auto"/>
            </w:tcBorders>
            <w:vAlign w:val="bottom"/>
          </w:tcPr>
          <w:p>
            <w:pPr>
              <w:spacing w:after="0" w:line="101" w:lineRule="exact"/>
              <w:ind w:right="92"/>
              <w:jc w:val="right"/>
              <w:rPr>
                <w:color w:val="auto"/>
                <w:sz w:val="20"/>
                <w:szCs w:val="20"/>
              </w:rPr>
            </w:pPr>
            <w:r>
              <w:rPr>
                <w:rFonts w:ascii="Calibri" w:eastAsia="Calibri" w:hAnsi="Calibri" w:cs="Calibri"/>
                <w:color w:val="auto"/>
                <w:sz w:val="10"/>
                <w:szCs w:val="10"/>
              </w:rPr>
              <w:t>621</w:t>
            </w:r>
          </w:p>
        </w:tc>
        <w:tc>
          <w:tcPr>
            <w:tcW w:w="124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(55.2)%</w:t>
            </w:r>
          </w:p>
        </w:tc>
        <w:tc>
          <w:tcPr>
            <w:tcW w:w="86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(38.5)%</w:t>
            </w:r>
          </w:p>
        </w:tc>
        <w:tc>
          <w:tcPr>
            <w:tcW w:w="8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(55.2)%</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(38.5)%</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220" w:type="dxa"/>
            <w:vAlign w:val="bottom"/>
          </w:tcPr>
          <w:p>
            <w:pPr>
              <w:spacing w:after="0"/>
              <w:rPr>
                <w:color w:val="auto"/>
                <w:sz w:val="2"/>
                <w:szCs w:val="2"/>
              </w:rPr>
            </w:pPr>
          </w:p>
        </w:tc>
        <w:tc>
          <w:tcPr>
            <w:tcW w:w="880" w:type="dxa"/>
            <w:vAlign w:val="bottom"/>
          </w:tcPr>
          <w:p>
            <w:pPr>
              <w:spacing w:after="0"/>
              <w:rPr>
                <w:color w:val="auto"/>
                <w:sz w:val="2"/>
                <w:szCs w:val="2"/>
              </w:rPr>
            </w:pPr>
          </w:p>
        </w:tc>
        <w:tc>
          <w:tcPr>
            <w:tcW w:w="780" w:type="dxa"/>
            <w:vAlign w:val="bottom"/>
          </w:tcPr>
          <w:p>
            <w:pPr>
              <w:spacing w:after="0"/>
              <w:rPr>
                <w:color w:val="auto"/>
                <w:sz w:val="2"/>
                <w:szCs w:val="2"/>
              </w:rPr>
            </w:pPr>
          </w:p>
        </w:tc>
        <w:tc>
          <w:tcPr>
            <w:tcW w:w="2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860" w:type="dxa"/>
            <w:vAlign w:val="bottom"/>
          </w:tcPr>
          <w:p>
            <w:pPr>
              <w:spacing w:after="0"/>
              <w:rPr>
                <w:color w:val="auto"/>
                <w:sz w:val="2"/>
                <w:szCs w:val="2"/>
              </w:rPr>
            </w:pPr>
          </w:p>
        </w:tc>
        <w:tc>
          <w:tcPr>
            <w:tcW w:w="1240" w:type="dxa"/>
            <w:vAlign w:val="bottom"/>
          </w:tcPr>
          <w:p>
            <w:pPr>
              <w:spacing w:after="0"/>
              <w:rPr>
                <w:color w:val="auto"/>
                <w:sz w:val="2"/>
                <w:szCs w:val="2"/>
              </w:rPr>
            </w:pPr>
          </w:p>
        </w:tc>
        <w:tc>
          <w:tcPr>
            <w:tcW w:w="860" w:type="dxa"/>
            <w:vAlign w:val="bottom"/>
          </w:tcPr>
          <w:p>
            <w:pPr>
              <w:spacing w:after="0"/>
              <w:rPr>
                <w:color w:val="auto"/>
                <w:sz w:val="2"/>
                <w:szCs w:val="2"/>
              </w:rPr>
            </w:pPr>
          </w:p>
        </w:tc>
        <w:tc>
          <w:tcPr>
            <w:tcW w:w="8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1840" w:type="dxa"/>
            <w:tcBorders>
              <w:bottom w:val="single" w:sz="8" w:space="0" w:color="CCEEFF"/>
            </w:tcBorders>
            <w:shd w:val="clear" w:color="auto" w:fill="CCEEFF"/>
            <w:vAlign w:val="bottom"/>
          </w:tcPr>
          <w:p>
            <w:pPr>
              <w:spacing w:after="0"/>
              <w:rPr>
                <w:color w:val="auto"/>
                <w:sz w:val="11"/>
                <w:szCs w:val="11"/>
              </w:rPr>
            </w:pPr>
          </w:p>
        </w:tc>
        <w:tc>
          <w:tcPr>
            <w:tcW w:w="1220" w:type="dxa"/>
            <w:tcBorders>
              <w:bottom w:val="single" w:sz="8" w:space="0" w:color="CCEEFF"/>
            </w:tcBorders>
            <w:shd w:val="clear" w:color="auto" w:fill="CCEEFF"/>
            <w:vAlign w:val="bottom"/>
          </w:tcPr>
          <w:p>
            <w:pPr>
              <w:spacing w:after="0" w:line="112" w:lineRule="exact"/>
              <w:ind w:left="40"/>
              <w:rPr>
                <w:color w:val="auto"/>
                <w:sz w:val="20"/>
                <w:szCs w:val="20"/>
              </w:rPr>
            </w:pPr>
            <w:r>
              <w:rPr>
                <w:rFonts w:ascii="Calibri" w:eastAsia="Calibri" w:hAnsi="Calibri" w:cs="Calibri"/>
                <w:color w:val="auto"/>
                <w:sz w:val="10"/>
                <w:szCs w:val="10"/>
              </w:rPr>
              <w:t>Internatonal</w:t>
            </w:r>
          </w:p>
        </w:tc>
        <w:tc>
          <w:tcPr>
            <w:tcW w:w="880" w:type="dxa"/>
            <w:tcBorders>
              <w:bottom w:val="single" w:sz="8" w:space="0" w:color="CCEEFF"/>
            </w:tcBorders>
            <w:shd w:val="clear" w:color="auto" w:fill="CCEEFF"/>
            <w:vAlign w:val="bottom"/>
          </w:tcPr>
          <w:p>
            <w:pPr>
              <w:spacing w:after="0"/>
              <w:rPr>
                <w:color w:val="auto"/>
                <w:sz w:val="11"/>
                <w:szCs w:val="11"/>
              </w:rPr>
            </w:pP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52</w:t>
            </w:r>
          </w:p>
        </w:tc>
        <w:tc>
          <w:tcPr>
            <w:tcW w:w="28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54</w:t>
            </w:r>
          </w:p>
        </w:tc>
        <w:tc>
          <w:tcPr>
            <w:tcW w:w="280" w:type="dxa"/>
            <w:tcBorders>
              <w:bottom w:val="single" w:sz="8" w:space="0" w:color="CCEEFF"/>
            </w:tcBorders>
            <w:shd w:val="clear" w:color="auto" w:fill="CCEEFF"/>
            <w:vAlign w:val="bottom"/>
          </w:tcPr>
          <w:p>
            <w:pPr>
              <w:spacing w:after="0"/>
              <w:rPr>
                <w:color w:val="auto"/>
                <w:sz w:val="11"/>
                <w:szCs w:val="11"/>
              </w:rPr>
            </w:pPr>
          </w:p>
        </w:tc>
        <w:tc>
          <w:tcPr>
            <w:tcW w:w="860" w:type="dxa"/>
            <w:tcBorders>
              <w:bottom w:val="single" w:sz="8" w:space="0" w:color="CCEEFF"/>
            </w:tcBorders>
            <w:shd w:val="clear" w:color="auto" w:fill="CCEEFF"/>
            <w:vAlign w:val="bottom"/>
          </w:tcPr>
          <w:p>
            <w:pPr>
              <w:spacing w:after="0" w:line="112" w:lineRule="exact"/>
              <w:ind w:right="92"/>
              <w:jc w:val="right"/>
              <w:rPr>
                <w:color w:val="auto"/>
                <w:sz w:val="20"/>
                <w:szCs w:val="20"/>
              </w:rPr>
            </w:pPr>
            <w:r>
              <w:rPr>
                <w:rFonts w:ascii="Calibri" w:eastAsia="Calibri" w:hAnsi="Calibri" w:cs="Calibri"/>
                <w:color w:val="auto"/>
                <w:sz w:val="10"/>
                <w:szCs w:val="10"/>
              </w:rPr>
              <w:t>45</w:t>
            </w:r>
          </w:p>
        </w:tc>
        <w:tc>
          <w:tcPr>
            <w:tcW w:w="124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(3.0)%</w:t>
            </w:r>
          </w:p>
        </w:tc>
        <w:tc>
          <w:tcPr>
            <w:tcW w:w="86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19.3 %</w:t>
            </w:r>
          </w:p>
        </w:tc>
        <w:tc>
          <w:tcPr>
            <w:tcW w:w="80" w:type="dxa"/>
            <w:tcBorders>
              <w:bottom w:val="single" w:sz="8" w:space="0" w:color="CCEEFF"/>
            </w:tcBorders>
            <w:shd w:val="clear" w:color="auto" w:fill="CCEEFF"/>
            <w:vAlign w:val="bottom"/>
          </w:tcPr>
          <w:p>
            <w:pPr>
              <w:spacing w:after="0"/>
              <w:rPr>
                <w:color w:val="auto"/>
                <w:sz w:val="11"/>
                <w:szCs w:val="11"/>
              </w:rPr>
            </w:pPr>
          </w:p>
        </w:tc>
        <w:tc>
          <w:tcPr>
            <w:tcW w:w="360" w:type="dxa"/>
            <w:tcBorders>
              <w:bottom w:val="single" w:sz="8" w:space="0" w:color="CCEEFF"/>
            </w:tcBorders>
            <w:shd w:val="clear" w:color="auto" w:fill="CCEEFF"/>
            <w:vAlign w:val="bottom"/>
          </w:tcPr>
          <w:p>
            <w:pPr>
              <w:spacing w:after="0"/>
              <w:rPr>
                <w:color w:val="auto"/>
                <w:sz w:val="11"/>
                <w:szCs w:val="11"/>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2.1 %</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25.3 %</w:t>
            </w:r>
          </w:p>
        </w:tc>
        <w:tc>
          <w:tcPr>
            <w:tcW w:w="1" w:type="dxa"/>
            <w:vAlign w:val="bottom"/>
          </w:tcPr>
          <w:p>
            <w:pPr>
              <w:spacing w:after="0"/>
              <w:rPr>
                <w:color w:val="auto"/>
                <w:sz w:val="1"/>
                <w:szCs w:val="1"/>
              </w:rPr>
            </w:pPr>
          </w:p>
        </w:tc>
      </w:tr>
      <w:tr>
        <w:tblPrEx>
          <w:tblInd w:w="0" w:type="dxa"/>
          <w:tblLayout w:type="fixed"/>
        </w:tblPrEx>
        <w:trPr>
          <w:trHeight w:val="110"/>
        </w:trPr>
        <w:tc>
          <w:tcPr>
            <w:tcW w:w="1840" w:type="dxa"/>
            <w:tcBorders>
              <w:top w:val="single" w:sz="8" w:space="0" w:color="auto"/>
            </w:tcBorders>
            <w:vAlign w:val="bottom"/>
          </w:tcPr>
          <w:p>
            <w:pPr>
              <w:spacing w:after="0"/>
              <w:rPr>
                <w:color w:val="auto"/>
                <w:sz w:val="9"/>
                <w:szCs w:val="9"/>
              </w:rPr>
            </w:pPr>
          </w:p>
        </w:tc>
        <w:tc>
          <w:tcPr>
            <w:tcW w:w="1220" w:type="dxa"/>
            <w:tcBorders>
              <w:top w:val="single" w:sz="8" w:space="0" w:color="auto"/>
            </w:tcBorders>
            <w:vAlign w:val="bottom"/>
          </w:tcPr>
          <w:p>
            <w:pPr>
              <w:spacing w:after="0" w:line="110" w:lineRule="exact"/>
              <w:ind w:left="40"/>
              <w:rPr>
                <w:color w:val="auto"/>
                <w:sz w:val="20"/>
                <w:szCs w:val="20"/>
              </w:rPr>
            </w:pPr>
            <w:r>
              <w:rPr>
                <w:rFonts w:ascii="Calibri" w:eastAsia="Calibri" w:hAnsi="Calibri" w:cs="Calibri"/>
                <w:color w:val="auto"/>
                <w:sz w:val="10"/>
                <w:szCs w:val="10"/>
              </w:rPr>
              <w:t>Total</w:t>
            </w:r>
          </w:p>
        </w:tc>
        <w:tc>
          <w:tcPr>
            <w:tcW w:w="880" w:type="dxa"/>
            <w:tcBorders>
              <w:top w:val="single" w:sz="8" w:space="0" w:color="auto"/>
            </w:tcBorders>
            <w:vAlign w:val="bottom"/>
          </w:tcPr>
          <w:p>
            <w:pPr>
              <w:spacing w:after="0" w:line="110" w:lineRule="exact"/>
              <w:ind w:right="13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10" w:lineRule="exact"/>
              <w:ind w:right="12"/>
              <w:jc w:val="right"/>
              <w:rPr>
                <w:color w:val="auto"/>
                <w:sz w:val="20"/>
                <w:szCs w:val="20"/>
              </w:rPr>
            </w:pPr>
            <w:r>
              <w:rPr>
                <w:rFonts w:ascii="Calibri" w:eastAsia="Calibri" w:hAnsi="Calibri" w:cs="Calibri"/>
                <w:color w:val="auto"/>
                <w:sz w:val="10"/>
                <w:szCs w:val="10"/>
              </w:rPr>
              <w:t>224</w:t>
            </w:r>
          </w:p>
        </w:tc>
        <w:tc>
          <w:tcPr>
            <w:tcW w:w="280" w:type="dxa"/>
            <w:tcBorders>
              <w:top w:val="single" w:sz="8" w:space="0" w:color="auto"/>
            </w:tcBorders>
            <w:vAlign w:val="bottom"/>
          </w:tcPr>
          <w:p>
            <w:pPr>
              <w:spacing w:after="0" w:line="110"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10" w:lineRule="exact"/>
              <w:ind w:right="32"/>
              <w:jc w:val="right"/>
              <w:rPr>
                <w:color w:val="auto"/>
                <w:sz w:val="20"/>
                <w:szCs w:val="20"/>
              </w:rPr>
            </w:pPr>
            <w:r>
              <w:rPr>
                <w:rFonts w:ascii="Calibri" w:eastAsia="Calibri" w:hAnsi="Calibri" w:cs="Calibri"/>
                <w:color w:val="auto"/>
                <w:sz w:val="10"/>
                <w:szCs w:val="10"/>
              </w:rPr>
              <w:t>436</w:t>
            </w:r>
          </w:p>
        </w:tc>
        <w:tc>
          <w:tcPr>
            <w:tcW w:w="280" w:type="dxa"/>
            <w:tcBorders>
              <w:top w:val="single" w:sz="8" w:space="0" w:color="auto"/>
            </w:tcBorders>
            <w:vAlign w:val="bottom"/>
          </w:tcPr>
          <w:p>
            <w:pPr>
              <w:spacing w:after="0" w:line="110" w:lineRule="exact"/>
              <w:ind w:right="112"/>
              <w:jc w:val="right"/>
              <w:rPr>
                <w:color w:val="auto"/>
                <w:sz w:val="20"/>
                <w:szCs w:val="20"/>
              </w:rPr>
            </w:pPr>
            <w:r>
              <w:rPr>
                <w:rFonts w:ascii="Calibri" w:eastAsia="Calibri" w:hAnsi="Calibri" w:cs="Calibri"/>
                <w:color w:val="auto"/>
                <w:sz w:val="10"/>
                <w:szCs w:val="10"/>
              </w:rPr>
              <w:t>$</w:t>
            </w:r>
          </w:p>
        </w:tc>
        <w:tc>
          <w:tcPr>
            <w:tcW w:w="860" w:type="dxa"/>
            <w:tcBorders>
              <w:top w:val="single" w:sz="8" w:space="0" w:color="auto"/>
            </w:tcBorders>
            <w:vAlign w:val="bottom"/>
          </w:tcPr>
          <w:p>
            <w:pPr>
              <w:spacing w:after="0" w:line="110" w:lineRule="exact"/>
              <w:ind w:right="92"/>
              <w:jc w:val="right"/>
              <w:rPr>
                <w:color w:val="auto"/>
                <w:sz w:val="20"/>
                <w:szCs w:val="20"/>
              </w:rPr>
            </w:pPr>
            <w:r>
              <w:rPr>
                <w:rFonts w:ascii="Calibri" w:eastAsia="Calibri" w:hAnsi="Calibri" w:cs="Calibri"/>
                <w:color w:val="auto"/>
                <w:sz w:val="10"/>
                <w:szCs w:val="10"/>
              </w:rPr>
              <w:t>666</w:t>
            </w:r>
          </w:p>
        </w:tc>
        <w:tc>
          <w:tcPr>
            <w:tcW w:w="1240" w:type="dxa"/>
            <w:tcBorders>
              <w:top w:val="single" w:sz="8" w:space="0" w:color="auto"/>
            </w:tcBorders>
            <w:vAlign w:val="bottom"/>
          </w:tcPr>
          <w:p>
            <w:pPr>
              <w:spacing w:after="0" w:line="110" w:lineRule="exact"/>
              <w:ind w:right="212"/>
              <w:jc w:val="right"/>
              <w:rPr>
                <w:color w:val="auto"/>
                <w:sz w:val="20"/>
                <w:szCs w:val="20"/>
              </w:rPr>
            </w:pPr>
            <w:r>
              <w:rPr>
                <w:rFonts w:ascii="Calibri" w:eastAsia="Calibri" w:hAnsi="Calibri" w:cs="Calibri"/>
                <w:color w:val="auto"/>
                <w:sz w:val="10"/>
                <w:szCs w:val="10"/>
              </w:rPr>
              <w:t>(48.7)%</w:t>
            </w:r>
          </w:p>
        </w:tc>
        <w:tc>
          <w:tcPr>
            <w:tcW w:w="860" w:type="dxa"/>
            <w:tcBorders>
              <w:top w:val="single" w:sz="8" w:space="0" w:color="auto"/>
            </w:tcBorders>
            <w:vAlign w:val="bottom"/>
          </w:tcPr>
          <w:p>
            <w:pPr>
              <w:spacing w:after="0" w:line="110" w:lineRule="exact"/>
              <w:jc w:val="right"/>
              <w:rPr>
                <w:color w:val="auto"/>
                <w:sz w:val="20"/>
                <w:szCs w:val="20"/>
              </w:rPr>
            </w:pPr>
            <w:r>
              <w:rPr>
                <w:rFonts w:ascii="Calibri" w:eastAsia="Calibri" w:hAnsi="Calibri" w:cs="Calibri"/>
                <w:color w:val="auto"/>
                <w:sz w:val="10"/>
                <w:szCs w:val="10"/>
              </w:rPr>
              <w:t>(34.6)%</w:t>
            </w:r>
          </w:p>
        </w:tc>
        <w:tc>
          <w:tcPr>
            <w:tcW w:w="80" w:type="dxa"/>
            <w:tcBorders>
              <w:top w:val="single" w:sz="8" w:space="0" w:color="auto"/>
            </w:tcBorders>
            <w:vAlign w:val="bottom"/>
          </w:tcPr>
          <w:p>
            <w:pPr>
              <w:spacing w:after="0"/>
              <w:rPr>
                <w:color w:val="auto"/>
                <w:sz w:val="9"/>
                <w:szCs w:val="9"/>
              </w:rPr>
            </w:pPr>
          </w:p>
        </w:tc>
        <w:tc>
          <w:tcPr>
            <w:tcW w:w="360" w:type="dxa"/>
            <w:tcBorders>
              <w:top w:val="single" w:sz="8" w:space="0" w:color="auto"/>
            </w:tcBorders>
            <w:vAlign w:val="bottom"/>
          </w:tcPr>
          <w:p>
            <w:pPr>
              <w:spacing w:after="0"/>
              <w:rPr>
                <w:color w:val="auto"/>
                <w:sz w:val="9"/>
                <w:szCs w:val="9"/>
              </w:rPr>
            </w:pPr>
          </w:p>
        </w:tc>
        <w:tc>
          <w:tcPr>
            <w:tcW w:w="920" w:type="dxa"/>
            <w:tcBorders>
              <w:top w:val="single" w:sz="8" w:space="0" w:color="auto"/>
            </w:tcBorders>
            <w:vAlign w:val="bottom"/>
          </w:tcPr>
          <w:p>
            <w:pPr>
              <w:spacing w:after="0" w:line="110" w:lineRule="exact"/>
              <w:ind w:right="212"/>
              <w:jc w:val="right"/>
              <w:rPr>
                <w:color w:val="auto"/>
                <w:sz w:val="20"/>
                <w:szCs w:val="20"/>
              </w:rPr>
            </w:pPr>
            <w:r>
              <w:rPr>
                <w:rFonts w:ascii="Calibri" w:eastAsia="Calibri" w:hAnsi="Calibri" w:cs="Calibri"/>
                <w:color w:val="auto"/>
                <w:sz w:val="10"/>
                <w:szCs w:val="10"/>
              </w:rPr>
              <w:t>(48.1)%</w:t>
            </w:r>
          </w:p>
        </w:tc>
        <w:tc>
          <w:tcPr>
            <w:tcW w:w="880" w:type="dxa"/>
            <w:tcBorders>
              <w:top w:val="single" w:sz="8" w:space="0" w:color="auto"/>
            </w:tcBorders>
            <w:vAlign w:val="bottom"/>
          </w:tcPr>
          <w:p>
            <w:pPr>
              <w:spacing w:after="0" w:line="110" w:lineRule="exact"/>
              <w:jc w:val="right"/>
              <w:rPr>
                <w:color w:val="auto"/>
                <w:sz w:val="20"/>
                <w:szCs w:val="20"/>
              </w:rPr>
            </w:pPr>
            <w:r>
              <w:rPr>
                <w:rFonts w:ascii="Calibri" w:eastAsia="Calibri" w:hAnsi="Calibri" w:cs="Calibri"/>
                <w:color w:val="auto"/>
                <w:sz w:val="10"/>
                <w:szCs w:val="10"/>
              </w:rPr>
              <w:t>(34.2)%</w:t>
            </w:r>
          </w:p>
        </w:tc>
        <w:tc>
          <w:tcPr>
            <w:tcW w:w="1" w:type="dxa"/>
            <w:vAlign w:val="bottom"/>
          </w:tcPr>
          <w:p>
            <w:pPr>
              <w:spacing w:after="0"/>
              <w:rPr>
                <w:color w:val="auto"/>
                <w:sz w:val="1"/>
                <w:szCs w:val="1"/>
              </w:rPr>
            </w:pPr>
          </w:p>
        </w:tc>
      </w:tr>
      <w:tr>
        <w:tblPrEx>
          <w:tblInd w:w="0" w:type="dxa"/>
          <w:tblLayout w:type="fixed"/>
        </w:tblPrEx>
        <w:trPr>
          <w:trHeight w:val="32"/>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Other Eye Care</w:t>
            </w: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United States</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472</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433</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399</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8.9 %</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9.0 %</w:t>
            </w:r>
          </w:p>
        </w:tc>
        <w:tc>
          <w:tcPr>
            <w:tcW w:w="8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8.9 %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9.0 %</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220" w:type="dxa"/>
            <w:vAlign w:val="bottom"/>
          </w:tcPr>
          <w:p>
            <w:pPr>
              <w:spacing w:after="0" w:line="112" w:lineRule="exact"/>
              <w:ind w:left="40"/>
              <w:rPr>
                <w:color w:val="auto"/>
                <w:sz w:val="20"/>
                <w:szCs w:val="20"/>
              </w:rPr>
            </w:pPr>
            <w:r>
              <w:rPr>
                <w:rFonts w:ascii="Calibri" w:eastAsia="Calibri" w:hAnsi="Calibri" w:cs="Calibri"/>
                <w:color w:val="auto"/>
                <w:sz w:val="10"/>
                <w:szCs w:val="10"/>
              </w:rPr>
              <w:t>Internatonal</w:t>
            </w:r>
          </w:p>
        </w:tc>
        <w:tc>
          <w:tcPr>
            <w:tcW w:w="8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375</w:t>
            </w:r>
          </w:p>
        </w:tc>
        <w:tc>
          <w:tcPr>
            <w:tcW w:w="2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370</w:t>
            </w:r>
          </w:p>
        </w:tc>
        <w:tc>
          <w:tcPr>
            <w:tcW w:w="280" w:type="dxa"/>
            <w:vAlign w:val="bottom"/>
          </w:tcPr>
          <w:p>
            <w:pPr>
              <w:spacing w:after="0"/>
              <w:rPr>
                <w:color w:val="auto"/>
                <w:sz w:val="9"/>
                <w:szCs w:val="9"/>
              </w:rPr>
            </w:pPr>
          </w:p>
        </w:tc>
        <w:tc>
          <w:tcPr>
            <w:tcW w:w="860" w:type="dxa"/>
            <w:vAlign w:val="bottom"/>
          </w:tcPr>
          <w:p>
            <w:pPr>
              <w:spacing w:after="0" w:line="112" w:lineRule="exact"/>
              <w:ind w:right="92"/>
              <w:jc w:val="right"/>
              <w:rPr>
                <w:color w:val="auto"/>
                <w:sz w:val="20"/>
                <w:szCs w:val="20"/>
              </w:rPr>
            </w:pPr>
            <w:r>
              <w:rPr>
                <w:rFonts w:ascii="Calibri" w:eastAsia="Calibri" w:hAnsi="Calibri" w:cs="Calibri"/>
                <w:color w:val="auto"/>
                <w:sz w:val="10"/>
                <w:szCs w:val="10"/>
              </w:rPr>
              <w:t>348</w:t>
            </w:r>
          </w:p>
        </w:tc>
        <w:tc>
          <w:tcPr>
            <w:tcW w:w="124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1.5 %</w:t>
            </w:r>
          </w:p>
        </w:tc>
        <w:tc>
          <w:tcPr>
            <w:tcW w:w="860" w:type="dxa"/>
            <w:vAlign w:val="bottom"/>
          </w:tcPr>
          <w:p>
            <w:pPr>
              <w:spacing w:after="0" w:line="112" w:lineRule="exact"/>
              <w:jc w:val="right"/>
              <w:rPr>
                <w:color w:val="auto"/>
                <w:sz w:val="20"/>
                <w:szCs w:val="20"/>
              </w:rPr>
            </w:pPr>
            <w:r>
              <w:rPr>
                <w:rFonts w:ascii="Calibri" w:eastAsia="Calibri" w:hAnsi="Calibri" w:cs="Calibri"/>
                <w:color w:val="auto"/>
                <w:sz w:val="10"/>
                <w:szCs w:val="10"/>
              </w:rPr>
              <w:t>6.1 %</w:t>
            </w:r>
          </w:p>
        </w:tc>
        <w:tc>
          <w:tcPr>
            <w:tcW w:w="8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6.1 %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8.7 %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Total</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847</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803</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747</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5.5 %</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7.6 %</w:t>
            </w:r>
          </w:p>
        </w:tc>
        <w:tc>
          <w:tcPr>
            <w:tcW w:w="8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7.6 %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8.8 %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rPr>
                <w:color w:val="auto"/>
                <w:sz w:val="20"/>
                <w:szCs w:val="20"/>
              </w:rPr>
            </w:pPr>
            <w:r>
              <w:rPr>
                <w:rFonts w:ascii="Calibri" w:eastAsia="Calibri" w:hAnsi="Calibri" w:cs="Calibri"/>
                <w:b/>
                <w:bCs/>
                <w:color w:val="auto"/>
                <w:sz w:val="10"/>
                <w:szCs w:val="10"/>
              </w:rPr>
              <w:t>Other Key Products</w:t>
            </w:r>
          </w:p>
        </w:tc>
        <w:tc>
          <w:tcPr>
            <w:tcW w:w="1220" w:type="dxa"/>
            <w:tcBorders>
              <w:top w:val="single" w:sz="8" w:space="0" w:color="auto"/>
            </w:tcBorders>
            <w:vAlign w:val="bottom"/>
          </w:tcPr>
          <w:p>
            <w:pPr>
              <w:spacing w:after="0"/>
              <w:rPr>
                <w:color w:val="auto"/>
                <w:sz w:val="8"/>
                <w:szCs w:val="8"/>
              </w:rPr>
            </w:pPr>
          </w:p>
        </w:tc>
        <w:tc>
          <w:tcPr>
            <w:tcW w:w="880" w:type="dxa"/>
            <w:tcBorders>
              <w:top w:val="single" w:sz="8" w:space="0" w:color="auto"/>
            </w:tcBorders>
            <w:vAlign w:val="bottom"/>
          </w:tcPr>
          <w:p>
            <w:pPr>
              <w:spacing w:after="0"/>
              <w:rPr>
                <w:color w:val="auto"/>
                <w:sz w:val="8"/>
                <w:szCs w:val="8"/>
              </w:rPr>
            </w:pPr>
          </w:p>
        </w:tc>
        <w:tc>
          <w:tcPr>
            <w:tcW w:w="780" w:type="dxa"/>
            <w:tcBorders>
              <w:top w:val="single" w:sz="8" w:space="0" w:color="auto"/>
            </w:tcBorders>
            <w:vAlign w:val="bottom"/>
          </w:tcPr>
          <w:p>
            <w:pPr>
              <w:spacing w:after="0"/>
              <w:rPr>
                <w:color w:val="auto"/>
                <w:sz w:val="8"/>
                <w:szCs w:val="8"/>
              </w:rPr>
            </w:pPr>
          </w:p>
        </w:tc>
        <w:tc>
          <w:tcPr>
            <w:tcW w:w="280" w:type="dxa"/>
            <w:tcBorders>
              <w:top w:val="single" w:sz="8" w:space="0" w:color="auto"/>
            </w:tcBorders>
            <w:vAlign w:val="bottom"/>
          </w:tcPr>
          <w:p>
            <w:pPr>
              <w:spacing w:after="0"/>
              <w:rPr>
                <w:color w:val="auto"/>
                <w:sz w:val="8"/>
                <w:szCs w:val="8"/>
              </w:rPr>
            </w:pPr>
          </w:p>
        </w:tc>
        <w:tc>
          <w:tcPr>
            <w:tcW w:w="800" w:type="dxa"/>
            <w:tcBorders>
              <w:top w:val="single" w:sz="8" w:space="0" w:color="auto"/>
            </w:tcBorders>
            <w:vAlign w:val="bottom"/>
          </w:tcPr>
          <w:p>
            <w:pPr>
              <w:spacing w:after="0"/>
              <w:rPr>
                <w:color w:val="auto"/>
                <w:sz w:val="8"/>
                <w:szCs w:val="8"/>
              </w:rPr>
            </w:pPr>
          </w:p>
        </w:tc>
        <w:tc>
          <w:tcPr>
            <w:tcW w:w="280" w:type="dxa"/>
            <w:tcBorders>
              <w:top w:val="single" w:sz="8" w:space="0" w:color="auto"/>
            </w:tcBorders>
            <w:vAlign w:val="bottom"/>
          </w:tcPr>
          <w:p>
            <w:pPr>
              <w:spacing w:after="0"/>
              <w:rPr>
                <w:color w:val="auto"/>
                <w:sz w:val="8"/>
                <w:szCs w:val="8"/>
              </w:rPr>
            </w:pPr>
          </w:p>
        </w:tc>
        <w:tc>
          <w:tcPr>
            <w:tcW w:w="860" w:type="dxa"/>
            <w:tcBorders>
              <w:top w:val="single" w:sz="8" w:space="0" w:color="auto"/>
            </w:tcBorders>
            <w:vAlign w:val="bottom"/>
          </w:tcPr>
          <w:p>
            <w:pPr>
              <w:spacing w:after="0"/>
              <w:rPr>
                <w:color w:val="auto"/>
                <w:sz w:val="8"/>
                <w:szCs w:val="8"/>
              </w:rPr>
            </w:pPr>
          </w:p>
        </w:tc>
        <w:tc>
          <w:tcPr>
            <w:tcW w:w="1240" w:type="dxa"/>
            <w:tcBorders>
              <w:top w:val="single" w:sz="8" w:space="0" w:color="auto"/>
            </w:tcBorders>
            <w:vAlign w:val="bottom"/>
          </w:tcPr>
          <w:p>
            <w:pPr>
              <w:spacing w:after="0"/>
              <w:rPr>
                <w:color w:val="auto"/>
                <w:sz w:val="8"/>
                <w:szCs w:val="8"/>
              </w:rPr>
            </w:pPr>
          </w:p>
        </w:tc>
        <w:tc>
          <w:tcPr>
            <w:tcW w:w="860" w:type="dxa"/>
            <w:tcBorders>
              <w:top w:val="single" w:sz="8" w:space="0" w:color="auto"/>
            </w:tcBorders>
            <w:vAlign w:val="bottom"/>
          </w:tcPr>
          <w:p>
            <w:pPr>
              <w:spacing w:after="0"/>
              <w:rPr>
                <w:color w:val="auto"/>
                <w:sz w:val="8"/>
                <w:szCs w:val="8"/>
              </w:rPr>
            </w:pPr>
          </w:p>
        </w:tc>
        <w:tc>
          <w:tcPr>
            <w:tcW w:w="8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rPr>
                <w:color w:val="auto"/>
                <w:sz w:val="8"/>
                <w:szCs w:val="8"/>
              </w:rPr>
            </w:pPr>
          </w:p>
        </w:tc>
        <w:tc>
          <w:tcPr>
            <w:tcW w:w="880" w:type="dxa"/>
            <w:tcBorders>
              <w:top w:val="single" w:sz="8" w:space="0" w:color="auto"/>
            </w:tcBorders>
            <w:vAlign w:val="bottom"/>
          </w:tcPr>
          <w:p>
            <w:pPr>
              <w:spacing w:after="0"/>
              <w:rPr>
                <w:color w:val="auto"/>
                <w:sz w:val="8"/>
                <w:szCs w:val="8"/>
              </w:rPr>
            </w:pPr>
          </w:p>
        </w:tc>
        <w:tc>
          <w:tcPr>
            <w:tcW w:w="1" w:type="dxa"/>
            <w:vAlign w:val="bottom"/>
          </w:tcPr>
          <w:p>
            <w:pPr>
              <w:spacing w:after="0"/>
              <w:rPr>
                <w:color w:val="auto"/>
                <w:sz w:val="1"/>
                <w:szCs w:val="1"/>
              </w:rPr>
            </w:pPr>
          </w:p>
        </w:tc>
      </w:tr>
      <w:tr>
        <w:tblPrEx>
          <w:tblInd w:w="0" w:type="dxa"/>
          <w:tblLayout w:type="fixed"/>
        </w:tblPrEx>
        <w:trPr>
          <w:trHeight w:val="23"/>
        </w:trPr>
        <w:tc>
          <w:tcPr>
            <w:tcW w:w="1840" w:type="dxa"/>
            <w:vAlign w:val="bottom"/>
          </w:tcPr>
          <w:p>
            <w:pPr>
              <w:spacing w:after="0"/>
              <w:rPr>
                <w:color w:val="auto"/>
                <w:sz w:val="2"/>
                <w:szCs w:val="2"/>
              </w:rPr>
            </w:pPr>
          </w:p>
        </w:tc>
        <w:tc>
          <w:tcPr>
            <w:tcW w:w="1220" w:type="dxa"/>
            <w:vAlign w:val="bottom"/>
          </w:tcPr>
          <w:p>
            <w:pPr>
              <w:spacing w:after="0"/>
              <w:rPr>
                <w:color w:val="auto"/>
                <w:sz w:val="2"/>
                <w:szCs w:val="2"/>
              </w:rPr>
            </w:pPr>
          </w:p>
        </w:tc>
        <w:tc>
          <w:tcPr>
            <w:tcW w:w="880" w:type="dxa"/>
            <w:vAlign w:val="bottom"/>
          </w:tcPr>
          <w:p>
            <w:pPr>
              <w:spacing w:after="0"/>
              <w:rPr>
                <w:color w:val="auto"/>
                <w:sz w:val="2"/>
                <w:szCs w:val="2"/>
              </w:rPr>
            </w:pPr>
          </w:p>
        </w:tc>
        <w:tc>
          <w:tcPr>
            <w:tcW w:w="780" w:type="dxa"/>
            <w:vAlign w:val="bottom"/>
          </w:tcPr>
          <w:p>
            <w:pPr>
              <w:spacing w:after="0"/>
              <w:rPr>
                <w:color w:val="auto"/>
                <w:sz w:val="2"/>
                <w:szCs w:val="2"/>
              </w:rPr>
            </w:pPr>
          </w:p>
        </w:tc>
        <w:tc>
          <w:tcPr>
            <w:tcW w:w="280" w:type="dxa"/>
            <w:vAlign w:val="bottom"/>
          </w:tcPr>
          <w:p>
            <w:pPr>
              <w:spacing w:after="0"/>
              <w:rPr>
                <w:color w:val="auto"/>
                <w:sz w:val="2"/>
                <w:szCs w:val="2"/>
              </w:rPr>
            </w:pPr>
          </w:p>
        </w:tc>
        <w:tc>
          <w:tcPr>
            <w:tcW w:w="800" w:type="dxa"/>
            <w:vAlign w:val="bottom"/>
          </w:tcPr>
          <w:p>
            <w:pPr>
              <w:spacing w:after="0"/>
              <w:rPr>
                <w:color w:val="auto"/>
                <w:sz w:val="2"/>
                <w:szCs w:val="2"/>
              </w:rPr>
            </w:pPr>
          </w:p>
        </w:tc>
        <w:tc>
          <w:tcPr>
            <w:tcW w:w="280" w:type="dxa"/>
            <w:vAlign w:val="bottom"/>
          </w:tcPr>
          <w:p>
            <w:pPr>
              <w:spacing w:after="0"/>
              <w:rPr>
                <w:color w:val="auto"/>
                <w:sz w:val="2"/>
                <w:szCs w:val="2"/>
              </w:rPr>
            </w:pPr>
          </w:p>
        </w:tc>
        <w:tc>
          <w:tcPr>
            <w:tcW w:w="860" w:type="dxa"/>
            <w:vAlign w:val="bottom"/>
          </w:tcPr>
          <w:p>
            <w:pPr>
              <w:spacing w:after="0"/>
              <w:rPr>
                <w:color w:val="auto"/>
                <w:sz w:val="2"/>
                <w:szCs w:val="2"/>
              </w:rPr>
            </w:pPr>
          </w:p>
        </w:tc>
        <w:tc>
          <w:tcPr>
            <w:tcW w:w="1240" w:type="dxa"/>
            <w:vAlign w:val="bottom"/>
          </w:tcPr>
          <w:p>
            <w:pPr>
              <w:spacing w:after="0"/>
              <w:rPr>
                <w:color w:val="auto"/>
                <w:sz w:val="2"/>
                <w:szCs w:val="2"/>
              </w:rPr>
            </w:pPr>
          </w:p>
        </w:tc>
        <w:tc>
          <w:tcPr>
            <w:tcW w:w="860" w:type="dxa"/>
            <w:vAlign w:val="bottom"/>
          </w:tcPr>
          <w:p>
            <w:pPr>
              <w:spacing w:after="0"/>
              <w:rPr>
                <w:color w:val="auto"/>
                <w:sz w:val="2"/>
                <w:szCs w:val="2"/>
              </w:rPr>
            </w:pPr>
          </w:p>
        </w:tc>
        <w:tc>
          <w:tcPr>
            <w:tcW w:w="80" w:type="dxa"/>
            <w:vAlign w:val="bottom"/>
          </w:tcPr>
          <w:p>
            <w:pPr>
              <w:spacing w:after="0"/>
              <w:rPr>
                <w:color w:val="auto"/>
                <w:sz w:val="2"/>
                <w:szCs w:val="2"/>
              </w:rPr>
            </w:pPr>
          </w:p>
        </w:tc>
        <w:tc>
          <w:tcPr>
            <w:tcW w:w="360" w:type="dxa"/>
            <w:vAlign w:val="bottom"/>
          </w:tcPr>
          <w:p>
            <w:pPr>
              <w:spacing w:after="0"/>
              <w:rPr>
                <w:color w:val="auto"/>
                <w:sz w:val="2"/>
                <w:szCs w:val="2"/>
              </w:rPr>
            </w:pPr>
          </w:p>
        </w:tc>
        <w:tc>
          <w:tcPr>
            <w:tcW w:w="920" w:type="dxa"/>
            <w:vAlign w:val="bottom"/>
          </w:tcPr>
          <w:p>
            <w:pPr>
              <w:spacing w:after="0"/>
              <w:rPr>
                <w:color w:val="auto"/>
                <w:sz w:val="2"/>
                <w:szCs w:val="2"/>
              </w:rPr>
            </w:pPr>
          </w:p>
        </w:tc>
        <w:tc>
          <w:tcPr>
            <w:tcW w:w="88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184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Mavyret</w:t>
            </w:r>
          </w:p>
        </w:tc>
        <w:tc>
          <w:tcPr>
            <w:tcW w:w="1220" w:type="dxa"/>
            <w:tcBorders>
              <w:bottom w:val="single" w:sz="8" w:space="0" w:color="CCEEFF"/>
            </w:tcBorders>
            <w:shd w:val="clear" w:color="auto" w:fill="CCEEFF"/>
            <w:vAlign w:val="bottom"/>
          </w:tcPr>
          <w:p>
            <w:pPr>
              <w:spacing w:after="0" w:line="112" w:lineRule="exact"/>
              <w:ind w:left="40"/>
              <w:rPr>
                <w:color w:val="auto"/>
                <w:sz w:val="20"/>
                <w:szCs w:val="20"/>
              </w:rPr>
            </w:pPr>
            <w:r>
              <w:rPr>
                <w:rFonts w:ascii="Calibri" w:eastAsia="Calibri" w:hAnsi="Calibri" w:cs="Calibri"/>
                <w:color w:val="auto"/>
                <w:sz w:val="10"/>
                <w:szCs w:val="10"/>
              </w:rPr>
              <w:t>United States</w:t>
            </w:r>
          </w:p>
        </w:tc>
        <w:tc>
          <w:tcPr>
            <w:tcW w:w="880" w:type="dxa"/>
            <w:tcBorders>
              <w:bottom w:val="single" w:sz="8" w:space="0" w:color="CCEEFF"/>
            </w:tcBorders>
            <w:shd w:val="clear" w:color="auto" w:fill="CCEEFF"/>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595</w:t>
            </w:r>
          </w:p>
        </w:tc>
        <w:tc>
          <w:tcPr>
            <w:tcW w:w="280" w:type="dxa"/>
            <w:tcBorders>
              <w:bottom w:val="single" w:sz="8" w:space="0" w:color="CCEEFF"/>
            </w:tcBorders>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659</w:t>
            </w:r>
          </w:p>
        </w:tc>
        <w:tc>
          <w:tcPr>
            <w:tcW w:w="280" w:type="dxa"/>
            <w:tcBorders>
              <w:bottom w:val="single" w:sz="8" w:space="0" w:color="CCEEFF"/>
            </w:tcBorders>
            <w:shd w:val="clear" w:color="auto" w:fill="CCEEFF"/>
            <w:vAlign w:val="bottom"/>
          </w:tcPr>
          <w:p>
            <w:pPr>
              <w:spacing w:after="0" w:line="112"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12" w:lineRule="exact"/>
              <w:ind w:right="92"/>
              <w:jc w:val="right"/>
              <w:rPr>
                <w:color w:val="auto"/>
                <w:sz w:val="20"/>
                <w:szCs w:val="20"/>
              </w:rPr>
            </w:pPr>
            <w:r>
              <w:rPr>
                <w:rFonts w:ascii="Calibri" w:eastAsia="Calibri" w:hAnsi="Calibri" w:cs="Calibri"/>
                <w:color w:val="auto"/>
                <w:sz w:val="10"/>
                <w:szCs w:val="10"/>
              </w:rPr>
              <w:t>755</w:t>
            </w:r>
          </w:p>
        </w:tc>
        <w:tc>
          <w:tcPr>
            <w:tcW w:w="124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(9.7)%</w:t>
            </w:r>
          </w:p>
        </w:tc>
        <w:tc>
          <w:tcPr>
            <w:tcW w:w="86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(12.7)%</w:t>
            </w:r>
          </w:p>
        </w:tc>
        <w:tc>
          <w:tcPr>
            <w:tcW w:w="8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12" w:lineRule="exact"/>
              <w:ind w:right="212"/>
              <w:jc w:val="right"/>
              <w:rPr>
                <w:color w:val="auto"/>
                <w:sz w:val="20"/>
                <w:szCs w:val="20"/>
              </w:rPr>
            </w:pPr>
            <w:r>
              <w:rPr>
                <w:rFonts w:ascii="Calibri" w:eastAsia="Calibri" w:hAnsi="Calibri" w:cs="Calibri"/>
                <w:color w:val="auto"/>
                <w:sz w:val="10"/>
                <w:szCs w:val="10"/>
              </w:rPr>
              <w:t>(9.7)%</w:t>
            </w:r>
          </w:p>
        </w:tc>
        <w:tc>
          <w:tcPr>
            <w:tcW w:w="88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(12.7)%</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220" w:type="dxa"/>
            <w:vAlign w:val="bottom"/>
          </w:tcPr>
          <w:p>
            <w:pPr>
              <w:spacing w:after="0" w:line="112" w:lineRule="exact"/>
              <w:ind w:left="40"/>
              <w:rPr>
                <w:color w:val="auto"/>
                <w:sz w:val="20"/>
                <w:szCs w:val="20"/>
              </w:rPr>
            </w:pPr>
            <w:r>
              <w:rPr>
                <w:rFonts w:ascii="Calibri" w:eastAsia="Calibri" w:hAnsi="Calibri" w:cs="Calibri"/>
                <w:color w:val="auto"/>
                <w:sz w:val="10"/>
                <w:szCs w:val="10"/>
              </w:rPr>
              <w:t>Internatonal</w:t>
            </w:r>
          </w:p>
        </w:tc>
        <w:tc>
          <w:tcPr>
            <w:tcW w:w="8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716</w:t>
            </w:r>
          </w:p>
        </w:tc>
        <w:tc>
          <w:tcPr>
            <w:tcW w:w="2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771</w:t>
            </w:r>
          </w:p>
        </w:tc>
        <w:tc>
          <w:tcPr>
            <w:tcW w:w="280" w:type="dxa"/>
            <w:vAlign w:val="bottom"/>
          </w:tcPr>
          <w:p>
            <w:pPr>
              <w:spacing w:after="0"/>
              <w:rPr>
                <w:color w:val="auto"/>
                <w:sz w:val="9"/>
                <w:szCs w:val="9"/>
              </w:rPr>
            </w:pPr>
          </w:p>
        </w:tc>
        <w:tc>
          <w:tcPr>
            <w:tcW w:w="860" w:type="dxa"/>
            <w:vAlign w:val="bottom"/>
          </w:tcPr>
          <w:p>
            <w:pPr>
              <w:spacing w:after="0" w:line="112" w:lineRule="exact"/>
              <w:ind w:right="92"/>
              <w:jc w:val="right"/>
              <w:rPr>
                <w:color w:val="auto"/>
                <w:sz w:val="20"/>
                <w:szCs w:val="20"/>
              </w:rPr>
            </w:pPr>
            <w:r>
              <w:rPr>
                <w:rFonts w:ascii="Calibri" w:eastAsia="Calibri" w:hAnsi="Calibri" w:cs="Calibri"/>
                <w:color w:val="auto"/>
                <w:sz w:val="10"/>
                <w:szCs w:val="10"/>
              </w:rPr>
              <w:t>786</w:t>
            </w:r>
          </w:p>
        </w:tc>
        <w:tc>
          <w:tcPr>
            <w:tcW w:w="124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(7.2)%</w:t>
            </w:r>
          </w:p>
        </w:tc>
        <w:tc>
          <w:tcPr>
            <w:tcW w:w="860" w:type="dxa"/>
            <w:vAlign w:val="bottom"/>
          </w:tcPr>
          <w:p>
            <w:pPr>
              <w:spacing w:after="0" w:line="112" w:lineRule="exact"/>
              <w:jc w:val="right"/>
              <w:rPr>
                <w:color w:val="auto"/>
                <w:sz w:val="20"/>
                <w:szCs w:val="20"/>
              </w:rPr>
            </w:pPr>
            <w:r>
              <w:rPr>
                <w:rFonts w:ascii="Calibri" w:eastAsia="Calibri" w:hAnsi="Calibri" w:cs="Calibri"/>
                <w:color w:val="auto"/>
                <w:sz w:val="10"/>
                <w:szCs w:val="10"/>
              </w:rPr>
              <w:t>(1.9)%</w:t>
            </w:r>
          </w:p>
        </w:tc>
        <w:tc>
          <w:tcPr>
            <w:tcW w:w="8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(4.5)%</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1.0 %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Total</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1,311</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1,430</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1,541</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(8.3)%</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(7.2)%</w:t>
            </w:r>
          </w:p>
        </w:tc>
        <w:tc>
          <w:tcPr>
            <w:tcW w:w="8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(6.9)%</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(5.7)%</w:t>
            </w:r>
          </w:p>
        </w:tc>
        <w:tc>
          <w:tcPr>
            <w:tcW w:w="1" w:type="dxa"/>
            <w:vAlign w:val="bottom"/>
          </w:tcPr>
          <w:p>
            <w:pPr>
              <w:spacing w:after="0"/>
              <w:rPr>
                <w:color w:val="auto"/>
                <w:sz w:val="1"/>
                <w:szCs w:val="1"/>
              </w:rPr>
            </w:pPr>
          </w:p>
        </w:tc>
      </w:tr>
      <w:tr>
        <w:tblPrEx>
          <w:tblInd w:w="0" w:type="dxa"/>
          <w:tblLayout w:type="fixed"/>
        </w:tblPrEx>
        <w:trPr>
          <w:trHeight w:val="110"/>
        </w:trPr>
        <w:tc>
          <w:tcPr>
            <w:tcW w:w="1840" w:type="dxa"/>
            <w:tcBorders>
              <w:top w:val="single" w:sz="8" w:space="0" w:color="auto"/>
            </w:tcBorders>
            <w:vAlign w:val="bottom"/>
          </w:tcPr>
          <w:p>
            <w:pPr>
              <w:spacing w:after="0" w:line="110" w:lineRule="exact"/>
              <w:rPr>
                <w:color w:val="auto"/>
                <w:sz w:val="20"/>
                <w:szCs w:val="20"/>
              </w:rPr>
            </w:pPr>
            <w:r>
              <w:rPr>
                <w:rFonts w:ascii="Calibri" w:eastAsia="Calibri" w:hAnsi="Calibri" w:cs="Calibri"/>
                <w:color w:val="auto"/>
                <w:sz w:val="10"/>
                <w:szCs w:val="10"/>
              </w:rPr>
              <w:t>Creon</w:t>
            </w:r>
          </w:p>
        </w:tc>
        <w:tc>
          <w:tcPr>
            <w:tcW w:w="1220" w:type="dxa"/>
            <w:tcBorders>
              <w:top w:val="single" w:sz="8" w:space="0" w:color="auto"/>
            </w:tcBorders>
            <w:vAlign w:val="bottom"/>
          </w:tcPr>
          <w:p>
            <w:pPr>
              <w:spacing w:after="0" w:line="110" w:lineRule="exact"/>
              <w:ind w:left="40"/>
              <w:rPr>
                <w:color w:val="auto"/>
                <w:sz w:val="20"/>
                <w:szCs w:val="20"/>
              </w:rPr>
            </w:pPr>
            <w:r>
              <w:rPr>
                <w:rFonts w:ascii="Calibri" w:eastAsia="Calibri" w:hAnsi="Calibri" w:cs="Calibri"/>
                <w:color w:val="auto"/>
                <w:sz w:val="10"/>
                <w:szCs w:val="10"/>
              </w:rPr>
              <w:t>United States</w:t>
            </w:r>
          </w:p>
        </w:tc>
        <w:tc>
          <w:tcPr>
            <w:tcW w:w="880" w:type="dxa"/>
            <w:tcBorders>
              <w:top w:val="single" w:sz="8" w:space="0" w:color="auto"/>
            </w:tcBorders>
            <w:vAlign w:val="bottom"/>
          </w:tcPr>
          <w:p>
            <w:pPr>
              <w:spacing w:after="0" w:line="110" w:lineRule="exact"/>
              <w:ind w:right="13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10" w:lineRule="exact"/>
              <w:ind w:right="12"/>
              <w:jc w:val="right"/>
              <w:rPr>
                <w:color w:val="auto"/>
                <w:sz w:val="20"/>
                <w:szCs w:val="20"/>
              </w:rPr>
            </w:pPr>
            <w:r>
              <w:rPr>
                <w:rFonts w:ascii="Calibri" w:eastAsia="Calibri" w:hAnsi="Calibri" w:cs="Calibri"/>
                <w:color w:val="auto"/>
                <w:sz w:val="10"/>
                <w:szCs w:val="10"/>
              </w:rPr>
              <w:t>1,383</w:t>
            </w:r>
          </w:p>
        </w:tc>
        <w:tc>
          <w:tcPr>
            <w:tcW w:w="280" w:type="dxa"/>
            <w:tcBorders>
              <w:top w:val="single" w:sz="8" w:space="0" w:color="auto"/>
            </w:tcBorders>
            <w:vAlign w:val="bottom"/>
          </w:tcPr>
          <w:p>
            <w:pPr>
              <w:spacing w:after="0" w:line="110"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10" w:lineRule="exact"/>
              <w:ind w:right="32"/>
              <w:jc w:val="right"/>
              <w:rPr>
                <w:color w:val="auto"/>
                <w:sz w:val="20"/>
                <w:szCs w:val="20"/>
              </w:rPr>
            </w:pPr>
            <w:r>
              <w:rPr>
                <w:rFonts w:ascii="Calibri" w:eastAsia="Calibri" w:hAnsi="Calibri" w:cs="Calibri"/>
                <w:color w:val="auto"/>
                <w:sz w:val="10"/>
                <w:szCs w:val="10"/>
              </w:rPr>
              <w:t>1,268</w:t>
            </w:r>
          </w:p>
        </w:tc>
        <w:tc>
          <w:tcPr>
            <w:tcW w:w="280" w:type="dxa"/>
            <w:tcBorders>
              <w:top w:val="single" w:sz="8" w:space="0" w:color="auto"/>
            </w:tcBorders>
            <w:vAlign w:val="bottom"/>
          </w:tcPr>
          <w:p>
            <w:pPr>
              <w:spacing w:after="0" w:line="110" w:lineRule="exact"/>
              <w:ind w:right="112"/>
              <w:jc w:val="right"/>
              <w:rPr>
                <w:color w:val="auto"/>
                <w:sz w:val="20"/>
                <w:szCs w:val="20"/>
              </w:rPr>
            </w:pPr>
            <w:r>
              <w:rPr>
                <w:rFonts w:ascii="Calibri" w:eastAsia="Calibri" w:hAnsi="Calibri" w:cs="Calibri"/>
                <w:color w:val="auto"/>
                <w:sz w:val="10"/>
                <w:szCs w:val="10"/>
              </w:rPr>
              <w:t>$</w:t>
            </w:r>
          </w:p>
        </w:tc>
        <w:tc>
          <w:tcPr>
            <w:tcW w:w="860" w:type="dxa"/>
            <w:tcBorders>
              <w:top w:val="single" w:sz="8" w:space="0" w:color="auto"/>
            </w:tcBorders>
            <w:vAlign w:val="bottom"/>
          </w:tcPr>
          <w:p>
            <w:pPr>
              <w:spacing w:after="0" w:line="110" w:lineRule="exact"/>
              <w:ind w:right="92"/>
              <w:jc w:val="right"/>
              <w:rPr>
                <w:color w:val="auto"/>
                <w:sz w:val="20"/>
                <w:szCs w:val="20"/>
              </w:rPr>
            </w:pPr>
            <w:r>
              <w:rPr>
                <w:rFonts w:ascii="Calibri" w:eastAsia="Calibri" w:hAnsi="Calibri" w:cs="Calibri"/>
                <w:color w:val="auto"/>
                <w:sz w:val="10"/>
                <w:szCs w:val="10"/>
              </w:rPr>
              <w:t>1,278</w:t>
            </w:r>
          </w:p>
        </w:tc>
        <w:tc>
          <w:tcPr>
            <w:tcW w:w="1240" w:type="dxa"/>
            <w:tcBorders>
              <w:top w:val="single" w:sz="8" w:space="0" w:color="auto"/>
            </w:tcBorders>
            <w:vAlign w:val="bottom"/>
          </w:tcPr>
          <w:p>
            <w:pPr>
              <w:spacing w:after="0" w:line="110" w:lineRule="exact"/>
              <w:ind w:right="212"/>
              <w:jc w:val="right"/>
              <w:rPr>
                <w:color w:val="auto"/>
                <w:sz w:val="20"/>
                <w:szCs w:val="20"/>
              </w:rPr>
            </w:pPr>
            <w:r>
              <w:rPr>
                <w:rFonts w:ascii="Calibri" w:eastAsia="Calibri" w:hAnsi="Calibri" w:cs="Calibri"/>
                <w:color w:val="auto"/>
                <w:sz w:val="10"/>
                <w:szCs w:val="10"/>
              </w:rPr>
              <w:t>9.1 %</w:t>
            </w:r>
          </w:p>
        </w:tc>
        <w:tc>
          <w:tcPr>
            <w:tcW w:w="860" w:type="dxa"/>
            <w:tcBorders>
              <w:top w:val="single" w:sz="8" w:space="0" w:color="auto"/>
            </w:tcBorders>
            <w:vAlign w:val="bottom"/>
          </w:tcPr>
          <w:p>
            <w:pPr>
              <w:spacing w:after="0" w:line="110" w:lineRule="exact"/>
              <w:jc w:val="right"/>
              <w:rPr>
                <w:color w:val="auto"/>
                <w:sz w:val="20"/>
                <w:szCs w:val="20"/>
              </w:rPr>
            </w:pPr>
            <w:r>
              <w:rPr>
                <w:rFonts w:ascii="Calibri" w:eastAsia="Calibri" w:hAnsi="Calibri" w:cs="Calibri"/>
                <w:color w:val="auto"/>
                <w:sz w:val="10"/>
                <w:szCs w:val="10"/>
              </w:rPr>
              <w:t>(0.8)%</w:t>
            </w:r>
          </w:p>
        </w:tc>
        <w:tc>
          <w:tcPr>
            <w:tcW w:w="80" w:type="dxa"/>
            <w:tcBorders>
              <w:top w:val="single" w:sz="8" w:space="0" w:color="auto"/>
            </w:tcBorders>
            <w:vAlign w:val="bottom"/>
          </w:tcPr>
          <w:p>
            <w:pPr>
              <w:spacing w:after="0"/>
              <w:rPr>
                <w:color w:val="auto"/>
                <w:sz w:val="9"/>
                <w:szCs w:val="9"/>
              </w:rPr>
            </w:pPr>
          </w:p>
        </w:tc>
        <w:tc>
          <w:tcPr>
            <w:tcW w:w="360" w:type="dxa"/>
            <w:tcBorders>
              <w:top w:val="single" w:sz="8" w:space="0" w:color="auto"/>
            </w:tcBorders>
            <w:vAlign w:val="bottom"/>
          </w:tcPr>
          <w:p>
            <w:pPr>
              <w:spacing w:after="0"/>
              <w:rPr>
                <w:color w:val="auto"/>
                <w:sz w:val="9"/>
                <w:szCs w:val="9"/>
              </w:rPr>
            </w:pPr>
          </w:p>
        </w:tc>
        <w:tc>
          <w:tcPr>
            <w:tcW w:w="920" w:type="dxa"/>
            <w:tcBorders>
              <w:top w:val="single" w:sz="8" w:space="0" w:color="auto"/>
            </w:tcBorders>
            <w:vAlign w:val="bottom"/>
          </w:tcPr>
          <w:p>
            <w:pPr>
              <w:spacing w:after="0" w:line="110" w:lineRule="exact"/>
              <w:ind w:right="212"/>
              <w:jc w:val="right"/>
              <w:rPr>
                <w:color w:val="auto"/>
                <w:sz w:val="20"/>
                <w:szCs w:val="20"/>
              </w:rPr>
            </w:pPr>
            <w:r>
              <w:rPr>
                <w:rFonts w:ascii="Calibri" w:eastAsia="Calibri" w:hAnsi="Calibri" w:cs="Calibri"/>
                <w:color w:val="auto"/>
                <w:sz w:val="10"/>
                <w:szCs w:val="10"/>
              </w:rPr>
              <w:t>9.1 %</w:t>
            </w:r>
          </w:p>
        </w:tc>
        <w:tc>
          <w:tcPr>
            <w:tcW w:w="880" w:type="dxa"/>
            <w:tcBorders>
              <w:top w:val="single" w:sz="8" w:space="0" w:color="auto"/>
            </w:tcBorders>
            <w:vAlign w:val="bottom"/>
          </w:tcPr>
          <w:p>
            <w:pPr>
              <w:spacing w:after="0" w:line="110" w:lineRule="exact"/>
              <w:jc w:val="right"/>
              <w:rPr>
                <w:color w:val="auto"/>
                <w:sz w:val="20"/>
                <w:szCs w:val="20"/>
              </w:rPr>
            </w:pPr>
            <w:r>
              <w:rPr>
                <w:rFonts w:ascii="Calibri" w:eastAsia="Calibri" w:hAnsi="Calibri" w:cs="Calibri"/>
                <w:color w:val="auto"/>
                <w:sz w:val="10"/>
                <w:szCs w:val="10"/>
              </w:rPr>
              <w:t>(0.8)%</w:t>
            </w:r>
          </w:p>
        </w:tc>
        <w:tc>
          <w:tcPr>
            <w:tcW w:w="1" w:type="dxa"/>
            <w:vAlign w:val="bottom"/>
          </w:tcPr>
          <w:p>
            <w:pPr>
              <w:spacing w:after="0"/>
              <w:rPr>
                <w:color w:val="auto"/>
                <w:sz w:val="1"/>
                <w:szCs w:val="1"/>
              </w:rPr>
            </w:pPr>
          </w:p>
        </w:tc>
      </w:tr>
      <w:tr>
        <w:tblPrEx>
          <w:tblInd w:w="0" w:type="dxa"/>
          <w:tblLayout w:type="fixed"/>
        </w:tblPrEx>
        <w:trPr>
          <w:trHeight w:val="32"/>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Linzess/Constella</w:t>
            </w: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United States</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916</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1,073</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1,003</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(14.6)%</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7.1 %</w:t>
            </w:r>
          </w:p>
        </w:tc>
        <w:tc>
          <w:tcPr>
            <w:tcW w:w="8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(14.6)%</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7.1 %</w:t>
            </w:r>
          </w:p>
        </w:tc>
        <w:tc>
          <w:tcPr>
            <w:tcW w:w="1" w:type="dxa"/>
            <w:vAlign w:val="bottom"/>
          </w:tcPr>
          <w:p>
            <w:pPr>
              <w:spacing w:after="0"/>
              <w:rPr>
                <w:color w:val="auto"/>
                <w:sz w:val="1"/>
                <w:szCs w:val="1"/>
              </w:rPr>
            </w:pPr>
          </w:p>
        </w:tc>
      </w:tr>
      <w:tr>
        <w:tblPrEx>
          <w:tblInd w:w="0" w:type="dxa"/>
          <w:tblLayout w:type="fixed"/>
        </w:tblPrEx>
        <w:trPr>
          <w:trHeight w:val="112"/>
        </w:trPr>
        <w:tc>
          <w:tcPr>
            <w:tcW w:w="1840" w:type="dxa"/>
            <w:vAlign w:val="bottom"/>
          </w:tcPr>
          <w:p>
            <w:pPr>
              <w:spacing w:after="0"/>
              <w:rPr>
                <w:color w:val="auto"/>
                <w:sz w:val="9"/>
                <w:szCs w:val="9"/>
              </w:rPr>
            </w:pPr>
          </w:p>
        </w:tc>
        <w:tc>
          <w:tcPr>
            <w:tcW w:w="1220" w:type="dxa"/>
            <w:vAlign w:val="bottom"/>
          </w:tcPr>
          <w:p>
            <w:pPr>
              <w:spacing w:after="0" w:line="112" w:lineRule="exact"/>
              <w:ind w:left="40"/>
              <w:rPr>
                <w:color w:val="auto"/>
                <w:sz w:val="20"/>
                <w:szCs w:val="20"/>
              </w:rPr>
            </w:pPr>
            <w:r>
              <w:rPr>
                <w:rFonts w:ascii="Calibri" w:eastAsia="Calibri" w:hAnsi="Calibri" w:cs="Calibri"/>
                <w:color w:val="auto"/>
                <w:sz w:val="10"/>
                <w:szCs w:val="10"/>
              </w:rPr>
              <w:t>Internatonal</w:t>
            </w:r>
          </w:p>
        </w:tc>
        <w:tc>
          <w:tcPr>
            <w:tcW w:w="880" w:type="dxa"/>
            <w:vAlign w:val="bottom"/>
          </w:tcPr>
          <w:p>
            <w:pPr>
              <w:spacing w:after="0"/>
              <w:rPr>
                <w:color w:val="auto"/>
                <w:sz w:val="9"/>
                <w:szCs w:val="9"/>
              </w:rPr>
            </w:pPr>
          </w:p>
        </w:tc>
        <w:tc>
          <w:tcPr>
            <w:tcW w:w="7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38</w:t>
            </w:r>
          </w:p>
        </w:tc>
        <w:tc>
          <w:tcPr>
            <w:tcW w:w="280" w:type="dxa"/>
            <w:vAlign w:val="bottom"/>
          </w:tcPr>
          <w:p>
            <w:pPr>
              <w:spacing w:after="0"/>
              <w:rPr>
                <w:color w:val="auto"/>
                <w:sz w:val="9"/>
                <w:szCs w:val="9"/>
              </w:rPr>
            </w:pPr>
          </w:p>
        </w:tc>
        <w:tc>
          <w:tcPr>
            <w:tcW w:w="8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35</w:t>
            </w:r>
          </w:p>
        </w:tc>
        <w:tc>
          <w:tcPr>
            <w:tcW w:w="280" w:type="dxa"/>
            <w:vAlign w:val="bottom"/>
          </w:tcPr>
          <w:p>
            <w:pPr>
              <w:spacing w:after="0"/>
              <w:rPr>
                <w:color w:val="auto"/>
                <w:sz w:val="9"/>
                <w:szCs w:val="9"/>
              </w:rPr>
            </w:pPr>
          </w:p>
        </w:tc>
        <w:tc>
          <w:tcPr>
            <w:tcW w:w="860" w:type="dxa"/>
            <w:vAlign w:val="bottom"/>
          </w:tcPr>
          <w:p>
            <w:pPr>
              <w:spacing w:after="0" w:line="112" w:lineRule="exact"/>
              <w:ind w:right="92"/>
              <w:jc w:val="right"/>
              <w:rPr>
                <w:color w:val="auto"/>
                <w:sz w:val="20"/>
                <w:szCs w:val="20"/>
              </w:rPr>
            </w:pPr>
            <w:r>
              <w:rPr>
                <w:rFonts w:ascii="Calibri" w:eastAsia="Calibri" w:hAnsi="Calibri" w:cs="Calibri"/>
                <w:color w:val="auto"/>
                <w:sz w:val="10"/>
                <w:szCs w:val="10"/>
              </w:rPr>
              <w:t>32</w:t>
            </w:r>
          </w:p>
        </w:tc>
        <w:tc>
          <w:tcPr>
            <w:tcW w:w="124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7.5 %</w:t>
            </w:r>
          </w:p>
        </w:tc>
        <w:tc>
          <w:tcPr>
            <w:tcW w:w="860" w:type="dxa"/>
            <w:vAlign w:val="bottom"/>
          </w:tcPr>
          <w:p>
            <w:pPr>
              <w:spacing w:after="0" w:line="112" w:lineRule="exact"/>
              <w:jc w:val="right"/>
              <w:rPr>
                <w:color w:val="auto"/>
                <w:sz w:val="20"/>
                <w:szCs w:val="20"/>
              </w:rPr>
            </w:pPr>
            <w:r>
              <w:rPr>
                <w:rFonts w:ascii="Calibri" w:eastAsia="Calibri" w:hAnsi="Calibri" w:cs="Calibri"/>
                <w:color w:val="auto"/>
                <w:sz w:val="10"/>
                <w:szCs w:val="10"/>
              </w:rPr>
              <w:t>8.8 %</w:t>
            </w:r>
          </w:p>
        </w:tc>
        <w:tc>
          <w:tcPr>
            <w:tcW w:w="80" w:type="dxa"/>
            <w:vAlign w:val="bottom"/>
          </w:tcPr>
          <w:p>
            <w:pPr>
              <w:spacing w:after="0"/>
              <w:rPr>
                <w:color w:val="auto"/>
                <w:sz w:val="9"/>
                <w:szCs w:val="9"/>
              </w:rPr>
            </w:pPr>
          </w:p>
        </w:tc>
        <w:tc>
          <w:tcPr>
            <w:tcW w:w="360" w:type="dxa"/>
            <w:vAlign w:val="bottom"/>
          </w:tcPr>
          <w:p>
            <w:pPr>
              <w:spacing w:after="0"/>
              <w:rPr>
                <w:color w:val="auto"/>
                <w:sz w:val="9"/>
                <w:szCs w:val="9"/>
              </w:rPr>
            </w:pPr>
          </w:p>
        </w:tc>
        <w:tc>
          <w:tcPr>
            <w:tcW w:w="920" w:type="dxa"/>
            <w:vAlign w:val="bottom"/>
          </w:tcPr>
          <w:p>
            <w:pPr>
              <w:spacing w:after="0" w:line="112" w:lineRule="exact"/>
              <w:ind w:right="212"/>
              <w:jc w:val="right"/>
              <w:rPr>
                <w:color w:val="auto"/>
                <w:sz w:val="20"/>
                <w:szCs w:val="20"/>
              </w:rPr>
            </w:pPr>
            <w:r>
              <w:rPr>
                <w:rFonts w:ascii="Calibri" w:eastAsia="Calibri" w:hAnsi="Calibri" w:cs="Calibri"/>
                <w:color w:val="auto"/>
                <w:sz w:val="10"/>
                <w:szCs w:val="10"/>
              </w:rPr>
              <w:t>7.2 %</w:t>
            </w:r>
          </w:p>
        </w:tc>
        <w:tc>
          <w:tcPr>
            <w:tcW w:w="880" w:type="dxa"/>
            <w:vAlign w:val="bottom"/>
          </w:tcPr>
          <w:p>
            <w:pPr>
              <w:spacing w:after="0" w:line="112" w:lineRule="exact"/>
              <w:jc w:val="right"/>
              <w:rPr>
                <w:color w:val="auto"/>
                <w:sz w:val="20"/>
                <w:szCs w:val="20"/>
              </w:rPr>
            </w:pPr>
            <w:r>
              <w:rPr>
                <w:rFonts w:ascii="Calibri" w:eastAsia="Calibri" w:hAnsi="Calibri" w:cs="Calibri"/>
                <w:color w:val="auto"/>
                <w:sz w:val="10"/>
                <w:szCs w:val="10"/>
              </w:rPr>
              <w:t>9.7 %</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29"/>
        </w:trPr>
        <w:tc>
          <w:tcPr>
            <w:tcW w:w="1840" w:type="dxa"/>
            <w:tcBorders>
              <w:bottom w:val="single" w:sz="8" w:space="0" w:color="CCEEFF"/>
            </w:tcBorders>
            <w:shd w:val="clear" w:color="auto" w:fill="CCEEFF"/>
            <w:vAlign w:val="bottom"/>
          </w:tcPr>
          <w:p>
            <w:pPr>
              <w:spacing w:after="0"/>
              <w:rPr>
                <w:color w:val="auto"/>
                <w:sz w:val="10"/>
                <w:szCs w:val="10"/>
              </w:rPr>
            </w:pPr>
          </w:p>
        </w:tc>
        <w:tc>
          <w:tcPr>
            <w:tcW w:w="1220" w:type="dxa"/>
            <w:tcBorders>
              <w:bottom w:val="single" w:sz="8" w:space="0" w:color="CCEEFF"/>
            </w:tcBorders>
            <w:shd w:val="clear" w:color="auto" w:fill="CCEEFF"/>
            <w:vAlign w:val="bottom"/>
          </w:tcPr>
          <w:p>
            <w:pPr>
              <w:spacing w:after="0" w:line="101" w:lineRule="exact"/>
              <w:ind w:left="40"/>
              <w:rPr>
                <w:color w:val="auto"/>
                <w:sz w:val="20"/>
                <w:szCs w:val="20"/>
              </w:rPr>
            </w:pPr>
            <w:r>
              <w:rPr>
                <w:rFonts w:ascii="Calibri" w:eastAsia="Calibri" w:hAnsi="Calibri" w:cs="Calibri"/>
                <w:color w:val="auto"/>
                <w:sz w:val="10"/>
                <w:szCs w:val="10"/>
              </w:rPr>
              <w:t>Total</w:t>
            </w: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954</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1,108</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1,035</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(13.9)%</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7.1 %</w:t>
            </w:r>
          </w:p>
        </w:tc>
        <w:tc>
          <w:tcPr>
            <w:tcW w:w="80" w:type="dxa"/>
            <w:tcBorders>
              <w:bottom w:val="single" w:sz="8" w:space="0" w:color="CCEEFF"/>
            </w:tcBorders>
            <w:shd w:val="clear" w:color="auto" w:fill="CCEEFF"/>
            <w:vAlign w:val="bottom"/>
          </w:tcPr>
          <w:p>
            <w:pPr>
              <w:spacing w:after="0"/>
              <w:rPr>
                <w:color w:val="auto"/>
                <w:sz w:val="10"/>
                <w:szCs w:val="10"/>
              </w:rPr>
            </w:pPr>
          </w:p>
        </w:tc>
        <w:tc>
          <w:tcPr>
            <w:tcW w:w="360" w:type="dxa"/>
            <w:tcBorders>
              <w:bottom w:val="single" w:sz="8" w:space="0" w:color="CCEEFF"/>
            </w:tcBorders>
            <w:shd w:val="clear" w:color="auto" w:fill="CCEEFF"/>
            <w:vAlign w:val="bottom"/>
          </w:tcPr>
          <w:p>
            <w:pPr>
              <w:spacing w:after="0"/>
              <w:rPr>
                <w:color w:val="auto"/>
                <w:sz w:val="10"/>
                <w:szCs w:val="10"/>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(13.9)%</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7.1 %</w:t>
            </w:r>
          </w:p>
        </w:tc>
        <w:tc>
          <w:tcPr>
            <w:tcW w:w="1" w:type="dxa"/>
            <w:vAlign w:val="bottom"/>
          </w:tcPr>
          <w:p>
            <w:pPr>
              <w:spacing w:after="0"/>
              <w:rPr>
                <w:color w:val="auto"/>
                <w:sz w:val="1"/>
                <w:szCs w:val="1"/>
              </w:rPr>
            </w:pPr>
          </w:p>
        </w:tc>
      </w:tr>
      <w:tr>
        <w:tblPrEx>
          <w:tblInd w:w="0" w:type="dxa"/>
          <w:tblLayout w:type="fixed"/>
        </w:tblPrEx>
        <w:trPr>
          <w:trHeight w:val="101"/>
        </w:trPr>
        <w:tc>
          <w:tcPr>
            <w:tcW w:w="1840" w:type="dxa"/>
            <w:tcBorders>
              <w:top w:val="single" w:sz="8" w:space="0" w:color="auto"/>
            </w:tcBorders>
            <w:vAlign w:val="bottom"/>
          </w:tcPr>
          <w:p>
            <w:pPr>
              <w:spacing w:after="0" w:line="101" w:lineRule="exact"/>
              <w:ind w:left="140"/>
              <w:rPr>
                <w:color w:val="auto"/>
                <w:sz w:val="20"/>
                <w:szCs w:val="20"/>
              </w:rPr>
            </w:pPr>
            <w:r>
              <w:rPr>
                <w:rFonts w:ascii="Calibri" w:eastAsia="Calibri" w:hAnsi="Calibri" w:cs="Calibri"/>
                <w:color w:val="auto"/>
                <w:sz w:val="10"/>
                <w:szCs w:val="10"/>
              </w:rPr>
              <w:t>All other</w:t>
            </w:r>
          </w:p>
        </w:tc>
        <w:tc>
          <w:tcPr>
            <w:tcW w:w="1220" w:type="dxa"/>
            <w:tcBorders>
              <w:top w:val="single" w:sz="8" w:space="0" w:color="auto"/>
            </w:tcBorders>
            <w:vAlign w:val="bottom"/>
          </w:tcPr>
          <w:p>
            <w:pPr>
              <w:spacing w:after="0"/>
              <w:rPr>
                <w:color w:val="auto"/>
                <w:sz w:val="8"/>
                <w:szCs w:val="8"/>
              </w:rPr>
            </w:pPr>
          </w:p>
        </w:tc>
        <w:tc>
          <w:tcPr>
            <w:tcW w:w="880" w:type="dxa"/>
            <w:tcBorders>
              <w:top w:val="single" w:sz="8" w:space="0" w:color="auto"/>
            </w:tcBorders>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3,032</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3,035</w:t>
            </w:r>
          </w:p>
        </w:tc>
        <w:tc>
          <w:tcPr>
            <w:tcW w:w="280" w:type="dxa"/>
            <w:tcBorders>
              <w:top w:val="single" w:sz="8" w:space="0" w:color="auto"/>
            </w:tcBorders>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top w:val="single" w:sz="8" w:space="0" w:color="auto"/>
            </w:tcBorders>
            <w:vAlign w:val="bottom"/>
          </w:tcPr>
          <w:p>
            <w:pPr>
              <w:spacing w:after="0" w:line="101" w:lineRule="exact"/>
              <w:ind w:right="92"/>
              <w:jc w:val="right"/>
              <w:rPr>
                <w:color w:val="auto"/>
                <w:sz w:val="20"/>
                <w:szCs w:val="20"/>
              </w:rPr>
            </w:pPr>
            <w:r>
              <w:rPr>
                <w:rFonts w:ascii="Calibri" w:eastAsia="Calibri" w:hAnsi="Calibri" w:cs="Calibri"/>
                <w:color w:val="auto"/>
                <w:sz w:val="10"/>
                <w:szCs w:val="10"/>
              </w:rPr>
              <w:t>4,137</w:t>
            </w:r>
          </w:p>
        </w:tc>
        <w:tc>
          <w:tcPr>
            <w:tcW w:w="124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 %</w:t>
            </w:r>
          </w:p>
        </w:tc>
        <w:tc>
          <w:tcPr>
            <w:tcW w:w="86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(26.7)%</w:t>
            </w:r>
          </w:p>
        </w:tc>
        <w:tc>
          <w:tcPr>
            <w:tcW w:w="80" w:type="dxa"/>
            <w:tcBorders>
              <w:top w:val="single" w:sz="8" w:space="0" w:color="auto"/>
            </w:tcBorders>
            <w:vAlign w:val="bottom"/>
          </w:tcPr>
          <w:p>
            <w:pPr>
              <w:spacing w:after="0"/>
              <w:rPr>
                <w:color w:val="auto"/>
                <w:sz w:val="8"/>
                <w:szCs w:val="8"/>
              </w:rPr>
            </w:pPr>
          </w:p>
        </w:tc>
        <w:tc>
          <w:tcPr>
            <w:tcW w:w="360" w:type="dxa"/>
            <w:tcBorders>
              <w:top w:val="single" w:sz="8" w:space="0" w:color="auto"/>
            </w:tcBorders>
            <w:vAlign w:val="bottom"/>
          </w:tcPr>
          <w:p>
            <w:pPr>
              <w:spacing w:after="0"/>
              <w:rPr>
                <w:color w:val="auto"/>
                <w:sz w:val="8"/>
                <w:szCs w:val="8"/>
              </w:rPr>
            </w:pPr>
          </w:p>
        </w:tc>
        <w:tc>
          <w:tcPr>
            <w:tcW w:w="920" w:type="dxa"/>
            <w:tcBorders>
              <w:top w:val="single" w:sz="8" w:space="0" w:color="auto"/>
            </w:tcBorders>
            <w:vAlign w:val="bottom"/>
          </w:tcPr>
          <w:p>
            <w:pPr>
              <w:spacing w:after="0" w:line="101" w:lineRule="exact"/>
              <w:ind w:right="212"/>
              <w:jc w:val="right"/>
              <w:rPr>
                <w:color w:val="auto"/>
                <w:sz w:val="20"/>
                <w:szCs w:val="20"/>
              </w:rPr>
            </w:pPr>
            <w:r>
              <w:rPr>
                <w:rFonts w:ascii="Calibri" w:eastAsia="Calibri" w:hAnsi="Calibri" w:cs="Calibri"/>
                <w:color w:val="auto"/>
                <w:sz w:val="10"/>
                <w:szCs w:val="10"/>
              </w:rPr>
              <w:t>1.4 %</w:t>
            </w:r>
          </w:p>
        </w:tc>
        <w:tc>
          <w:tcPr>
            <w:tcW w:w="88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(25.7)%</w:t>
            </w:r>
          </w:p>
        </w:tc>
        <w:tc>
          <w:tcPr>
            <w:tcW w:w="1" w:type="dxa"/>
            <w:vAlign w:val="bottom"/>
          </w:tcPr>
          <w:p>
            <w:pPr>
              <w:spacing w:after="0"/>
              <w:rPr>
                <w:color w:val="auto"/>
                <w:sz w:val="1"/>
                <w:szCs w:val="1"/>
              </w:rPr>
            </w:pPr>
          </w:p>
        </w:tc>
      </w:tr>
      <w:tr>
        <w:tblPrEx>
          <w:tblInd w:w="0" w:type="dxa"/>
          <w:tblLayout w:type="fixed"/>
        </w:tblPrEx>
        <w:trPr>
          <w:trHeight w:val="23"/>
        </w:trPr>
        <w:tc>
          <w:tcPr>
            <w:tcW w:w="184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8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18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Total net revenues</w:t>
            </w:r>
          </w:p>
        </w:tc>
        <w:tc>
          <w:tcPr>
            <w:tcW w:w="1220" w:type="dxa"/>
            <w:tcBorders>
              <w:bottom w:val="single" w:sz="8" w:space="0" w:color="CCEEFF"/>
            </w:tcBorders>
            <w:shd w:val="clear" w:color="auto" w:fill="CCEEFF"/>
            <w:vAlign w:val="bottom"/>
          </w:tcPr>
          <w:p>
            <w:pPr>
              <w:spacing w:after="0"/>
              <w:rPr>
                <w:color w:val="auto"/>
                <w:sz w:val="9"/>
                <w:szCs w:val="9"/>
              </w:rPr>
            </w:pPr>
          </w:p>
        </w:tc>
        <w:tc>
          <w:tcPr>
            <w:tcW w:w="88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7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56,334</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54,318</w:t>
            </w:r>
          </w:p>
        </w:tc>
        <w:tc>
          <w:tcPr>
            <w:tcW w:w="280" w:type="dxa"/>
            <w:tcBorders>
              <w:bottom w:val="single" w:sz="8" w:space="0" w:color="CCEEFF"/>
            </w:tcBorders>
            <w:shd w:val="clear" w:color="auto" w:fill="CCEEFF"/>
            <w:vAlign w:val="bottom"/>
          </w:tcPr>
          <w:p>
            <w:pPr>
              <w:spacing w:after="0" w:line="101" w:lineRule="exact"/>
              <w:ind w:right="112"/>
              <w:jc w:val="right"/>
              <w:rPr>
                <w:color w:val="auto"/>
                <w:sz w:val="20"/>
                <w:szCs w:val="20"/>
              </w:rPr>
            </w:pPr>
            <w:r>
              <w:rPr>
                <w:rFonts w:ascii="Calibri" w:eastAsia="Calibri" w:hAnsi="Calibri" w:cs="Calibri"/>
                <w:color w:val="auto"/>
                <w:sz w:val="10"/>
                <w:szCs w:val="10"/>
              </w:rPr>
              <w:t>$</w:t>
            </w:r>
          </w:p>
        </w:tc>
        <w:tc>
          <w:tcPr>
            <w:tcW w:w="860" w:type="dxa"/>
            <w:tcBorders>
              <w:bottom w:val="single" w:sz="8" w:space="0" w:color="CCEEFF"/>
            </w:tcBorders>
            <w:shd w:val="clear" w:color="auto" w:fill="CCEEFF"/>
            <w:vAlign w:val="bottom"/>
          </w:tcPr>
          <w:p>
            <w:pPr>
              <w:spacing w:after="0" w:line="101" w:lineRule="exact"/>
              <w:ind w:right="92"/>
              <w:jc w:val="right"/>
              <w:rPr>
                <w:color w:val="auto"/>
                <w:sz w:val="20"/>
                <w:szCs w:val="20"/>
              </w:rPr>
            </w:pPr>
            <w:r>
              <w:rPr>
                <w:rFonts w:ascii="Calibri" w:eastAsia="Calibri" w:hAnsi="Calibri" w:cs="Calibri"/>
                <w:color w:val="auto"/>
                <w:sz w:val="10"/>
                <w:szCs w:val="10"/>
              </w:rPr>
              <w:t>58,054</w:t>
            </w:r>
          </w:p>
        </w:tc>
        <w:tc>
          <w:tcPr>
            <w:tcW w:w="124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3.7 %</w:t>
            </w:r>
          </w:p>
        </w:tc>
        <w:tc>
          <w:tcPr>
            <w:tcW w:w="86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(6.4)%</w:t>
            </w:r>
          </w:p>
        </w:tc>
        <w:tc>
          <w:tcPr>
            <w:tcW w:w="80" w:type="dxa"/>
            <w:tcBorders>
              <w:bottom w:val="single" w:sz="8" w:space="0" w:color="CCEEFF"/>
            </w:tcBorders>
            <w:shd w:val="clear" w:color="auto" w:fill="CCEEFF"/>
            <w:vAlign w:val="bottom"/>
          </w:tcPr>
          <w:p>
            <w:pPr>
              <w:spacing w:after="0"/>
              <w:rPr>
                <w:color w:val="auto"/>
                <w:sz w:val="9"/>
                <w:szCs w:val="9"/>
              </w:rPr>
            </w:pPr>
          </w:p>
        </w:tc>
        <w:tc>
          <w:tcPr>
            <w:tcW w:w="360" w:type="dxa"/>
            <w:tcBorders>
              <w:bottom w:val="single" w:sz="8" w:space="0" w:color="CCEEFF"/>
            </w:tcBorders>
            <w:shd w:val="clear" w:color="auto" w:fill="CCEEFF"/>
            <w:vAlign w:val="bottom"/>
          </w:tcPr>
          <w:p>
            <w:pPr>
              <w:spacing w:after="0"/>
              <w:rPr>
                <w:color w:val="auto"/>
                <w:sz w:val="9"/>
                <w:szCs w:val="9"/>
              </w:rPr>
            </w:pPr>
          </w:p>
        </w:tc>
        <w:tc>
          <w:tcPr>
            <w:tcW w:w="920" w:type="dxa"/>
            <w:tcBorders>
              <w:bottom w:val="single" w:sz="8" w:space="0" w:color="CCEEFF"/>
            </w:tcBorders>
            <w:shd w:val="clear" w:color="auto" w:fill="CCEEFF"/>
            <w:vAlign w:val="bottom"/>
          </w:tcPr>
          <w:p>
            <w:pPr>
              <w:spacing w:after="0" w:line="101" w:lineRule="exact"/>
              <w:ind w:right="212"/>
              <w:jc w:val="right"/>
              <w:rPr>
                <w:color w:val="auto"/>
                <w:sz w:val="20"/>
                <w:szCs w:val="20"/>
              </w:rPr>
            </w:pPr>
            <w:r>
              <w:rPr>
                <w:rFonts w:ascii="Calibri" w:eastAsia="Calibri" w:hAnsi="Calibri" w:cs="Calibri"/>
                <w:color w:val="auto"/>
                <w:sz w:val="10"/>
                <w:szCs w:val="10"/>
              </w:rPr>
              <w:t>4.6 %</w:t>
            </w:r>
          </w:p>
        </w:tc>
        <w:tc>
          <w:tcPr>
            <w:tcW w:w="88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(5.9)%</w:t>
            </w:r>
          </w:p>
        </w:tc>
        <w:tc>
          <w:tcPr>
            <w:tcW w:w="1" w:type="dxa"/>
            <w:vAlign w:val="bottom"/>
          </w:tcPr>
          <w:p>
            <w:pPr>
              <w:spacing w:after="0"/>
              <w:rPr>
                <w:color w:val="auto"/>
                <w:sz w:val="1"/>
                <w:szCs w:val="1"/>
              </w:rPr>
            </w:pPr>
          </w:p>
        </w:tc>
      </w:tr>
      <w:tr>
        <w:tblPrEx>
          <w:tblInd w:w="0" w:type="dxa"/>
          <w:tblLayout w:type="fixed"/>
        </w:tblPrEx>
        <w:trPr>
          <w:trHeight w:val="36"/>
        </w:trPr>
        <w:tc>
          <w:tcPr>
            <w:tcW w:w="1840" w:type="dxa"/>
            <w:shd w:val="clear" w:color="auto" w:fill="000000"/>
            <w:vAlign w:val="bottom"/>
          </w:tcPr>
          <w:p>
            <w:pPr>
              <w:spacing w:after="0"/>
              <w:rPr>
                <w:color w:val="auto"/>
                <w:sz w:val="3"/>
                <w:szCs w:val="3"/>
              </w:rPr>
            </w:pPr>
          </w:p>
        </w:tc>
        <w:tc>
          <w:tcPr>
            <w:tcW w:w="1220" w:type="dxa"/>
            <w:shd w:val="clear" w:color="auto" w:fill="000000"/>
            <w:vAlign w:val="bottom"/>
          </w:tcPr>
          <w:p>
            <w:pPr>
              <w:spacing w:after="0"/>
              <w:rPr>
                <w:color w:val="auto"/>
                <w:sz w:val="3"/>
                <w:szCs w:val="3"/>
              </w:rPr>
            </w:pPr>
          </w:p>
        </w:tc>
        <w:tc>
          <w:tcPr>
            <w:tcW w:w="880" w:type="dxa"/>
            <w:shd w:val="clear" w:color="auto" w:fill="000000"/>
            <w:vAlign w:val="bottom"/>
          </w:tcPr>
          <w:p>
            <w:pPr>
              <w:spacing w:after="0"/>
              <w:rPr>
                <w:color w:val="auto"/>
                <w:sz w:val="3"/>
                <w:szCs w:val="3"/>
              </w:rPr>
            </w:pPr>
          </w:p>
        </w:tc>
        <w:tc>
          <w:tcPr>
            <w:tcW w:w="780" w:type="dxa"/>
            <w:shd w:val="clear" w:color="auto" w:fill="000000"/>
            <w:vAlign w:val="bottom"/>
          </w:tcPr>
          <w:p>
            <w:pPr>
              <w:spacing w:after="0"/>
              <w:rPr>
                <w:color w:val="auto"/>
                <w:sz w:val="3"/>
                <w:szCs w:val="3"/>
              </w:rPr>
            </w:pPr>
          </w:p>
        </w:tc>
        <w:tc>
          <w:tcPr>
            <w:tcW w:w="280" w:type="dxa"/>
            <w:shd w:val="clear" w:color="auto" w:fill="000000"/>
            <w:vAlign w:val="bottom"/>
          </w:tcPr>
          <w:p>
            <w:pPr>
              <w:spacing w:after="0"/>
              <w:rPr>
                <w:color w:val="auto"/>
                <w:sz w:val="3"/>
                <w:szCs w:val="3"/>
              </w:rPr>
            </w:pPr>
          </w:p>
        </w:tc>
        <w:tc>
          <w:tcPr>
            <w:tcW w:w="800" w:type="dxa"/>
            <w:shd w:val="clear" w:color="auto" w:fill="000000"/>
            <w:vAlign w:val="bottom"/>
          </w:tcPr>
          <w:p>
            <w:pPr>
              <w:spacing w:after="0"/>
              <w:rPr>
                <w:color w:val="auto"/>
                <w:sz w:val="3"/>
                <w:szCs w:val="3"/>
              </w:rPr>
            </w:pPr>
          </w:p>
        </w:tc>
        <w:tc>
          <w:tcPr>
            <w:tcW w:w="280" w:type="dxa"/>
            <w:shd w:val="clear" w:color="auto" w:fill="000000"/>
            <w:vAlign w:val="bottom"/>
          </w:tcPr>
          <w:p>
            <w:pPr>
              <w:spacing w:after="0"/>
              <w:rPr>
                <w:color w:val="auto"/>
                <w:sz w:val="3"/>
                <w:szCs w:val="3"/>
              </w:rPr>
            </w:pPr>
          </w:p>
        </w:tc>
        <w:tc>
          <w:tcPr>
            <w:tcW w:w="860" w:type="dxa"/>
            <w:shd w:val="clear" w:color="auto" w:fill="000000"/>
            <w:vAlign w:val="bottom"/>
          </w:tcPr>
          <w:p>
            <w:pPr>
              <w:spacing w:after="0"/>
              <w:rPr>
                <w:color w:val="auto"/>
                <w:sz w:val="3"/>
                <w:szCs w:val="3"/>
              </w:rPr>
            </w:pPr>
          </w:p>
        </w:tc>
        <w:tc>
          <w:tcPr>
            <w:tcW w:w="1240" w:type="dxa"/>
            <w:shd w:val="clear" w:color="auto" w:fill="000000"/>
            <w:vAlign w:val="bottom"/>
          </w:tcPr>
          <w:p>
            <w:pPr>
              <w:spacing w:after="0"/>
              <w:rPr>
                <w:color w:val="auto"/>
                <w:sz w:val="3"/>
                <w:szCs w:val="3"/>
              </w:rPr>
            </w:pPr>
          </w:p>
        </w:tc>
        <w:tc>
          <w:tcPr>
            <w:tcW w:w="860" w:type="dxa"/>
            <w:shd w:val="clear" w:color="auto" w:fill="000000"/>
            <w:vAlign w:val="bottom"/>
          </w:tcPr>
          <w:p>
            <w:pPr>
              <w:spacing w:after="0"/>
              <w:rPr>
                <w:color w:val="auto"/>
                <w:sz w:val="3"/>
                <w:szCs w:val="3"/>
              </w:rPr>
            </w:pPr>
          </w:p>
        </w:tc>
        <w:tc>
          <w:tcPr>
            <w:tcW w:w="80" w:type="dxa"/>
            <w:shd w:val="clear" w:color="auto" w:fill="000000"/>
            <w:vAlign w:val="bottom"/>
          </w:tcPr>
          <w:p>
            <w:pPr>
              <w:spacing w:after="0"/>
              <w:rPr>
                <w:color w:val="auto"/>
                <w:sz w:val="3"/>
                <w:szCs w:val="3"/>
              </w:rPr>
            </w:pPr>
          </w:p>
        </w:tc>
        <w:tc>
          <w:tcPr>
            <w:tcW w:w="360" w:type="dxa"/>
            <w:shd w:val="clear" w:color="auto" w:fill="000000"/>
            <w:vAlign w:val="bottom"/>
          </w:tcPr>
          <w:p>
            <w:pPr>
              <w:spacing w:after="0"/>
              <w:rPr>
                <w:color w:val="auto"/>
                <w:sz w:val="3"/>
                <w:szCs w:val="3"/>
              </w:rPr>
            </w:pPr>
          </w:p>
        </w:tc>
        <w:tc>
          <w:tcPr>
            <w:tcW w:w="920" w:type="dxa"/>
            <w:shd w:val="clear" w:color="auto" w:fill="000000"/>
            <w:vAlign w:val="bottom"/>
          </w:tcPr>
          <w:p>
            <w:pPr>
              <w:spacing w:after="0"/>
              <w:rPr>
                <w:color w:val="auto"/>
                <w:sz w:val="3"/>
                <w:szCs w:val="3"/>
              </w:rPr>
            </w:pPr>
          </w:p>
        </w:tc>
        <w:tc>
          <w:tcPr>
            <w:tcW w:w="880" w:type="dxa"/>
            <w:shd w:val="clear" w:color="auto" w:fill="000000"/>
            <w:vAlign w:val="bottom"/>
          </w:tcPr>
          <w:p>
            <w:pPr>
              <w:spacing w:after="0"/>
              <w:rPr>
                <w:color w:val="auto"/>
                <w:sz w:val="3"/>
                <w:szCs w:val="3"/>
              </w:rPr>
            </w:pPr>
          </w:p>
        </w:tc>
        <w:tc>
          <w:tcPr>
            <w:tcW w:w="1" w:type="dxa"/>
            <w:vAlign w:val="bottom"/>
          </w:tcPr>
          <w:p>
            <w:pPr>
              <w:spacing w:after="0" w:line="20" w:lineRule="exact"/>
              <w:rPr>
                <w:color w:val="auto"/>
                <w:sz w:val="1"/>
                <w:szCs w:val="1"/>
              </w:rPr>
            </w:pPr>
          </w:p>
        </w:tc>
      </w:tr>
    </w:tbl>
    <w:p>
      <w:pPr>
        <w:spacing w:after="0" w:line="134" w:lineRule="exact"/>
        <w:rPr>
          <w:color w:val="auto"/>
          <w:sz w:val="20"/>
          <w:szCs w:val="20"/>
        </w:rPr>
      </w:pPr>
    </w:p>
    <w:p>
      <w:pPr>
        <w:spacing w:after="0"/>
        <w:rPr>
          <w:color w:val="auto"/>
          <w:sz w:val="20"/>
          <w:szCs w:val="20"/>
        </w:rPr>
      </w:pPr>
      <w:r>
        <w:rPr>
          <w:rFonts w:ascii="Calibri" w:eastAsia="Calibri" w:hAnsi="Calibri" w:cs="Calibri"/>
          <w:color w:val="auto"/>
          <w:sz w:val="10"/>
          <w:szCs w:val="10"/>
        </w:rPr>
        <w:t>n/m – Not meaningful</w:t>
      </w:r>
    </w:p>
    <w:p>
      <w:pPr>
        <w:spacing w:after="0" w:line="85" w:lineRule="exact"/>
        <w:rPr>
          <w:color w:val="auto"/>
          <w:sz w:val="20"/>
          <w:szCs w:val="20"/>
        </w:rPr>
      </w:pPr>
    </w:p>
    <w:p>
      <w:pPr>
        <w:numPr>
          <w:ilvl w:val="0"/>
          <w:numId w:val="22"/>
        </w:numPr>
        <w:tabs>
          <w:tab w:val="left" w:pos="320"/>
        </w:tabs>
        <w:spacing w:after="0"/>
        <w:ind w:left="320" w:hanging="301"/>
        <w:rPr>
          <w:rFonts w:ascii="Calibri" w:eastAsia="Calibri" w:hAnsi="Calibri" w:cs="Calibri"/>
          <w:color w:val="auto"/>
          <w:sz w:val="10"/>
          <w:szCs w:val="10"/>
        </w:rPr>
      </w:pPr>
      <w:r>
        <w:rPr>
          <w:rFonts w:ascii="Calibri" w:eastAsia="Calibri" w:hAnsi="Calibri" w:cs="Calibri"/>
          <w:color w:val="auto"/>
          <w:sz w:val="10"/>
          <w:szCs w:val="10"/>
        </w:rPr>
        <w:t>Net revenues include ImmunoGen product revenues afer the acquisiton closing date of February 12, 2024.</w:t>
      </w:r>
    </w:p>
    <w:p>
      <w:pPr>
        <w:spacing w:after="0" w:line="103"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discussion and analysis of AbbVie's net revenues by product is presented on a constant currency basis.</w:t>
      </w:r>
    </w:p>
    <w:p>
      <w:pPr>
        <w:spacing w:after="0" w:line="92" w:lineRule="exact"/>
        <w:rPr>
          <w:color w:val="auto"/>
          <w:sz w:val="20"/>
          <w:szCs w:val="20"/>
        </w:rPr>
      </w:pPr>
    </w:p>
    <w:p>
      <w:pPr>
        <w:spacing w:after="0" w:line="234" w:lineRule="auto"/>
        <w:ind w:right="420" w:firstLine="297"/>
        <w:rPr>
          <w:color w:val="auto"/>
          <w:sz w:val="20"/>
          <w:szCs w:val="20"/>
        </w:rPr>
      </w:pPr>
      <w:r>
        <w:rPr>
          <w:rFonts w:ascii="Calibri" w:eastAsia="Calibri" w:hAnsi="Calibri" w:cs="Calibri"/>
          <w:color w:val="auto"/>
          <w:sz w:val="12"/>
          <w:szCs w:val="12"/>
        </w:rPr>
        <w:t>Global Humira sales decreased 37% in 2024. In the United States, Humira sales decreased 41% in 2024 primarily driven by direct biosimilar competton following loss of exclusivity on January 31, 2023. Internatonally, Humira revenues decreased 13% in 2024 primarily driven by the contnued impact of direct biosimilar competton.</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Skyrizi increased 51% in 2024 primarily driven by contnued strong market share uptake as well as market growth across all indicatons.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Rinvoq increased 53% in 2024 primarily driven by contnued strong market share uptake as well as market growth across all indicatons.</w:t>
      </w:r>
    </w:p>
    <w:p>
      <w:pPr>
        <w:spacing w:after="0" w:line="92"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Net revenues for Imbruvica represent product revenues in the United States and collaboraton revenues outside of the United States related to AbbVie's 50% share of Imbruvica proft. AbbVie's global Imbruvica revenues decreased 7% in 2024 primarily driven by decreased demand and lower market share in the United States as well as decreased collaboraton revenues.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Venclexta increased 16% in 2024 primarily driven by contnued market share uptake and market growth across all indicatons.</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Elahere were $479 million in 2024 for the period subsequent to the completon of the ImmunoGen acquisiton.</w:t>
      </w:r>
    </w:p>
    <w:p>
      <w:pPr>
        <w:spacing w:after="0" w:line="20" w:lineRule="exact"/>
        <w:rPr>
          <w:color w:val="auto"/>
          <w:sz w:val="20"/>
          <w:szCs w:val="20"/>
        </w:rPr>
      </w:pPr>
      <w:r>
        <w:rPr>
          <w:color w:val="auto"/>
          <w:sz w:val="20"/>
          <w:szCs w:val="20"/>
        </w:rPr>
        <w:drawing>
          <wp:anchor simplePos="0" relativeHeight="251762688" behindDoc="1" locked="0" layoutInCell="0" allowOverlap="1">
            <wp:simplePos x="0" y="0"/>
            <wp:positionH relativeFrom="column">
              <wp:posOffset>6475730</wp:posOffset>
            </wp:positionH>
            <wp:positionV relativeFrom="paragraph">
              <wp:posOffset>250825</wp:posOffset>
            </wp:positionV>
            <wp:extent cx="400050" cy="74295"/>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40</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63712" behindDoc="1" locked="0" layoutInCell="0" allowOverlap="1">
            <wp:simplePos x="0" y="0"/>
            <wp:positionH relativeFrom="column">
              <wp:posOffset>7154545</wp:posOffset>
            </wp:positionH>
            <wp:positionV relativeFrom="paragraph">
              <wp:posOffset>-23495</wp:posOffset>
            </wp:positionV>
            <wp:extent cx="31115" cy="3683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64736" behindDoc="1" locked="0" layoutInCell="0" allowOverlap="1">
            <wp:simplePos x="0" y="0"/>
            <wp:positionH relativeFrom="column">
              <wp:posOffset>-17145</wp:posOffset>
            </wp:positionH>
            <wp:positionV relativeFrom="paragraph">
              <wp:posOffset>-23495</wp:posOffset>
            </wp:positionV>
            <wp:extent cx="31115" cy="3683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867" w:right="299" w:bottom="1440" w:left="300" w:header="0" w:footer="0" w:gutter="0"/>
          <w:cols w:num="1" w:space="720" w:equalWidth="0">
            <w:col w:w="11300" w:space="0"/>
          </w:cols>
        </w:sectPr>
      </w:pPr>
    </w:p>
    <w:bookmarkStart w:id="42" w:name="page43"/>
    <w:bookmarkEnd w:id="42"/>
    <w:p>
      <w:pPr>
        <w:spacing w:after="0" w:line="234" w:lineRule="auto"/>
        <w:ind w:right="520" w:firstLine="297"/>
        <w:rPr>
          <w:color w:val="auto"/>
          <w:sz w:val="20"/>
          <w:szCs w:val="20"/>
        </w:rPr>
      </w:pPr>
      <w:r>
        <w:rPr>
          <w:rFonts w:ascii="Calibri" w:eastAsia="Calibri" w:hAnsi="Calibri" w:cs="Calibri"/>
          <w:color w:val="auto"/>
          <w:sz w:val="12"/>
          <w:szCs w:val="12"/>
        </w:rPr>
        <w:t>Net revenues for Botox Cosmetc increased 3% in 2024. In the United States, Botox Cosmetc net revenues increased 1% primarily driven by favorable pricing, partally ofset by the unfavorable impact of customer inventory destocking and decreased consumer demand. Internatonally, Botox Cosmetc net revenues increased 7% primarily driven by favorable pricing and increased consumer demand across key internatonal markets.</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Juvederm Collecton decreased 12% in 2024 primarily driven by the unfavorable impact of decreased consumer demand and customer inventory destocking.</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Botox Therapeutc increased 11% in 2024 primarily driven by contnued market share uptake as well as market growth.</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Vraylar increased 18% in 2024 primarily driven by contnued market share uptake as well as market growth.</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Ubrelvy increased 23% in 2024 primarily driven by contnued market share uptake as well as market growth.</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Net revenues for Qulipta increased 61% in 2024 primarily driven by contnued strong market share uptake as well as market growth.</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Gross Margin</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3220"/>
        <w:gridCol w:w="1700"/>
        <w:gridCol w:w="1000"/>
        <w:gridCol w:w="340"/>
        <w:gridCol w:w="1000"/>
        <w:gridCol w:w="340"/>
        <w:gridCol w:w="1040"/>
        <w:gridCol w:w="1720"/>
        <w:gridCol w:w="860"/>
        <w:gridCol w:w="20"/>
      </w:tblGrid>
      <w:tr>
        <w:tblPrEx>
          <w:tblInd w:w="0" w:type="dxa"/>
          <w:tblLayout w:type="fixed"/>
        </w:tblPrEx>
        <w:trPr>
          <w:trHeight w:val="122"/>
        </w:trPr>
        <w:tc>
          <w:tcPr>
            <w:tcW w:w="3220" w:type="dxa"/>
            <w:vAlign w:val="bottom"/>
          </w:tcPr>
          <w:p>
            <w:pPr>
              <w:spacing w:after="0"/>
              <w:rPr>
                <w:color w:val="auto"/>
                <w:sz w:val="10"/>
                <w:szCs w:val="10"/>
              </w:rPr>
            </w:pPr>
          </w:p>
        </w:tc>
        <w:tc>
          <w:tcPr>
            <w:tcW w:w="1700" w:type="dxa"/>
            <w:vAlign w:val="bottom"/>
          </w:tcPr>
          <w:p>
            <w:pPr>
              <w:spacing w:after="0"/>
              <w:rPr>
                <w:color w:val="auto"/>
                <w:sz w:val="10"/>
                <w:szCs w:val="10"/>
              </w:rPr>
            </w:pPr>
          </w:p>
        </w:tc>
        <w:tc>
          <w:tcPr>
            <w:tcW w:w="100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00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040" w:type="dxa"/>
            <w:vAlign w:val="bottom"/>
          </w:tcPr>
          <w:p>
            <w:pPr>
              <w:spacing w:after="0"/>
              <w:rPr>
                <w:color w:val="auto"/>
                <w:sz w:val="10"/>
                <w:szCs w:val="10"/>
              </w:rPr>
            </w:pPr>
          </w:p>
        </w:tc>
        <w:tc>
          <w:tcPr>
            <w:tcW w:w="1720" w:type="dxa"/>
            <w:vAlign w:val="bottom"/>
          </w:tcPr>
          <w:p>
            <w:pPr>
              <w:spacing w:after="0"/>
              <w:ind w:left="980"/>
              <w:rPr>
                <w:color w:val="auto"/>
                <w:sz w:val="20"/>
                <w:szCs w:val="20"/>
              </w:rPr>
            </w:pPr>
            <w:r>
              <w:rPr>
                <w:rFonts w:ascii="Calibri" w:eastAsia="Calibri" w:hAnsi="Calibri" w:cs="Calibri"/>
                <w:b/>
                <w:bCs/>
                <w:color w:val="auto"/>
                <w:sz w:val="10"/>
                <w:szCs w:val="10"/>
              </w:rPr>
              <w:t>Percent change</w:t>
            </w:r>
          </w:p>
        </w:tc>
        <w:tc>
          <w:tcPr>
            <w:tcW w:w="86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3220" w:type="dxa"/>
            <w:vMerge w:val="restart"/>
            <w:vAlign w:val="bottom"/>
          </w:tcPr>
          <w:p>
            <w:pPr>
              <w:spacing w:after="0"/>
              <w:rPr>
                <w:color w:val="auto"/>
                <w:sz w:val="20"/>
                <w:szCs w:val="20"/>
              </w:rPr>
            </w:pPr>
            <w:r>
              <w:rPr>
                <w:rFonts w:ascii="Calibri" w:eastAsia="Calibri" w:hAnsi="Calibri" w:cs="Calibri"/>
                <w:b/>
                <w:bCs/>
                <w:color w:val="auto"/>
                <w:sz w:val="10"/>
                <w:szCs w:val="10"/>
              </w:rPr>
              <w:t>years ended December 31 (dollars in millions)</w:t>
            </w:r>
          </w:p>
        </w:tc>
        <w:tc>
          <w:tcPr>
            <w:tcW w:w="1700" w:type="dxa"/>
            <w:vAlign w:val="bottom"/>
          </w:tcPr>
          <w:p>
            <w:pPr>
              <w:spacing w:after="0"/>
              <w:rPr>
                <w:color w:val="auto"/>
                <w:sz w:val="2"/>
                <w:szCs w:val="2"/>
              </w:rPr>
            </w:pPr>
          </w:p>
        </w:tc>
        <w:tc>
          <w:tcPr>
            <w:tcW w:w="1000" w:type="dxa"/>
            <w:vMerge w:val="restart"/>
            <w:vAlign w:val="bottom"/>
          </w:tcPr>
          <w:p>
            <w:pPr>
              <w:spacing w:after="0"/>
              <w:ind w:right="524"/>
              <w:jc w:val="right"/>
              <w:rPr>
                <w:color w:val="auto"/>
                <w:sz w:val="20"/>
                <w:szCs w:val="20"/>
              </w:rPr>
            </w:pPr>
            <w:r>
              <w:rPr>
                <w:rFonts w:ascii="Calibri" w:eastAsia="Calibri" w:hAnsi="Calibri" w:cs="Calibri"/>
                <w:b/>
                <w:bCs/>
                <w:color w:val="auto"/>
                <w:sz w:val="10"/>
                <w:szCs w:val="10"/>
              </w:rPr>
              <w:t>2024</w:t>
            </w:r>
          </w:p>
        </w:tc>
        <w:tc>
          <w:tcPr>
            <w:tcW w:w="340" w:type="dxa"/>
            <w:vAlign w:val="bottom"/>
          </w:tcPr>
          <w:p>
            <w:pPr>
              <w:spacing w:after="0"/>
              <w:rPr>
                <w:color w:val="auto"/>
                <w:sz w:val="2"/>
                <w:szCs w:val="2"/>
              </w:rPr>
            </w:pPr>
          </w:p>
        </w:tc>
        <w:tc>
          <w:tcPr>
            <w:tcW w:w="1000" w:type="dxa"/>
            <w:vMerge w:val="restart"/>
            <w:vAlign w:val="bottom"/>
          </w:tcPr>
          <w:p>
            <w:pPr>
              <w:spacing w:after="0"/>
              <w:ind w:right="524"/>
              <w:jc w:val="right"/>
              <w:rPr>
                <w:color w:val="auto"/>
                <w:sz w:val="20"/>
                <w:szCs w:val="20"/>
              </w:rPr>
            </w:pPr>
            <w:r>
              <w:rPr>
                <w:rFonts w:ascii="Calibri" w:eastAsia="Calibri" w:hAnsi="Calibri" w:cs="Calibri"/>
                <w:b/>
                <w:bCs/>
                <w:color w:val="auto"/>
                <w:sz w:val="10"/>
                <w:szCs w:val="10"/>
              </w:rPr>
              <w:t>2023</w:t>
            </w:r>
          </w:p>
        </w:tc>
        <w:tc>
          <w:tcPr>
            <w:tcW w:w="340" w:type="dxa"/>
            <w:vAlign w:val="bottom"/>
          </w:tcPr>
          <w:p>
            <w:pPr>
              <w:spacing w:after="0"/>
              <w:rPr>
                <w:color w:val="auto"/>
                <w:sz w:val="2"/>
                <w:szCs w:val="2"/>
              </w:rPr>
            </w:pPr>
          </w:p>
        </w:tc>
        <w:tc>
          <w:tcPr>
            <w:tcW w:w="1040" w:type="dxa"/>
            <w:vMerge w:val="restart"/>
            <w:vAlign w:val="bottom"/>
          </w:tcPr>
          <w:p>
            <w:pPr>
              <w:spacing w:after="0"/>
              <w:ind w:right="564"/>
              <w:jc w:val="right"/>
              <w:rPr>
                <w:color w:val="auto"/>
                <w:sz w:val="20"/>
                <w:szCs w:val="20"/>
              </w:rPr>
            </w:pPr>
            <w:r>
              <w:rPr>
                <w:rFonts w:ascii="Calibri" w:eastAsia="Calibri" w:hAnsi="Calibri" w:cs="Calibri"/>
                <w:b/>
                <w:bCs/>
                <w:color w:val="auto"/>
                <w:sz w:val="10"/>
                <w:szCs w:val="10"/>
              </w:rPr>
              <w:t>2022</w:t>
            </w:r>
          </w:p>
        </w:tc>
        <w:tc>
          <w:tcPr>
            <w:tcW w:w="172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3220" w:type="dxa"/>
            <w:vMerge/>
            <w:vAlign w:val="bottom"/>
          </w:tcPr>
          <w:p>
            <w:pPr>
              <w:spacing w:after="0"/>
              <w:rPr>
                <w:color w:val="auto"/>
                <w:sz w:val="8"/>
                <w:szCs w:val="8"/>
              </w:rPr>
            </w:pPr>
          </w:p>
        </w:tc>
        <w:tc>
          <w:tcPr>
            <w:tcW w:w="1700" w:type="dxa"/>
            <w:vAlign w:val="bottom"/>
          </w:tcPr>
          <w:p>
            <w:pPr>
              <w:spacing w:after="0"/>
              <w:rPr>
                <w:color w:val="auto"/>
                <w:sz w:val="8"/>
                <w:szCs w:val="8"/>
              </w:rPr>
            </w:pPr>
          </w:p>
        </w:tc>
        <w:tc>
          <w:tcPr>
            <w:tcW w:w="1000" w:type="dxa"/>
            <w:vMerge/>
            <w:vAlign w:val="bottom"/>
          </w:tcPr>
          <w:p>
            <w:pPr>
              <w:spacing w:after="0"/>
              <w:rPr>
                <w:color w:val="auto"/>
                <w:sz w:val="8"/>
                <w:szCs w:val="8"/>
              </w:rPr>
            </w:pPr>
          </w:p>
        </w:tc>
        <w:tc>
          <w:tcPr>
            <w:tcW w:w="340" w:type="dxa"/>
            <w:vAlign w:val="bottom"/>
          </w:tcPr>
          <w:p>
            <w:pPr>
              <w:spacing w:after="0"/>
              <w:rPr>
                <w:color w:val="auto"/>
                <w:sz w:val="8"/>
                <w:szCs w:val="8"/>
              </w:rPr>
            </w:pPr>
          </w:p>
        </w:tc>
        <w:tc>
          <w:tcPr>
            <w:tcW w:w="1000" w:type="dxa"/>
            <w:vMerge/>
            <w:vAlign w:val="bottom"/>
          </w:tcPr>
          <w:p>
            <w:pPr>
              <w:spacing w:after="0"/>
              <w:rPr>
                <w:color w:val="auto"/>
                <w:sz w:val="8"/>
                <w:szCs w:val="8"/>
              </w:rPr>
            </w:pPr>
          </w:p>
        </w:tc>
        <w:tc>
          <w:tcPr>
            <w:tcW w:w="340" w:type="dxa"/>
            <w:vAlign w:val="bottom"/>
          </w:tcPr>
          <w:p>
            <w:pPr>
              <w:spacing w:after="0"/>
              <w:rPr>
                <w:color w:val="auto"/>
                <w:sz w:val="8"/>
                <w:szCs w:val="8"/>
              </w:rPr>
            </w:pPr>
          </w:p>
        </w:tc>
        <w:tc>
          <w:tcPr>
            <w:tcW w:w="1040" w:type="dxa"/>
            <w:vMerge/>
            <w:vAlign w:val="bottom"/>
          </w:tcPr>
          <w:p>
            <w:pPr>
              <w:spacing w:after="0"/>
              <w:rPr>
                <w:color w:val="auto"/>
                <w:sz w:val="8"/>
                <w:szCs w:val="8"/>
              </w:rPr>
            </w:pPr>
          </w:p>
        </w:tc>
        <w:tc>
          <w:tcPr>
            <w:tcW w:w="1720" w:type="dxa"/>
            <w:vAlign w:val="bottom"/>
          </w:tcPr>
          <w:p>
            <w:pPr>
              <w:spacing w:after="0" w:line="101" w:lineRule="exact"/>
              <w:ind w:right="948"/>
              <w:jc w:val="right"/>
              <w:rPr>
                <w:color w:val="auto"/>
                <w:sz w:val="20"/>
                <w:szCs w:val="20"/>
              </w:rPr>
            </w:pPr>
            <w:r>
              <w:rPr>
                <w:rFonts w:ascii="Calibri" w:eastAsia="Calibri" w:hAnsi="Calibri" w:cs="Calibri"/>
                <w:b/>
                <w:bCs/>
                <w:color w:val="auto"/>
                <w:sz w:val="10"/>
                <w:szCs w:val="10"/>
              </w:rPr>
              <w:t>2024</w:t>
            </w:r>
          </w:p>
        </w:tc>
        <w:tc>
          <w:tcPr>
            <w:tcW w:w="860" w:type="dxa"/>
            <w:vAlign w:val="bottom"/>
          </w:tcPr>
          <w:p>
            <w:pPr>
              <w:spacing w:after="0" w:line="101" w:lineRule="exact"/>
              <w:ind w:right="466"/>
              <w:jc w:val="right"/>
              <w:rPr>
                <w:color w:val="auto"/>
                <w:sz w:val="20"/>
                <w:szCs w:val="20"/>
              </w:rPr>
            </w:pPr>
            <w:r>
              <w:rPr>
                <w:rFonts w:ascii="Calibri" w:eastAsia="Calibri" w:hAnsi="Calibri" w:cs="Calibri"/>
                <w:b/>
                <w:bCs/>
                <w:color w:val="auto"/>
                <w:sz w:val="10"/>
                <w:szCs w:val="10"/>
              </w:rPr>
              <w:t>2023</w:t>
            </w:r>
          </w:p>
        </w:tc>
        <w:tc>
          <w:tcPr>
            <w:tcW w:w="1" w:type="dxa"/>
            <w:vAlign w:val="bottom"/>
          </w:tcPr>
          <w:p>
            <w:pPr>
              <w:spacing w:after="0"/>
              <w:rPr>
                <w:color w:val="auto"/>
                <w:sz w:val="1"/>
                <w:szCs w:val="1"/>
              </w:rPr>
            </w:pPr>
          </w:p>
        </w:tc>
      </w:tr>
      <w:tr>
        <w:tblPrEx>
          <w:tblInd w:w="0" w:type="dxa"/>
          <w:tblLayout w:type="fixed"/>
        </w:tblPrEx>
        <w:trPr>
          <w:trHeight w:val="23"/>
        </w:trPr>
        <w:tc>
          <w:tcPr>
            <w:tcW w:w="3220" w:type="dxa"/>
            <w:tcBorders>
              <w:bottom w:val="single" w:sz="8" w:space="0" w:color="auto"/>
            </w:tcBorders>
            <w:vAlign w:val="bottom"/>
          </w:tcPr>
          <w:p>
            <w:pPr>
              <w:spacing w:after="0"/>
              <w:rPr>
                <w:color w:val="auto"/>
                <w:sz w:val="2"/>
                <w:szCs w:val="2"/>
              </w:rPr>
            </w:pPr>
          </w:p>
        </w:tc>
        <w:tc>
          <w:tcPr>
            <w:tcW w:w="170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40" w:type="dxa"/>
            <w:tcBorders>
              <w:bottom w:val="single" w:sz="8" w:space="0" w:color="auto"/>
            </w:tcBorders>
            <w:vAlign w:val="bottom"/>
          </w:tcPr>
          <w:p>
            <w:pPr>
              <w:spacing w:after="0"/>
              <w:rPr>
                <w:color w:val="auto"/>
                <w:sz w:val="2"/>
                <w:szCs w:val="2"/>
              </w:rPr>
            </w:pPr>
          </w:p>
        </w:tc>
        <w:tc>
          <w:tcPr>
            <w:tcW w:w="172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42"/>
        </w:trPr>
        <w:tc>
          <w:tcPr>
            <w:tcW w:w="32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Gross margin</w:t>
            </w:r>
          </w:p>
        </w:tc>
        <w:tc>
          <w:tcPr>
            <w:tcW w:w="170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00" w:type="dxa"/>
            <w:shd w:val="clear" w:color="auto" w:fill="CCEEFF"/>
            <w:vAlign w:val="bottom"/>
          </w:tcPr>
          <w:p>
            <w:pPr>
              <w:spacing w:after="0" w:line="142" w:lineRule="exact"/>
              <w:ind w:right="124"/>
              <w:jc w:val="right"/>
              <w:rPr>
                <w:color w:val="auto"/>
                <w:sz w:val="20"/>
                <w:szCs w:val="20"/>
              </w:rPr>
            </w:pPr>
            <w:r>
              <w:rPr>
                <w:rFonts w:ascii="Calibri" w:eastAsia="Calibri" w:hAnsi="Calibri" w:cs="Calibri"/>
                <w:color w:val="auto"/>
                <w:sz w:val="12"/>
                <w:szCs w:val="12"/>
              </w:rPr>
              <w:t>39,430</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00" w:type="dxa"/>
            <w:shd w:val="clear" w:color="auto" w:fill="CCEEFF"/>
            <w:vAlign w:val="bottom"/>
          </w:tcPr>
          <w:p>
            <w:pPr>
              <w:spacing w:after="0" w:line="142" w:lineRule="exact"/>
              <w:ind w:right="124"/>
              <w:jc w:val="right"/>
              <w:rPr>
                <w:color w:val="auto"/>
                <w:sz w:val="20"/>
                <w:szCs w:val="20"/>
              </w:rPr>
            </w:pPr>
            <w:r>
              <w:rPr>
                <w:rFonts w:ascii="Calibri" w:eastAsia="Calibri" w:hAnsi="Calibri" w:cs="Calibri"/>
                <w:color w:val="auto"/>
                <w:sz w:val="12"/>
                <w:szCs w:val="12"/>
              </w:rPr>
              <w:t>33,903</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40" w:type="dxa"/>
            <w:shd w:val="clear" w:color="auto" w:fill="CCEEFF"/>
            <w:vAlign w:val="bottom"/>
          </w:tcPr>
          <w:p>
            <w:pPr>
              <w:spacing w:after="0" w:line="142" w:lineRule="exact"/>
              <w:ind w:right="164"/>
              <w:jc w:val="right"/>
              <w:rPr>
                <w:color w:val="auto"/>
                <w:sz w:val="20"/>
                <w:szCs w:val="20"/>
              </w:rPr>
            </w:pPr>
            <w:r>
              <w:rPr>
                <w:rFonts w:ascii="Calibri" w:eastAsia="Calibri" w:hAnsi="Calibri" w:cs="Calibri"/>
                <w:color w:val="auto"/>
                <w:sz w:val="12"/>
                <w:szCs w:val="12"/>
              </w:rPr>
              <w:t>40,640</w:t>
            </w:r>
          </w:p>
        </w:tc>
        <w:tc>
          <w:tcPr>
            <w:tcW w:w="1720" w:type="dxa"/>
            <w:shd w:val="clear" w:color="auto" w:fill="CCEEFF"/>
            <w:vAlign w:val="bottom"/>
          </w:tcPr>
          <w:p>
            <w:pPr>
              <w:spacing w:after="0" w:line="142" w:lineRule="exact"/>
              <w:ind w:left="1000"/>
              <w:rPr>
                <w:color w:val="auto"/>
                <w:sz w:val="20"/>
                <w:szCs w:val="20"/>
              </w:rPr>
            </w:pPr>
            <w:r>
              <w:rPr>
                <w:rFonts w:ascii="Calibri" w:eastAsia="Calibri" w:hAnsi="Calibri" w:cs="Calibri"/>
                <w:color w:val="auto"/>
                <w:sz w:val="12"/>
                <w:szCs w:val="12"/>
              </w:rPr>
              <w:t>16 %</w:t>
            </w:r>
          </w:p>
        </w:tc>
        <w:tc>
          <w:tcPr>
            <w:tcW w:w="86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(17)%</w:t>
            </w:r>
          </w:p>
        </w:tc>
        <w:tc>
          <w:tcPr>
            <w:tcW w:w="1" w:type="dxa"/>
            <w:vAlign w:val="bottom"/>
          </w:tcPr>
          <w:p>
            <w:pPr>
              <w:spacing w:after="0"/>
              <w:rPr>
                <w:color w:val="auto"/>
                <w:sz w:val="1"/>
                <w:szCs w:val="1"/>
              </w:rPr>
            </w:pPr>
          </w:p>
        </w:tc>
      </w:tr>
      <w:tr>
        <w:tblPrEx>
          <w:tblInd w:w="0" w:type="dxa"/>
          <w:tblLayout w:type="fixed"/>
        </w:tblPrEx>
        <w:trPr>
          <w:trHeight w:val="147"/>
        </w:trPr>
        <w:tc>
          <w:tcPr>
            <w:tcW w:w="32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as a percent of net revenues</w:t>
            </w:r>
          </w:p>
        </w:tc>
        <w:tc>
          <w:tcPr>
            <w:tcW w:w="170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70 %</w:t>
            </w:r>
          </w:p>
        </w:tc>
        <w:tc>
          <w:tcPr>
            <w:tcW w:w="34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62 %</w:t>
            </w:r>
          </w:p>
        </w:tc>
        <w:tc>
          <w:tcPr>
            <w:tcW w:w="340" w:type="dxa"/>
            <w:tcBorders>
              <w:bottom w:val="single" w:sz="8" w:space="0" w:color="auto"/>
            </w:tcBorders>
            <w:vAlign w:val="bottom"/>
          </w:tcPr>
          <w:p>
            <w:pPr>
              <w:spacing w:after="0"/>
              <w:rPr>
                <w:color w:val="auto"/>
                <w:sz w:val="12"/>
                <w:szCs w:val="12"/>
              </w:rPr>
            </w:pPr>
          </w:p>
        </w:tc>
        <w:tc>
          <w:tcPr>
            <w:tcW w:w="1040" w:type="dxa"/>
            <w:tcBorders>
              <w:bottom w:val="single" w:sz="8" w:space="0" w:color="auto"/>
            </w:tcBorders>
            <w:vAlign w:val="bottom"/>
          </w:tcPr>
          <w:p>
            <w:pPr>
              <w:spacing w:after="0" w:line="142" w:lineRule="exact"/>
              <w:ind w:right="44"/>
              <w:jc w:val="right"/>
              <w:rPr>
                <w:color w:val="auto"/>
                <w:sz w:val="20"/>
                <w:szCs w:val="20"/>
              </w:rPr>
            </w:pPr>
            <w:r>
              <w:rPr>
                <w:rFonts w:ascii="Calibri" w:eastAsia="Calibri" w:hAnsi="Calibri" w:cs="Calibri"/>
                <w:color w:val="auto"/>
                <w:sz w:val="12"/>
                <w:szCs w:val="12"/>
              </w:rPr>
              <w:t>70 %</w:t>
            </w:r>
          </w:p>
        </w:tc>
        <w:tc>
          <w:tcPr>
            <w:tcW w:w="1720" w:type="dxa"/>
            <w:tcBorders>
              <w:bottom w:val="single" w:sz="8" w:space="0" w:color="auto"/>
            </w:tcBorders>
            <w:vAlign w:val="bottom"/>
          </w:tcPr>
          <w:p>
            <w:pPr>
              <w:spacing w:after="0"/>
              <w:rPr>
                <w:color w:val="auto"/>
                <w:sz w:val="12"/>
                <w:szCs w:val="12"/>
              </w:rPr>
            </w:pPr>
          </w:p>
        </w:tc>
        <w:tc>
          <w:tcPr>
            <w:tcW w:w="860" w:type="dxa"/>
            <w:tcBorders>
              <w:bottom w:val="single" w:sz="8" w:space="0" w:color="auto"/>
            </w:tcBorders>
            <w:vAlign w:val="bottom"/>
          </w:tcPr>
          <w:p>
            <w:pPr>
              <w:spacing w:after="0"/>
              <w:rPr>
                <w:color w:val="auto"/>
                <w:sz w:val="12"/>
                <w:szCs w:val="12"/>
              </w:rPr>
            </w:pPr>
          </w:p>
        </w:tc>
        <w:tc>
          <w:tcPr>
            <w:tcW w:w="1" w:type="dxa"/>
            <w:vAlign w:val="bottom"/>
          </w:tcPr>
          <w:p>
            <w:pPr>
              <w:spacing w:after="0"/>
              <w:rPr>
                <w:color w:val="auto"/>
                <w:sz w:val="1"/>
                <w:szCs w:val="1"/>
              </w:rPr>
            </w:pPr>
          </w:p>
        </w:tc>
      </w:tr>
    </w:tbl>
    <w:p>
      <w:pPr>
        <w:spacing w:after="0" w:line="134"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Gross margin as a percentage of net revenues in 2024 increased compared to 2023. Gross margin percentage for 2024 was favorably impacted by lower intangible asset impairment charges and lower amortzaton of intangibles.</w:t>
      </w:r>
    </w:p>
    <w:p>
      <w:pPr>
        <w:spacing w:after="0" w:line="235" w:lineRule="auto"/>
        <w:rPr>
          <w:color w:val="auto"/>
          <w:sz w:val="20"/>
          <w:szCs w:val="20"/>
        </w:rPr>
      </w:pPr>
      <w:r>
        <w:rPr>
          <w:rFonts w:ascii="Calibri" w:eastAsia="Calibri" w:hAnsi="Calibri" w:cs="Calibri"/>
          <w:color w:val="auto"/>
          <w:sz w:val="12"/>
          <w:szCs w:val="12"/>
        </w:rPr>
        <w:t>Intangible asset impairment charges were $3.6 billion in 2023.</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Selling, General and Administratve</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3220"/>
        <w:gridCol w:w="1700"/>
        <w:gridCol w:w="1000"/>
        <w:gridCol w:w="340"/>
        <w:gridCol w:w="1000"/>
        <w:gridCol w:w="340"/>
        <w:gridCol w:w="1040"/>
        <w:gridCol w:w="1740"/>
        <w:gridCol w:w="840"/>
        <w:gridCol w:w="20"/>
      </w:tblGrid>
      <w:tr>
        <w:tblPrEx>
          <w:tblInd w:w="0" w:type="dxa"/>
          <w:tblLayout w:type="fixed"/>
        </w:tblPrEx>
        <w:trPr>
          <w:trHeight w:val="122"/>
        </w:trPr>
        <w:tc>
          <w:tcPr>
            <w:tcW w:w="3220" w:type="dxa"/>
            <w:vAlign w:val="bottom"/>
          </w:tcPr>
          <w:p>
            <w:pPr>
              <w:spacing w:after="0"/>
              <w:rPr>
                <w:color w:val="auto"/>
                <w:sz w:val="10"/>
                <w:szCs w:val="10"/>
              </w:rPr>
            </w:pPr>
          </w:p>
        </w:tc>
        <w:tc>
          <w:tcPr>
            <w:tcW w:w="1700" w:type="dxa"/>
            <w:vAlign w:val="bottom"/>
          </w:tcPr>
          <w:p>
            <w:pPr>
              <w:spacing w:after="0"/>
              <w:rPr>
                <w:color w:val="auto"/>
                <w:sz w:val="10"/>
                <w:szCs w:val="10"/>
              </w:rPr>
            </w:pPr>
          </w:p>
        </w:tc>
        <w:tc>
          <w:tcPr>
            <w:tcW w:w="100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00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040" w:type="dxa"/>
            <w:vAlign w:val="bottom"/>
          </w:tcPr>
          <w:p>
            <w:pPr>
              <w:spacing w:after="0"/>
              <w:rPr>
                <w:color w:val="auto"/>
                <w:sz w:val="10"/>
                <w:szCs w:val="10"/>
              </w:rPr>
            </w:pPr>
          </w:p>
        </w:tc>
        <w:tc>
          <w:tcPr>
            <w:tcW w:w="1740" w:type="dxa"/>
            <w:vAlign w:val="bottom"/>
          </w:tcPr>
          <w:p>
            <w:pPr>
              <w:spacing w:after="0"/>
              <w:ind w:left="1000"/>
              <w:rPr>
                <w:color w:val="auto"/>
                <w:sz w:val="20"/>
                <w:szCs w:val="20"/>
              </w:rPr>
            </w:pPr>
            <w:r>
              <w:rPr>
                <w:rFonts w:ascii="Calibri" w:eastAsia="Calibri" w:hAnsi="Calibri" w:cs="Calibri"/>
                <w:b/>
                <w:bCs/>
                <w:color w:val="auto"/>
                <w:sz w:val="10"/>
                <w:szCs w:val="10"/>
              </w:rPr>
              <w:t>Percent change</w:t>
            </w:r>
          </w:p>
        </w:tc>
        <w:tc>
          <w:tcPr>
            <w:tcW w:w="84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3220" w:type="dxa"/>
            <w:vMerge w:val="restart"/>
            <w:vAlign w:val="bottom"/>
          </w:tcPr>
          <w:p>
            <w:pPr>
              <w:spacing w:after="0"/>
              <w:rPr>
                <w:color w:val="auto"/>
                <w:sz w:val="20"/>
                <w:szCs w:val="20"/>
              </w:rPr>
            </w:pPr>
            <w:r>
              <w:rPr>
                <w:rFonts w:ascii="Calibri" w:eastAsia="Calibri" w:hAnsi="Calibri" w:cs="Calibri"/>
                <w:b/>
                <w:bCs/>
                <w:color w:val="auto"/>
                <w:sz w:val="10"/>
                <w:szCs w:val="10"/>
              </w:rPr>
              <w:t>years ended December 31 (dollars in millions)</w:t>
            </w:r>
          </w:p>
        </w:tc>
        <w:tc>
          <w:tcPr>
            <w:tcW w:w="1700" w:type="dxa"/>
            <w:vAlign w:val="bottom"/>
          </w:tcPr>
          <w:p>
            <w:pPr>
              <w:spacing w:after="0"/>
              <w:rPr>
                <w:color w:val="auto"/>
                <w:sz w:val="2"/>
                <w:szCs w:val="2"/>
              </w:rPr>
            </w:pPr>
          </w:p>
        </w:tc>
        <w:tc>
          <w:tcPr>
            <w:tcW w:w="1000" w:type="dxa"/>
            <w:vMerge w:val="restart"/>
            <w:vAlign w:val="bottom"/>
          </w:tcPr>
          <w:p>
            <w:pPr>
              <w:spacing w:after="0"/>
              <w:ind w:right="524"/>
              <w:jc w:val="right"/>
              <w:rPr>
                <w:color w:val="auto"/>
                <w:sz w:val="20"/>
                <w:szCs w:val="20"/>
              </w:rPr>
            </w:pPr>
            <w:r>
              <w:rPr>
                <w:rFonts w:ascii="Calibri" w:eastAsia="Calibri" w:hAnsi="Calibri" w:cs="Calibri"/>
                <w:b/>
                <w:bCs/>
                <w:color w:val="auto"/>
                <w:sz w:val="10"/>
                <w:szCs w:val="10"/>
              </w:rPr>
              <w:t>2024</w:t>
            </w:r>
          </w:p>
        </w:tc>
        <w:tc>
          <w:tcPr>
            <w:tcW w:w="340" w:type="dxa"/>
            <w:vAlign w:val="bottom"/>
          </w:tcPr>
          <w:p>
            <w:pPr>
              <w:spacing w:after="0"/>
              <w:rPr>
                <w:color w:val="auto"/>
                <w:sz w:val="2"/>
                <w:szCs w:val="2"/>
              </w:rPr>
            </w:pPr>
          </w:p>
        </w:tc>
        <w:tc>
          <w:tcPr>
            <w:tcW w:w="1000" w:type="dxa"/>
            <w:vMerge w:val="restart"/>
            <w:vAlign w:val="bottom"/>
          </w:tcPr>
          <w:p>
            <w:pPr>
              <w:spacing w:after="0"/>
              <w:ind w:right="504"/>
              <w:jc w:val="right"/>
              <w:rPr>
                <w:color w:val="auto"/>
                <w:sz w:val="20"/>
                <w:szCs w:val="20"/>
              </w:rPr>
            </w:pPr>
            <w:r>
              <w:rPr>
                <w:rFonts w:ascii="Calibri" w:eastAsia="Calibri" w:hAnsi="Calibri" w:cs="Calibri"/>
                <w:b/>
                <w:bCs/>
                <w:color w:val="auto"/>
                <w:sz w:val="10"/>
                <w:szCs w:val="10"/>
              </w:rPr>
              <w:t>2023</w:t>
            </w:r>
          </w:p>
        </w:tc>
        <w:tc>
          <w:tcPr>
            <w:tcW w:w="340" w:type="dxa"/>
            <w:vAlign w:val="bottom"/>
          </w:tcPr>
          <w:p>
            <w:pPr>
              <w:spacing w:after="0"/>
              <w:rPr>
                <w:color w:val="auto"/>
                <w:sz w:val="2"/>
                <w:szCs w:val="2"/>
              </w:rPr>
            </w:pPr>
          </w:p>
        </w:tc>
        <w:tc>
          <w:tcPr>
            <w:tcW w:w="1040" w:type="dxa"/>
            <w:vMerge w:val="restart"/>
            <w:vAlign w:val="bottom"/>
          </w:tcPr>
          <w:p>
            <w:pPr>
              <w:spacing w:after="0"/>
              <w:ind w:right="544"/>
              <w:jc w:val="right"/>
              <w:rPr>
                <w:color w:val="auto"/>
                <w:sz w:val="20"/>
                <w:szCs w:val="20"/>
              </w:rPr>
            </w:pPr>
            <w:r>
              <w:rPr>
                <w:rFonts w:ascii="Calibri" w:eastAsia="Calibri" w:hAnsi="Calibri" w:cs="Calibri"/>
                <w:b/>
                <w:bCs/>
                <w:color w:val="auto"/>
                <w:sz w:val="10"/>
                <w:szCs w:val="10"/>
              </w:rPr>
              <w:t>2022</w:t>
            </w:r>
          </w:p>
        </w:tc>
        <w:tc>
          <w:tcPr>
            <w:tcW w:w="174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3220" w:type="dxa"/>
            <w:vMerge/>
            <w:vAlign w:val="bottom"/>
          </w:tcPr>
          <w:p>
            <w:pPr>
              <w:spacing w:after="0"/>
              <w:rPr>
                <w:color w:val="auto"/>
                <w:sz w:val="8"/>
                <w:szCs w:val="8"/>
              </w:rPr>
            </w:pPr>
          </w:p>
        </w:tc>
        <w:tc>
          <w:tcPr>
            <w:tcW w:w="1700" w:type="dxa"/>
            <w:vAlign w:val="bottom"/>
          </w:tcPr>
          <w:p>
            <w:pPr>
              <w:spacing w:after="0"/>
              <w:rPr>
                <w:color w:val="auto"/>
                <w:sz w:val="8"/>
                <w:szCs w:val="8"/>
              </w:rPr>
            </w:pPr>
          </w:p>
        </w:tc>
        <w:tc>
          <w:tcPr>
            <w:tcW w:w="1000" w:type="dxa"/>
            <w:vMerge/>
            <w:vAlign w:val="bottom"/>
          </w:tcPr>
          <w:p>
            <w:pPr>
              <w:spacing w:after="0"/>
              <w:rPr>
                <w:color w:val="auto"/>
                <w:sz w:val="8"/>
                <w:szCs w:val="8"/>
              </w:rPr>
            </w:pPr>
          </w:p>
        </w:tc>
        <w:tc>
          <w:tcPr>
            <w:tcW w:w="340" w:type="dxa"/>
            <w:vAlign w:val="bottom"/>
          </w:tcPr>
          <w:p>
            <w:pPr>
              <w:spacing w:after="0"/>
              <w:rPr>
                <w:color w:val="auto"/>
                <w:sz w:val="8"/>
                <w:szCs w:val="8"/>
              </w:rPr>
            </w:pPr>
          </w:p>
        </w:tc>
        <w:tc>
          <w:tcPr>
            <w:tcW w:w="1000" w:type="dxa"/>
            <w:vMerge/>
            <w:vAlign w:val="bottom"/>
          </w:tcPr>
          <w:p>
            <w:pPr>
              <w:spacing w:after="0"/>
              <w:rPr>
                <w:color w:val="auto"/>
                <w:sz w:val="8"/>
                <w:szCs w:val="8"/>
              </w:rPr>
            </w:pPr>
          </w:p>
        </w:tc>
        <w:tc>
          <w:tcPr>
            <w:tcW w:w="340" w:type="dxa"/>
            <w:vAlign w:val="bottom"/>
          </w:tcPr>
          <w:p>
            <w:pPr>
              <w:spacing w:after="0"/>
              <w:rPr>
                <w:color w:val="auto"/>
                <w:sz w:val="8"/>
                <w:szCs w:val="8"/>
              </w:rPr>
            </w:pPr>
          </w:p>
        </w:tc>
        <w:tc>
          <w:tcPr>
            <w:tcW w:w="1040" w:type="dxa"/>
            <w:vMerge/>
            <w:vAlign w:val="bottom"/>
          </w:tcPr>
          <w:p>
            <w:pPr>
              <w:spacing w:after="0"/>
              <w:rPr>
                <w:color w:val="auto"/>
                <w:sz w:val="8"/>
                <w:szCs w:val="8"/>
              </w:rPr>
            </w:pPr>
          </w:p>
        </w:tc>
        <w:tc>
          <w:tcPr>
            <w:tcW w:w="1740" w:type="dxa"/>
            <w:vAlign w:val="bottom"/>
          </w:tcPr>
          <w:p>
            <w:pPr>
              <w:spacing w:after="0" w:line="101" w:lineRule="exact"/>
              <w:ind w:right="968"/>
              <w:jc w:val="right"/>
              <w:rPr>
                <w:color w:val="auto"/>
                <w:sz w:val="20"/>
                <w:szCs w:val="20"/>
              </w:rPr>
            </w:pPr>
            <w:r>
              <w:rPr>
                <w:rFonts w:ascii="Calibri" w:eastAsia="Calibri" w:hAnsi="Calibri" w:cs="Calibri"/>
                <w:b/>
                <w:bCs/>
                <w:color w:val="auto"/>
                <w:sz w:val="10"/>
                <w:szCs w:val="10"/>
              </w:rPr>
              <w:t>2024</w:t>
            </w:r>
          </w:p>
        </w:tc>
        <w:tc>
          <w:tcPr>
            <w:tcW w:w="840" w:type="dxa"/>
            <w:vAlign w:val="bottom"/>
          </w:tcPr>
          <w:p>
            <w:pPr>
              <w:spacing w:after="0" w:line="101" w:lineRule="exact"/>
              <w:ind w:right="466"/>
              <w:jc w:val="right"/>
              <w:rPr>
                <w:color w:val="auto"/>
                <w:sz w:val="20"/>
                <w:szCs w:val="20"/>
              </w:rPr>
            </w:pPr>
            <w:r>
              <w:rPr>
                <w:rFonts w:ascii="Calibri" w:eastAsia="Calibri" w:hAnsi="Calibri" w:cs="Calibri"/>
                <w:b/>
                <w:bCs/>
                <w:color w:val="auto"/>
                <w:sz w:val="10"/>
                <w:szCs w:val="10"/>
              </w:rPr>
              <w:t>2023</w:t>
            </w:r>
          </w:p>
        </w:tc>
        <w:tc>
          <w:tcPr>
            <w:tcW w:w="1" w:type="dxa"/>
            <w:vAlign w:val="bottom"/>
          </w:tcPr>
          <w:p>
            <w:pPr>
              <w:spacing w:after="0"/>
              <w:rPr>
                <w:color w:val="auto"/>
                <w:sz w:val="1"/>
                <w:szCs w:val="1"/>
              </w:rPr>
            </w:pPr>
          </w:p>
        </w:tc>
      </w:tr>
      <w:tr>
        <w:tblPrEx>
          <w:tblInd w:w="0" w:type="dxa"/>
          <w:tblLayout w:type="fixed"/>
        </w:tblPrEx>
        <w:trPr>
          <w:trHeight w:val="23"/>
        </w:trPr>
        <w:tc>
          <w:tcPr>
            <w:tcW w:w="3220" w:type="dxa"/>
            <w:tcBorders>
              <w:bottom w:val="single" w:sz="8" w:space="0" w:color="auto"/>
            </w:tcBorders>
            <w:vAlign w:val="bottom"/>
          </w:tcPr>
          <w:p>
            <w:pPr>
              <w:spacing w:after="0"/>
              <w:rPr>
                <w:color w:val="auto"/>
                <w:sz w:val="2"/>
                <w:szCs w:val="2"/>
              </w:rPr>
            </w:pPr>
          </w:p>
        </w:tc>
        <w:tc>
          <w:tcPr>
            <w:tcW w:w="170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40" w:type="dxa"/>
            <w:tcBorders>
              <w:bottom w:val="single" w:sz="8" w:space="0" w:color="auto"/>
            </w:tcBorders>
            <w:vAlign w:val="bottom"/>
          </w:tcPr>
          <w:p>
            <w:pPr>
              <w:spacing w:after="0"/>
              <w:rPr>
                <w:color w:val="auto"/>
                <w:sz w:val="2"/>
                <w:szCs w:val="2"/>
              </w:rPr>
            </w:pPr>
          </w:p>
        </w:tc>
        <w:tc>
          <w:tcPr>
            <w:tcW w:w="174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42"/>
        </w:trPr>
        <w:tc>
          <w:tcPr>
            <w:tcW w:w="32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Selling, general and administratve</w:t>
            </w:r>
          </w:p>
        </w:tc>
        <w:tc>
          <w:tcPr>
            <w:tcW w:w="170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00" w:type="dxa"/>
            <w:shd w:val="clear" w:color="auto" w:fill="CCEEFF"/>
            <w:vAlign w:val="bottom"/>
          </w:tcPr>
          <w:p>
            <w:pPr>
              <w:spacing w:after="0" w:line="142" w:lineRule="exact"/>
              <w:ind w:right="104"/>
              <w:jc w:val="right"/>
              <w:rPr>
                <w:color w:val="auto"/>
                <w:sz w:val="20"/>
                <w:szCs w:val="20"/>
              </w:rPr>
            </w:pPr>
            <w:r>
              <w:rPr>
                <w:rFonts w:ascii="Calibri" w:eastAsia="Calibri" w:hAnsi="Calibri" w:cs="Calibri"/>
                <w:color w:val="auto"/>
                <w:sz w:val="12"/>
                <w:szCs w:val="12"/>
              </w:rPr>
              <w:t>14,752</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00" w:type="dxa"/>
            <w:shd w:val="clear" w:color="auto" w:fill="CCEEFF"/>
            <w:vAlign w:val="bottom"/>
          </w:tcPr>
          <w:p>
            <w:pPr>
              <w:spacing w:after="0" w:line="142" w:lineRule="exact"/>
              <w:ind w:right="104"/>
              <w:jc w:val="right"/>
              <w:rPr>
                <w:color w:val="auto"/>
                <w:sz w:val="20"/>
                <w:szCs w:val="20"/>
              </w:rPr>
            </w:pPr>
            <w:r>
              <w:rPr>
                <w:rFonts w:ascii="Calibri" w:eastAsia="Calibri" w:hAnsi="Calibri" w:cs="Calibri"/>
                <w:color w:val="auto"/>
                <w:sz w:val="12"/>
                <w:szCs w:val="12"/>
              </w:rPr>
              <w:t>12,872</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40" w:type="dxa"/>
            <w:shd w:val="clear" w:color="auto" w:fill="CCEEFF"/>
            <w:vAlign w:val="bottom"/>
          </w:tcPr>
          <w:p>
            <w:pPr>
              <w:spacing w:after="0" w:line="142" w:lineRule="exact"/>
              <w:ind w:right="144"/>
              <w:jc w:val="right"/>
              <w:rPr>
                <w:color w:val="auto"/>
                <w:sz w:val="20"/>
                <w:szCs w:val="20"/>
              </w:rPr>
            </w:pPr>
            <w:r>
              <w:rPr>
                <w:rFonts w:ascii="Calibri" w:eastAsia="Calibri" w:hAnsi="Calibri" w:cs="Calibri"/>
                <w:color w:val="auto"/>
                <w:sz w:val="12"/>
                <w:szCs w:val="12"/>
              </w:rPr>
              <w:t>15,260</w:t>
            </w:r>
          </w:p>
        </w:tc>
        <w:tc>
          <w:tcPr>
            <w:tcW w:w="1740" w:type="dxa"/>
            <w:shd w:val="clear" w:color="auto" w:fill="CCEEFF"/>
            <w:vAlign w:val="bottom"/>
          </w:tcPr>
          <w:p>
            <w:pPr>
              <w:spacing w:after="0" w:line="142" w:lineRule="exact"/>
              <w:ind w:left="1000"/>
              <w:rPr>
                <w:color w:val="auto"/>
                <w:sz w:val="20"/>
                <w:szCs w:val="20"/>
              </w:rPr>
            </w:pPr>
            <w:r>
              <w:rPr>
                <w:rFonts w:ascii="Calibri" w:eastAsia="Calibri" w:hAnsi="Calibri" w:cs="Calibri"/>
                <w:color w:val="auto"/>
                <w:sz w:val="12"/>
                <w:szCs w:val="12"/>
              </w:rPr>
              <w:t>15 %</w:t>
            </w:r>
          </w:p>
        </w:tc>
        <w:tc>
          <w:tcPr>
            <w:tcW w:w="84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(16)%</w:t>
            </w:r>
          </w:p>
        </w:tc>
        <w:tc>
          <w:tcPr>
            <w:tcW w:w="1" w:type="dxa"/>
            <w:vAlign w:val="bottom"/>
          </w:tcPr>
          <w:p>
            <w:pPr>
              <w:spacing w:after="0"/>
              <w:rPr>
                <w:color w:val="auto"/>
                <w:sz w:val="1"/>
                <w:szCs w:val="1"/>
              </w:rPr>
            </w:pPr>
          </w:p>
        </w:tc>
      </w:tr>
      <w:tr>
        <w:tblPrEx>
          <w:tblInd w:w="0" w:type="dxa"/>
          <w:tblLayout w:type="fixed"/>
        </w:tblPrEx>
        <w:trPr>
          <w:trHeight w:val="147"/>
        </w:trPr>
        <w:tc>
          <w:tcPr>
            <w:tcW w:w="32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as a percent of net revenues</w:t>
            </w:r>
          </w:p>
        </w:tc>
        <w:tc>
          <w:tcPr>
            <w:tcW w:w="170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26 %</w:t>
            </w:r>
          </w:p>
        </w:tc>
        <w:tc>
          <w:tcPr>
            <w:tcW w:w="34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24 %</w:t>
            </w:r>
          </w:p>
        </w:tc>
        <w:tc>
          <w:tcPr>
            <w:tcW w:w="340" w:type="dxa"/>
            <w:tcBorders>
              <w:bottom w:val="single" w:sz="8" w:space="0" w:color="auto"/>
            </w:tcBorders>
            <w:vAlign w:val="bottom"/>
          </w:tcPr>
          <w:p>
            <w:pPr>
              <w:spacing w:after="0"/>
              <w:rPr>
                <w:color w:val="auto"/>
                <w:sz w:val="12"/>
                <w:szCs w:val="12"/>
              </w:rPr>
            </w:pPr>
          </w:p>
        </w:tc>
        <w:tc>
          <w:tcPr>
            <w:tcW w:w="1040" w:type="dxa"/>
            <w:tcBorders>
              <w:bottom w:val="single" w:sz="8" w:space="0" w:color="auto"/>
            </w:tcBorders>
            <w:vAlign w:val="bottom"/>
          </w:tcPr>
          <w:p>
            <w:pPr>
              <w:spacing w:after="0" w:line="142" w:lineRule="exact"/>
              <w:ind w:right="24"/>
              <w:jc w:val="right"/>
              <w:rPr>
                <w:color w:val="auto"/>
                <w:sz w:val="20"/>
                <w:szCs w:val="20"/>
              </w:rPr>
            </w:pPr>
            <w:r>
              <w:rPr>
                <w:rFonts w:ascii="Calibri" w:eastAsia="Calibri" w:hAnsi="Calibri" w:cs="Calibri"/>
                <w:color w:val="auto"/>
                <w:sz w:val="12"/>
                <w:szCs w:val="12"/>
              </w:rPr>
              <w:t>26 %</w:t>
            </w:r>
          </w:p>
        </w:tc>
        <w:tc>
          <w:tcPr>
            <w:tcW w:w="1740" w:type="dxa"/>
            <w:tcBorders>
              <w:bottom w:val="single" w:sz="8" w:space="0" w:color="auto"/>
            </w:tcBorders>
            <w:vAlign w:val="bottom"/>
          </w:tcPr>
          <w:p>
            <w:pPr>
              <w:spacing w:after="0"/>
              <w:rPr>
                <w:color w:val="auto"/>
                <w:sz w:val="12"/>
                <w:szCs w:val="12"/>
              </w:rPr>
            </w:pPr>
          </w:p>
        </w:tc>
        <w:tc>
          <w:tcPr>
            <w:tcW w:w="840" w:type="dxa"/>
            <w:tcBorders>
              <w:bottom w:val="single" w:sz="8" w:space="0" w:color="auto"/>
            </w:tcBorders>
            <w:vAlign w:val="bottom"/>
          </w:tcPr>
          <w:p>
            <w:pPr>
              <w:spacing w:after="0"/>
              <w:rPr>
                <w:color w:val="auto"/>
                <w:sz w:val="12"/>
                <w:szCs w:val="12"/>
              </w:rPr>
            </w:pPr>
          </w:p>
        </w:tc>
        <w:tc>
          <w:tcPr>
            <w:tcW w:w="1" w:type="dxa"/>
            <w:vAlign w:val="bottom"/>
          </w:tcPr>
          <w:p>
            <w:pPr>
              <w:spacing w:after="0"/>
              <w:rPr>
                <w:color w:val="auto"/>
                <w:sz w:val="1"/>
                <w:szCs w:val="1"/>
              </w:rPr>
            </w:pPr>
          </w:p>
        </w:tc>
      </w:tr>
    </w:tbl>
    <w:p>
      <w:pPr>
        <w:spacing w:after="0" w:line="138"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Selling, general and administratve (SG&amp;A) expenses as a percentage of net revenues increased in 2024 compared to 2023. SG&amp;A expense was unfavorably impacted by litgaton reserve charges of $910 million in 2024 compared to income of $485 million in 2023 and acquisiton and integraton costs incurred in connecton with the ImmunoGen and Cerevel Therapeutcs acquisitons including cash-setled, post-closing expense for both ImmunoGen and Cerevel Therapeutcs employee incentve awards. The SG&amp;A expense percentage increase in 2024 was partally ofset by the favorable impact of leverage from revenue growth. See Note 5 to the Consolidated Financial Statements for additonal informaton.</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Research and Development</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3220"/>
        <w:gridCol w:w="1700"/>
        <w:gridCol w:w="1000"/>
        <w:gridCol w:w="340"/>
        <w:gridCol w:w="1000"/>
        <w:gridCol w:w="340"/>
        <w:gridCol w:w="1040"/>
        <w:gridCol w:w="1740"/>
        <w:gridCol w:w="840"/>
        <w:gridCol w:w="20"/>
      </w:tblGrid>
      <w:tr>
        <w:tblPrEx>
          <w:tblInd w:w="0" w:type="dxa"/>
          <w:tblLayout w:type="fixed"/>
        </w:tblPrEx>
        <w:trPr>
          <w:trHeight w:val="122"/>
        </w:trPr>
        <w:tc>
          <w:tcPr>
            <w:tcW w:w="3220" w:type="dxa"/>
            <w:vAlign w:val="bottom"/>
          </w:tcPr>
          <w:p>
            <w:pPr>
              <w:spacing w:after="0"/>
              <w:rPr>
                <w:color w:val="auto"/>
                <w:sz w:val="10"/>
                <w:szCs w:val="10"/>
              </w:rPr>
            </w:pPr>
          </w:p>
        </w:tc>
        <w:tc>
          <w:tcPr>
            <w:tcW w:w="1700" w:type="dxa"/>
            <w:vAlign w:val="bottom"/>
          </w:tcPr>
          <w:p>
            <w:pPr>
              <w:spacing w:after="0"/>
              <w:rPr>
                <w:color w:val="auto"/>
                <w:sz w:val="10"/>
                <w:szCs w:val="10"/>
              </w:rPr>
            </w:pPr>
          </w:p>
        </w:tc>
        <w:tc>
          <w:tcPr>
            <w:tcW w:w="100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00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040" w:type="dxa"/>
            <w:vAlign w:val="bottom"/>
          </w:tcPr>
          <w:p>
            <w:pPr>
              <w:spacing w:after="0"/>
              <w:rPr>
                <w:color w:val="auto"/>
                <w:sz w:val="10"/>
                <w:szCs w:val="10"/>
              </w:rPr>
            </w:pPr>
          </w:p>
        </w:tc>
        <w:tc>
          <w:tcPr>
            <w:tcW w:w="1740" w:type="dxa"/>
            <w:vAlign w:val="bottom"/>
          </w:tcPr>
          <w:p>
            <w:pPr>
              <w:spacing w:after="0"/>
              <w:ind w:left="1000"/>
              <w:rPr>
                <w:color w:val="auto"/>
                <w:sz w:val="20"/>
                <w:szCs w:val="20"/>
              </w:rPr>
            </w:pPr>
            <w:r>
              <w:rPr>
                <w:rFonts w:ascii="Calibri" w:eastAsia="Calibri" w:hAnsi="Calibri" w:cs="Calibri"/>
                <w:b/>
                <w:bCs/>
                <w:color w:val="auto"/>
                <w:sz w:val="10"/>
                <w:szCs w:val="10"/>
              </w:rPr>
              <w:t>Percent change</w:t>
            </w:r>
          </w:p>
        </w:tc>
        <w:tc>
          <w:tcPr>
            <w:tcW w:w="84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3220" w:type="dxa"/>
            <w:vMerge w:val="restart"/>
            <w:vAlign w:val="bottom"/>
          </w:tcPr>
          <w:p>
            <w:pPr>
              <w:spacing w:after="0"/>
              <w:rPr>
                <w:color w:val="auto"/>
                <w:sz w:val="20"/>
                <w:szCs w:val="20"/>
              </w:rPr>
            </w:pPr>
            <w:r>
              <w:rPr>
                <w:rFonts w:ascii="Calibri" w:eastAsia="Calibri" w:hAnsi="Calibri" w:cs="Calibri"/>
                <w:b/>
                <w:bCs/>
                <w:color w:val="auto"/>
                <w:sz w:val="10"/>
                <w:szCs w:val="10"/>
              </w:rPr>
              <w:t>years ended December 31 (dollars in millions)</w:t>
            </w:r>
          </w:p>
        </w:tc>
        <w:tc>
          <w:tcPr>
            <w:tcW w:w="1700" w:type="dxa"/>
            <w:vAlign w:val="bottom"/>
          </w:tcPr>
          <w:p>
            <w:pPr>
              <w:spacing w:after="0"/>
              <w:rPr>
                <w:color w:val="auto"/>
                <w:sz w:val="2"/>
                <w:szCs w:val="2"/>
              </w:rPr>
            </w:pPr>
          </w:p>
        </w:tc>
        <w:tc>
          <w:tcPr>
            <w:tcW w:w="1000" w:type="dxa"/>
            <w:vMerge w:val="restart"/>
            <w:vAlign w:val="bottom"/>
          </w:tcPr>
          <w:p>
            <w:pPr>
              <w:spacing w:after="0"/>
              <w:ind w:right="524"/>
              <w:jc w:val="right"/>
              <w:rPr>
                <w:color w:val="auto"/>
                <w:sz w:val="20"/>
                <w:szCs w:val="20"/>
              </w:rPr>
            </w:pPr>
            <w:r>
              <w:rPr>
                <w:rFonts w:ascii="Calibri" w:eastAsia="Calibri" w:hAnsi="Calibri" w:cs="Calibri"/>
                <w:b/>
                <w:bCs/>
                <w:color w:val="auto"/>
                <w:sz w:val="10"/>
                <w:szCs w:val="10"/>
              </w:rPr>
              <w:t>2024</w:t>
            </w:r>
          </w:p>
        </w:tc>
        <w:tc>
          <w:tcPr>
            <w:tcW w:w="340" w:type="dxa"/>
            <w:vAlign w:val="bottom"/>
          </w:tcPr>
          <w:p>
            <w:pPr>
              <w:spacing w:after="0"/>
              <w:rPr>
                <w:color w:val="auto"/>
                <w:sz w:val="2"/>
                <w:szCs w:val="2"/>
              </w:rPr>
            </w:pPr>
          </w:p>
        </w:tc>
        <w:tc>
          <w:tcPr>
            <w:tcW w:w="1000" w:type="dxa"/>
            <w:vMerge w:val="restart"/>
            <w:vAlign w:val="bottom"/>
          </w:tcPr>
          <w:p>
            <w:pPr>
              <w:spacing w:after="0"/>
              <w:ind w:right="504"/>
              <w:jc w:val="right"/>
              <w:rPr>
                <w:color w:val="auto"/>
                <w:sz w:val="20"/>
                <w:szCs w:val="20"/>
              </w:rPr>
            </w:pPr>
            <w:r>
              <w:rPr>
                <w:rFonts w:ascii="Calibri" w:eastAsia="Calibri" w:hAnsi="Calibri" w:cs="Calibri"/>
                <w:b/>
                <w:bCs/>
                <w:color w:val="auto"/>
                <w:sz w:val="10"/>
                <w:szCs w:val="10"/>
              </w:rPr>
              <w:t>2023</w:t>
            </w:r>
          </w:p>
        </w:tc>
        <w:tc>
          <w:tcPr>
            <w:tcW w:w="340" w:type="dxa"/>
            <w:vAlign w:val="bottom"/>
          </w:tcPr>
          <w:p>
            <w:pPr>
              <w:spacing w:after="0"/>
              <w:rPr>
                <w:color w:val="auto"/>
                <w:sz w:val="2"/>
                <w:szCs w:val="2"/>
              </w:rPr>
            </w:pPr>
          </w:p>
        </w:tc>
        <w:tc>
          <w:tcPr>
            <w:tcW w:w="1040" w:type="dxa"/>
            <w:vMerge w:val="restart"/>
            <w:vAlign w:val="bottom"/>
          </w:tcPr>
          <w:p>
            <w:pPr>
              <w:spacing w:after="0"/>
              <w:ind w:right="544"/>
              <w:jc w:val="right"/>
              <w:rPr>
                <w:color w:val="auto"/>
                <w:sz w:val="20"/>
                <w:szCs w:val="20"/>
              </w:rPr>
            </w:pPr>
            <w:r>
              <w:rPr>
                <w:rFonts w:ascii="Calibri" w:eastAsia="Calibri" w:hAnsi="Calibri" w:cs="Calibri"/>
                <w:b/>
                <w:bCs/>
                <w:color w:val="auto"/>
                <w:sz w:val="10"/>
                <w:szCs w:val="10"/>
              </w:rPr>
              <w:t>2022</w:t>
            </w:r>
          </w:p>
        </w:tc>
        <w:tc>
          <w:tcPr>
            <w:tcW w:w="174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3220" w:type="dxa"/>
            <w:vMerge/>
            <w:vAlign w:val="bottom"/>
          </w:tcPr>
          <w:p>
            <w:pPr>
              <w:spacing w:after="0"/>
              <w:rPr>
                <w:color w:val="auto"/>
                <w:sz w:val="8"/>
                <w:szCs w:val="8"/>
              </w:rPr>
            </w:pPr>
          </w:p>
        </w:tc>
        <w:tc>
          <w:tcPr>
            <w:tcW w:w="1700" w:type="dxa"/>
            <w:vAlign w:val="bottom"/>
          </w:tcPr>
          <w:p>
            <w:pPr>
              <w:spacing w:after="0"/>
              <w:rPr>
                <w:color w:val="auto"/>
                <w:sz w:val="8"/>
                <w:szCs w:val="8"/>
              </w:rPr>
            </w:pPr>
          </w:p>
        </w:tc>
        <w:tc>
          <w:tcPr>
            <w:tcW w:w="1000" w:type="dxa"/>
            <w:vMerge/>
            <w:vAlign w:val="bottom"/>
          </w:tcPr>
          <w:p>
            <w:pPr>
              <w:spacing w:after="0"/>
              <w:rPr>
                <w:color w:val="auto"/>
                <w:sz w:val="8"/>
                <w:szCs w:val="8"/>
              </w:rPr>
            </w:pPr>
          </w:p>
        </w:tc>
        <w:tc>
          <w:tcPr>
            <w:tcW w:w="340" w:type="dxa"/>
            <w:vAlign w:val="bottom"/>
          </w:tcPr>
          <w:p>
            <w:pPr>
              <w:spacing w:after="0"/>
              <w:rPr>
                <w:color w:val="auto"/>
                <w:sz w:val="8"/>
                <w:szCs w:val="8"/>
              </w:rPr>
            </w:pPr>
          </w:p>
        </w:tc>
        <w:tc>
          <w:tcPr>
            <w:tcW w:w="1000" w:type="dxa"/>
            <w:vMerge/>
            <w:vAlign w:val="bottom"/>
          </w:tcPr>
          <w:p>
            <w:pPr>
              <w:spacing w:after="0"/>
              <w:rPr>
                <w:color w:val="auto"/>
                <w:sz w:val="8"/>
                <w:szCs w:val="8"/>
              </w:rPr>
            </w:pPr>
          </w:p>
        </w:tc>
        <w:tc>
          <w:tcPr>
            <w:tcW w:w="340" w:type="dxa"/>
            <w:vAlign w:val="bottom"/>
          </w:tcPr>
          <w:p>
            <w:pPr>
              <w:spacing w:after="0"/>
              <w:rPr>
                <w:color w:val="auto"/>
                <w:sz w:val="8"/>
                <w:szCs w:val="8"/>
              </w:rPr>
            </w:pPr>
          </w:p>
        </w:tc>
        <w:tc>
          <w:tcPr>
            <w:tcW w:w="1040" w:type="dxa"/>
            <w:vMerge/>
            <w:vAlign w:val="bottom"/>
          </w:tcPr>
          <w:p>
            <w:pPr>
              <w:spacing w:after="0"/>
              <w:rPr>
                <w:color w:val="auto"/>
                <w:sz w:val="8"/>
                <w:szCs w:val="8"/>
              </w:rPr>
            </w:pPr>
          </w:p>
        </w:tc>
        <w:tc>
          <w:tcPr>
            <w:tcW w:w="1740" w:type="dxa"/>
            <w:vAlign w:val="bottom"/>
          </w:tcPr>
          <w:p>
            <w:pPr>
              <w:spacing w:after="0" w:line="101" w:lineRule="exact"/>
              <w:ind w:right="968"/>
              <w:jc w:val="right"/>
              <w:rPr>
                <w:color w:val="auto"/>
                <w:sz w:val="20"/>
                <w:szCs w:val="20"/>
              </w:rPr>
            </w:pPr>
            <w:r>
              <w:rPr>
                <w:rFonts w:ascii="Calibri" w:eastAsia="Calibri" w:hAnsi="Calibri" w:cs="Calibri"/>
                <w:b/>
                <w:bCs/>
                <w:color w:val="auto"/>
                <w:sz w:val="10"/>
                <w:szCs w:val="10"/>
              </w:rPr>
              <w:t>2024</w:t>
            </w:r>
          </w:p>
        </w:tc>
        <w:tc>
          <w:tcPr>
            <w:tcW w:w="840" w:type="dxa"/>
            <w:vAlign w:val="bottom"/>
          </w:tcPr>
          <w:p>
            <w:pPr>
              <w:spacing w:after="0" w:line="101" w:lineRule="exact"/>
              <w:ind w:right="466"/>
              <w:jc w:val="right"/>
              <w:rPr>
                <w:color w:val="auto"/>
                <w:sz w:val="20"/>
                <w:szCs w:val="20"/>
              </w:rPr>
            </w:pPr>
            <w:r>
              <w:rPr>
                <w:rFonts w:ascii="Calibri" w:eastAsia="Calibri" w:hAnsi="Calibri" w:cs="Calibri"/>
                <w:b/>
                <w:bCs/>
                <w:color w:val="auto"/>
                <w:sz w:val="10"/>
                <w:szCs w:val="10"/>
              </w:rPr>
              <w:t>2023</w:t>
            </w:r>
          </w:p>
        </w:tc>
        <w:tc>
          <w:tcPr>
            <w:tcW w:w="1" w:type="dxa"/>
            <w:vAlign w:val="bottom"/>
          </w:tcPr>
          <w:p>
            <w:pPr>
              <w:spacing w:after="0"/>
              <w:rPr>
                <w:color w:val="auto"/>
                <w:sz w:val="1"/>
                <w:szCs w:val="1"/>
              </w:rPr>
            </w:pPr>
          </w:p>
        </w:tc>
      </w:tr>
      <w:tr>
        <w:tblPrEx>
          <w:tblInd w:w="0" w:type="dxa"/>
          <w:tblLayout w:type="fixed"/>
        </w:tblPrEx>
        <w:trPr>
          <w:trHeight w:val="23"/>
        </w:trPr>
        <w:tc>
          <w:tcPr>
            <w:tcW w:w="3220" w:type="dxa"/>
            <w:tcBorders>
              <w:bottom w:val="single" w:sz="8" w:space="0" w:color="auto"/>
            </w:tcBorders>
            <w:vAlign w:val="bottom"/>
          </w:tcPr>
          <w:p>
            <w:pPr>
              <w:spacing w:after="0"/>
              <w:rPr>
                <w:color w:val="auto"/>
                <w:sz w:val="2"/>
                <w:szCs w:val="2"/>
              </w:rPr>
            </w:pPr>
          </w:p>
        </w:tc>
        <w:tc>
          <w:tcPr>
            <w:tcW w:w="170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40" w:type="dxa"/>
            <w:tcBorders>
              <w:bottom w:val="single" w:sz="8" w:space="0" w:color="auto"/>
            </w:tcBorders>
            <w:vAlign w:val="bottom"/>
          </w:tcPr>
          <w:p>
            <w:pPr>
              <w:spacing w:after="0"/>
              <w:rPr>
                <w:color w:val="auto"/>
                <w:sz w:val="2"/>
                <w:szCs w:val="2"/>
              </w:rPr>
            </w:pPr>
          </w:p>
        </w:tc>
        <w:tc>
          <w:tcPr>
            <w:tcW w:w="174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42"/>
        </w:trPr>
        <w:tc>
          <w:tcPr>
            <w:tcW w:w="32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Research and development</w:t>
            </w:r>
          </w:p>
        </w:tc>
        <w:tc>
          <w:tcPr>
            <w:tcW w:w="170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00" w:type="dxa"/>
            <w:shd w:val="clear" w:color="auto" w:fill="CCEEFF"/>
            <w:vAlign w:val="bottom"/>
          </w:tcPr>
          <w:p>
            <w:pPr>
              <w:spacing w:after="0" w:line="142" w:lineRule="exact"/>
              <w:ind w:right="104"/>
              <w:jc w:val="right"/>
              <w:rPr>
                <w:color w:val="auto"/>
                <w:sz w:val="20"/>
                <w:szCs w:val="20"/>
              </w:rPr>
            </w:pPr>
            <w:r>
              <w:rPr>
                <w:rFonts w:ascii="Calibri" w:eastAsia="Calibri" w:hAnsi="Calibri" w:cs="Calibri"/>
                <w:color w:val="auto"/>
                <w:sz w:val="12"/>
                <w:szCs w:val="12"/>
              </w:rPr>
              <w:t>12,791</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00" w:type="dxa"/>
            <w:shd w:val="clear" w:color="auto" w:fill="CCEEFF"/>
            <w:vAlign w:val="bottom"/>
          </w:tcPr>
          <w:p>
            <w:pPr>
              <w:spacing w:after="0" w:line="142" w:lineRule="exact"/>
              <w:ind w:right="104"/>
              <w:jc w:val="right"/>
              <w:rPr>
                <w:color w:val="auto"/>
                <w:sz w:val="20"/>
                <w:szCs w:val="20"/>
              </w:rPr>
            </w:pPr>
            <w:r>
              <w:rPr>
                <w:rFonts w:ascii="Calibri" w:eastAsia="Calibri" w:hAnsi="Calibri" w:cs="Calibri"/>
                <w:color w:val="auto"/>
                <w:sz w:val="12"/>
                <w:szCs w:val="12"/>
              </w:rPr>
              <w:t>7,675</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040" w:type="dxa"/>
            <w:shd w:val="clear" w:color="auto" w:fill="CCEEFF"/>
            <w:vAlign w:val="bottom"/>
          </w:tcPr>
          <w:p>
            <w:pPr>
              <w:spacing w:after="0" w:line="142" w:lineRule="exact"/>
              <w:ind w:right="144"/>
              <w:jc w:val="right"/>
              <w:rPr>
                <w:color w:val="auto"/>
                <w:sz w:val="20"/>
                <w:szCs w:val="20"/>
              </w:rPr>
            </w:pPr>
            <w:r>
              <w:rPr>
                <w:rFonts w:ascii="Calibri" w:eastAsia="Calibri" w:hAnsi="Calibri" w:cs="Calibri"/>
                <w:color w:val="auto"/>
                <w:sz w:val="12"/>
                <w:szCs w:val="12"/>
              </w:rPr>
              <w:t>6,510</w:t>
            </w:r>
          </w:p>
        </w:tc>
        <w:tc>
          <w:tcPr>
            <w:tcW w:w="1740" w:type="dxa"/>
            <w:shd w:val="clear" w:color="auto" w:fill="CCEEFF"/>
            <w:vAlign w:val="bottom"/>
          </w:tcPr>
          <w:p>
            <w:pPr>
              <w:spacing w:after="0" w:line="142" w:lineRule="exact"/>
              <w:ind w:left="1000"/>
              <w:rPr>
                <w:color w:val="auto"/>
                <w:sz w:val="20"/>
                <w:szCs w:val="20"/>
              </w:rPr>
            </w:pPr>
            <w:r>
              <w:rPr>
                <w:rFonts w:ascii="Calibri" w:eastAsia="Calibri" w:hAnsi="Calibri" w:cs="Calibri"/>
                <w:color w:val="auto"/>
                <w:sz w:val="12"/>
                <w:szCs w:val="12"/>
              </w:rPr>
              <w:t>67 %</w:t>
            </w:r>
          </w:p>
        </w:tc>
        <w:tc>
          <w:tcPr>
            <w:tcW w:w="84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18 %</w:t>
            </w:r>
          </w:p>
        </w:tc>
        <w:tc>
          <w:tcPr>
            <w:tcW w:w="1" w:type="dxa"/>
            <w:vAlign w:val="bottom"/>
          </w:tcPr>
          <w:p>
            <w:pPr>
              <w:spacing w:after="0"/>
              <w:rPr>
                <w:color w:val="auto"/>
                <w:sz w:val="1"/>
                <w:szCs w:val="1"/>
              </w:rPr>
            </w:pPr>
          </w:p>
        </w:tc>
      </w:tr>
      <w:tr>
        <w:tblPrEx>
          <w:tblInd w:w="0" w:type="dxa"/>
          <w:tblLayout w:type="fixed"/>
        </w:tblPrEx>
        <w:trPr>
          <w:trHeight w:val="147"/>
        </w:trPr>
        <w:tc>
          <w:tcPr>
            <w:tcW w:w="32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as a percent of net revenues</w:t>
            </w:r>
          </w:p>
        </w:tc>
        <w:tc>
          <w:tcPr>
            <w:tcW w:w="170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23 %</w:t>
            </w:r>
          </w:p>
        </w:tc>
        <w:tc>
          <w:tcPr>
            <w:tcW w:w="34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14 %</w:t>
            </w:r>
          </w:p>
        </w:tc>
        <w:tc>
          <w:tcPr>
            <w:tcW w:w="340" w:type="dxa"/>
            <w:tcBorders>
              <w:bottom w:val="single" w:sz="8" w:space="0" w:color="auto"/>
            </w:tcBorders>
            <w:vAlign w:val="bottom"/>
          </w:tcPr>
          <w:p>
            <w:pPr>
              <w:spacing w:after="0"/>
              <w:rPr>
                <w:color w:val="auto"/>
                <w:sz w:val="12"/>
                <w:szCs w:val="12"/>
              </w:rPr>
            </w:pPr>
          </w:p>
        </w:tc>
        <w:tc>
          <w:tcPr>
            <w:tcW w:w="1040" w:type="dxa"/>
            <w:tcBorders>
              <w:bottom w:val="single" w:sz="8" w:space="0" w:color="auto"/>
            </w:tcBorders>
            <w:vAlign w:val="bottom"/>
          </w:tcPr>
          <w:p>
            <w:pPr>
              <w:spacing w:after="0" w:line="142" w:lineRule="exact"/>
              <w:ind w:right="24"/>
              <w:jc w:val="right"/>
              <w:rPr>
                <w:color w:val="auto"/>
                <w:sz w:val="20"/>
                <w:szCs w:val="20"/>
              </w:rPr>
            </w:pPr>
            <w:r>
              <w:rPr>
                <w:rFonts w:ascii="Calibri" w:eastAsia="Calibri" w:hAnsi="Calibri" w:cs="Calibri"/>
                <w:color w:val="auto"/>
                <w:sz w:val="12"/>
                <w:szCs w:val="12"/>
              </w:rPr>
              <w:t>11 %</w:t>
            </w:r>
          </w:p>
        </w:tc>
        <w:tc>
          <w:tcPr>
            <w:tcW w:w="1740" w:type="dxa"/>
            <w:tcBorders>
              <w:bottom w:val="single" w:sz="8" w:space="0" w:color="auto"/>
            </w:tcBorders>
            <w:vAlign w:val="bottom"/>
          </w:tcPr>
          <w:p>
            <w:pPr>
              <w:spacing w:after="0"/>
              <w:rPr>
                <w:color w:val="auto"/>
                <w:sz w:val="12"/>
                <w:szCs w:val="12"/>
              </w:rPr>
            </w:pPr>
          </w:p>
        </w:tc>
        <w:tc>
          <w:tcPr>
            <w:tcW w:w="840" w:type="dxa"/>
            <w:tcBorders>
              <w:bottom w:val="single" w:sz="8" w:space="0" w:color="auto"/>
            </w:tcBorders>
            <w:vAlign w:val="bottom"/>
          </w:tcPr>
          <w:p>
            <w:pPr>
              <w:spacing w:after="0"/>
              <w:rPr>
                <w:color w:val="auto"/>
                <w:sz w:val="12"/>
                <w:szCs w:val="12"/>
              </w:rPr>
            </w:pPr>
          </w:p>
        </w:tc>
        <w:tc>
          <w:tcPr>
            <w:tcW w:w="1" w:type="dxa"/>
            <w:vAlign w:val="bottom"/>
          </w:tcPr>
          <w:p>
            <w:pPr>
              <w:spacing w:after="0"/>
              <w:rPr>
                <w:color w:val="auto"/>
                <w:sz w:val="1"/>
                <w:szCs w:val="1"/>
              </w:rPr>
            </w:pPr>
          </w:p>
        </w:tc>
      </w:tr>
    </w:tbl>
    <w:p>
      <w:pPr>
        <w:spacing w:after="0" w:line="129"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Research and development (R&amp;D) expenses as a percentage of net revenues increased in 2024 compared to 2023. R&amp;D expense percentage for 2024 was unfavorably impacted by the intangible asset impairment charge of $4.5 billion related to emraclidine compared to an intangible asset impairment charge of $630 million in 2023, increased funding to support all stages of the company's pipeline assets and acquisiton and integraton costs incurred in connecton with the ImmunoGen and Cerevel Therapeutcs acquisitons including cash-setled, post-closing expense for employee incentve awards. See Note 5 to the Consolidated Financial Statements for additonal informaton.</w:t>
      </w:r>
    </w:p>
    <w:p>
      <w:pPr>
        <w:spacing w:after="0" w:line="200" w:lineRule="exact"/>
        <w:rPr>
          <w:color w:val="auto"/>
          <w:sz w:val="20"/>
          <w:szCs w:val="20"/>
        </w:rPr>
      </w:pPr>
    </w:p>
    <w:p>
      <w:pPr>
        <w:spacing w:after="0" w:line="267"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41</w:t>
      </w:r>
      <w:r>
        <w:rPr>
          <w:color w:val="auto"/>
          <w:sz w:val="20"/>
          <w:szCs w:val="20"/>
        </w:rPr>
        <w:tab/>
      </w:r>
      <w:r>
        <w:rPr>
          <w:color w:val="auto"/>
          <w:sz w:val="1"/>
          <w:szCs w:val="1"/>
        </w:rPr>
        <w:drawing>
          <wp:inline distT="0" distB="0" distL="0" distR="0">
            <wp:extent cx="400050" cy="7429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65760" behindDoc="1" locked="0" layoutInCell="0" allowOverlap="1">
            <wp:simplePos x="0" y="0"/>
            <wp:positionH relativeFrom="column">
              <wp:posOffset>-17145</wp:posOffset>
            </wp:positionH>
            <wp:positionV relativeFrom="paragraph">
              <wp:posOffset>128270</wp:posOffset>
            </wp:positionV>
            <wp:extent cx="7203440" cy="3683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43" w:name="page44"/>
    <w:bookmarkEnd w:id="43"/>
    <w:p>
      <w:pPr>
        <w:spacing w:after="0"/>
        <w:rPr>
          <w:color w:val="auto"/>
          <w:sz w:val="20"/>
          <w:szCs w:val="20"/>
        </w:rPr>
      </w:pPr>
      <w:r>
        <w:rPr>
          <w:rFonts w:ascii="Calibri" w:eastAsia="Calibri" w:hAnsi="Calibri" w:cs="Calibri"/>
          <w:b/>
          <w:bCs/>
          <w:color w:val="444867"/>
          <w:sz w:val="12"/>
          <w:szCs w:val="12"/>
        </w:rPr>
        <w:t>Acquired IPR&amp;D and Milestones</w:t>
      </w:r>
    </w:p>
    <w:p>
      <w:pPr>
        <w:spacing w:after="0" w:line="160" w:lineRule="exact"/>
        <w:rPr>
          <w:color w:val="auto"/>
          <w:sz w:val="20"/>
          <w:szCs w:val="20"/>
        </w:rPr>
      </w:pPr>
    </w:p>
    <w:tbl>
      <w:tblPr>
        <w:tblInd w:w="0" w:type="dxa"/>
        <w:tblLayout w:type="fixed"/>
        <w:tblCellMar>
          <w:top w:w="0" w:type="dxa"/>
          <w:left w:w="0" w:type="dxa"/>
          <w:bottom w:w="0" w:type="dxa"/>
          <w:right w:w="0" w:type="dxa"/>
        </w:tblCellMar>
      </w:tblPr>
      <w:tblGrid>
        <w:gridCol w:w="4520"/>
        <w:gridCol w:w="3260"/>
        <w:gridCol w:w="960"/>
        <w:gridCol w:w="340"/>
        <w:gridCol w:w="940"/>
        <w:gridCol w:w="360"/>
        <w:gridCol w:w="920"/>
      </w:tblGrid>
      <w:tr>
        <w:tblPrEx>
          <w:tblInd w:w="0" w:type="dxa"/>
          <w:tblLayout w:type="fixed"/>
        </w:tblPrEx>
        <w:trPr>
          <w:trHeight w:val="122"/>
        </w:trPr>
        <w:tc>
          <w:tcPr>
            <w:tcW w:w="452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3260" w:type="dxa"/>
            <w:vAlign w:val="bottom"/>
          </w:tcPr>
          <w:p>
            <w:pPr>
              <w:spacing w:after="0"/>
              <w:rPr>
                <w:color w:val="auto"/>
                <w:sz w:val="10"/>
                <w:szCs w:val="10"/>
              </w:rPr>
            </w:pPr>
          </w:p>
        </w:tc>
        <w:tc>
          <w:tcPr>
            <w:tcW w:w="960" w:type="dxa"/>
            <w:vAlign w:val="bottom"/>
          </w:tcPr>
          <w:p>
            <w:pPr>
              <w:spacing w:after="0"/>
              <w:ind w:right="483"/>
              <w:jc w:val="right"/>
              <w:rPr>
                <w:color w:val="auto"/>
                <w:sz w:val="20"/>
                <w:szCs w:val="20"/>
              </w:rPr>
            </w:pPr>
            <w:r>
              <w:rPr>
                <w:rFonts w:ascii="Calibri" w:eastAsia="Calibri" w:hAnsi="Calibri" w:cs="Calibri"/>
                <w:b/>
                <w:bCs/>
                <w:color w:val="auto"/>
                <w:sz w:val="10"/>
                <w:szCs w:val="10"/>
              </w:rPr>
              <w:t>2024</w:t>
            </w:r>
          </w:p>
        </w:tc>
        <w:tc>
          <w:tcPr>
            <w:tcW w:w="340" w:type="dxa"/>
            <w:vAlign w:val="bottom"/>
          </w:tcPr>
          <w:p>
            <w:pPr>
              <w:spacing w:after="0"/>
              <w:rPr>
                <w:color w:val="auto"/>
                <w:sz w:val="10"/>
                <w:szCs w:val="10"/>
              </w:rPr>
            </w:pPr>
          </w:p>
        </w:tc>
        <w:tc>
          <w:tcPr>
            <w:tcW w:w="940" w:type="dxa"/>
            <w:vAlign w:val="bottom"/>
          </w:tcPr>
          <w:p>
            <w:pPr>
              <w:spacing w:after="0"/>
              <w:ind w:right="463"/>
              <w:jc w:val="right"/>
              <w:rPr>
                <w:color w:val="auto"/>
                <w:sz w:val="20"/>
                <w:szCs w:val="20"/>
              </w:rPr>
            </w:pPr>
            <w:r>
              <w:rPr>
                <w:rFonts w:ascii="Calibri" w:eastAsia="Calibri" w:hAnsi="Calibri" w:cs="Calibri"/>
                <w:b/>
                <w:bCs/>
                <w:color w:val="auto"/>
                <w:sz w:val="10"/>
                <w:szCs w:val="10"/>
              </w:rPr>
              <w:t>2023</w:t>
            </w:r>
          </w:p>
        </w:tc>
        <w:tc>
          <w:tcPr>
            <w:tcW w:w="360" w:type="dxa"/>
            <w:vAlign w:val="bottom"/>
          </w:tcPr>
          <w:p>
            <w:pPr>
              <w:spacing w:after="0"/>
              <w:rPr>
                <w:color w:val="auto"/>
                <w:sz w:val="10"/>
                <w:szCs w:val="10"/>
              </w:rPr>
            </w:pPr>
          </w:p>
        </w:tc>
        <w:tc>
          <w:tcPr>
            <w:tcW w:w="920" w:type="dxa"/>
            <w:vAlign w:val="bottom"/>
          </w:tcPr>
          <w:p>
            <w:pPr>
              <w:spacing w:after="0"/>
              <w:ind w:right="443"/>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520" w:type="dxa"/>
            <w:tcBorders>
              <w:bottom w:val="single" w:sz="8" w:space="0" w:color="auto"/>
            </w:tcBorders>
            <w:vAlign w:val="bottom"/>
          </w:tcPr>
          <w:p>
            <w:pPr>
              <w:spacing w:after="0"/>
              <w:rPr>
                <w:color w:val="auto"/>
                <w:sz w:val="2"/>
                <w:szCs w:val="2"/>
              </w:rPr>
            </w:pPr>
          </w:p>
        </w:tc>
        <w:tc>
          <w:tcPr>
            <w:tcW w:w="3260" w:type="dxa"/>
            <w:tcBorders>
              <w:bottom w:val="single" w:sz="8" w:space="0" w:color="auto"/>
            </w:tcBorders>
            <w:vAlign w:val="bottom"/>
          </w:tcPr>
          <w:p>
            <w:pPr>
              <w:spacing w:after="0"/>
              <w:rPr>
                <w:color w:val="auto"/>
                <w:sz w:val="2"/>
                <w:szCs w:val="2"/>
              </w:rPr>
            </w:pPr>
          </w:p>
        </w:tc>
        <w:tc>
          <w:tcPr>
            <w:tcW w:w="96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5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Upfront charges</w:t>
            </w:r>
          </w:p>
        </w:tc>
        <w:tc>
          <w:tcPr>
            <w:tcW w:w="3260" w:type="dxa"/>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960" w:type="dxa"/>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2,627</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4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582</w:t>
            </w:r>
          </w:p>
        </w:tc>
        <w:tc>
          <w:tcPr>
            <w:tcW w:w="36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2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445</w:t>
            </w:r>
          </w:p>
        </w:tc>
      </w:tr>
      <w:tr>
        <w:tblPrEx>
          <w:tblInd w:w="0" w:type="dxa"/>
          <w:tblLayout w:type="fixed"/>
        </w:tblPrEx>
        <w:trPr>
          <w:trHeight w:val="147"/>
        </w:trPr>
        <w:tc>
          <w:tcPr>
            <w:tcW w:w="45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Development milestones</w:t>
            </w:r>
          </w:p>
        </w:tc>
        <w:tc>
          <w:tcPr>
            <w:tcW w:w="3260" w:type="dxa"/>
            <w:tcBorders>
              <w:bottom w:val="single" w:sz="8" w:space="0" w:color="auto"/>
            </w:tcBorders>
            <w:vAlign w:val="bottom"/>
          </w:tcPr>
          <w:p>
            <w:pPr>
              <w:spacing w:after="0"/>
              <w:rPr>
                <w:color w:val="auto"/>
                <w:sz w:val="12"/>
                <w:szCs w:val="12"/>
              </w:rPr>
            </w:pPr>
          </w:p>
        </w:tc>
        <w:tc>
          <w:tcPr>
            <w:tcW w:w="960" w:type="dxa"/>
            <w:tcBorders>
              <w:bottom w:val="single" w:sz="8" w:space="0" w:color="auto"/>
            </w:tcBorders>
            <w:vAlign w:val="bottom"/>
          </w:tcPr>
          <w:p>
            <w:pPr>
              <w:spacing w:after="0" w:line="142" w:lineRule="exact"/>
              <w:ind w:right="23"/>
              <w:jc w:val="right"/>
              <w:rPr>
                <w:color w:val="auto"/>
                <w:sz w:val="20"/>
                <w:szCs w:val="20"/>
              </w:rPr>
            </w:pPr>
            <w:r>
              <w:rPr>
                <w:rFonts w:ascii="Calibri" w:eastAsia="Calibri" w:hAnsi="Calibri" w:cs="Calibri"/>
                <w:color w:val="auto"/>
                <w:sz w:val="12"/>
                <w:szCs w:val="12"/>
              </w:rPr>
              <w:t>130</w:t>
            </w:r>
          </w:p>
        </w:tc>
        <w:tc>
          <w:tcPr>
            <w:tcW w:w="340" w:type="dxa"/>
            <w:tcBorders>
              <w:bottom w:val="single" w:sz="8" w:space="0" w:color="auto"/>
            </w:tcBorders>
            <w:vAlign w:val="bottom"/>
          </w:tcPr>
          <w:p>
            <w:pPr>
              <w:spacing w:after="0"/>
              <w:rPr>
                <w:color w:val="auto"/>
                <w:sz w:val="12"/>
                <w:szCs w:val="12"/>
              </w:rPr>
            </w:pPr>
          </w:p>
        </w:tc>
        <w:tc>
          <w:tcPr>
            <w:tcW w:w="940" w:type="dxa"/>
            <w:tcBorders>
              <w:bottom w:val="single" w:sz="8" w:space="0" w:color="auto"/>
            </w:tcBorders>
            <w:vAlign w:val="bottom"/>
          </w:tcPr>
          <w:p>
            <w:pPr>
              <w:spacing w:after="0" w:line="142" w:lineRule="exact"/>
              <w:ind w:right="3"/>
              <w:jc w:val="right"/>
              <w:rPr>
                <w:color w:val="auto"/>
                <w:sz w:val="20"/>
                <w:szCs w:val="20"/>
              </w:rPr>
            </w:pPr>
            <w:r>
              <w:rPr>
                <w:rFonts w:ascii="Calibri" w:eastAsia="Calibri" w:hAnsi="Calibri" w:cs="Calibri"/>
                <w:color w:val="auto"/>
                <w:sz w:val="12"/>
                <w:szCs w:val="12"/>
              </w:rPr>
              <w:t>196</w:t>
            </w:r>
          </w:p>
        </w:tc>
        <w:tc>
          <w:tcPr>
            <w:tcW w:w="360" w:type="dxa"/>
            <w:tcBorders>
              <w:bottom w:val="single" w:sz="8" w:space="0" w:color="auto"/>
            </w:tcBorders>
            <w:vAlign w:val="bottom"/>
          </w:tcPr>
          <w:p>
            <w:pPr>
              <w:spacing w:after="0"/>
              <w:rPr>
                <w:color w:val="auto"/>
                <w:sz w:val="12"/>
                <w:szCs w:val="12"/>
              </w:rPr>
            </w:pPr>
          </w:p>
        </w:tc>
        <w:tc>
          <w:tcPr>
            <w:tcW w:w="9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252</w:t>
            </w:r>
          </w:p>
        </w:tc>
      </w:tr>
      <w:tr>
        <w:tblPrEx>
          <w:tblInd w:w="0" w:type="dxa"/>
          <w:tblLayout w:type="fixed"/>
        </w:tblPrEx>
        <w:trPr>
          <w:trHeight w:val="164"/>
        </w:trPr>
        <w:tc>
          <w:tcPr>
            <w:tcW w:w="452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Acquired IPR&amp;D and milestones</w:t>
            </w:r>
          </w:p>
        </w:tc>
        <w:tc>
          <w:tcPr>
            <w:tcW w:w="3260" w:type="dxa"/>
            <w:tcBorders>
              <w:bottom w:val="single" w:sz="8" w:space="0" w:color="auto"/>
            </w:tcBorders>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960" w:type="dxa"/>
            <w:tcBorders>
              <w:bottom w:val="single" w:sz="8" w:space="0" w:color="auto"/>
            </w:tcBorders>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2,757</w:t>
            </w:r>
          </w:p>
        </w:tc>
        <w:tc>
          <w:tcPr>
            <w:tcW w:w="340" w:type="dxa"/>
            <w:tcBorders>
              <w:bottom w:val="single" w:sz="8" w:space="0" w:color="auto"/>
            </w:tcBorders>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40" w:type="dxa"/>
            <w:tcBorders>
              <w:bottom w:val="single" w:sz="8" w:space="0" w:color="auto"/>
            </w:tcBorders>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778</w:t>
            </w:r>
          </w:p>
        </w:tc>
        <w:tc>
          <w:tcPr>
            <w:tcW w:w="360" w:type="dxa"/>
            <w:tcBorders>
              <w:bottom w:val="single" w:sz="8" w:space="0" w:color="auto"/>
            </w:tcBorders>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697</w:t>
            </w:r>
          </w:p>
        </w:tc>
      </w:tr>
    </w:tbl>
    <w:p>
      <w:pPr>
        <w:spacing w:after="0" w:line="138"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Acquired IPR&amp;D and milestones expense in 2024 included charges related to the upfront payments of $1.4 billion to acquire Aliada Therapeutcs Holdings, Inc. (Aliada) and $250 million to acquire Celsius Therapeutcs. See Note 5 to the Consolidated Financial Statements for additonal informaton.</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Other Operatng Expense (Income), Net</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Other operatng expense (income), net included a gain of $169 million in 2023 related to a development liability associated with an asset divested as part of the acquisiton of Allergan, Inc. (Allergan) in 2020.</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Other Non-Operatng Expenses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660"/>
        <w:gridCol w:w="3840"/>
        <w:gridCol w:w="420"/>
        <w:gridCol w:w="780"/>
        <w:gridCol w:w="420"/>
        <w:gridCol w:w="320"/>
        <w:gridCol w:w="840"/>
      </w:tblGrid>
      <w:tr>
        <w:tblPrEx>
          <w:tblInd w:w="0" w:type="dxa"/>
          <w:tblLayout w:type="fixed"/>
        </w:tblPrEx>
        <w:trPr>
          <w:trHeight w:val="122"/>
        </w:trPr>
        <w:tc>
          <w:tcPr>
            <w:tcW w:w="466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3840" w:type="dxa"/>
            <w:vAlign w:val="bottom"/>
          </w:tcPr>
          <w:p>
            <w:pPr>
              <w:spacing w:after="0"/>
              <w:ind w:right="23"/>
              <w:jc w:val="right"/>
              <w:rPr>
                <w:color w:val="auto"/>
                <w:sz w:val="20"/>
                <w:szCs w:val="20"/>
              </w:rPr>
            </w:pPr>
            <w:r>
              <w:rPr>
                <w:rFonts w:ascii="Calibri" w:eastAsia="Calibri" w:hAnsi="Calibri" w:cs="Calibri"/>
                <w:b/>
                <w:bCs/>
                <w:color w:val="auto"/>
                <w:sz w:val="10"/>
                <w:szCs w:val="10"/>
              </w:rPr>
              <w:t>2024</w:t>
            </w:r>
          </w:p>
        </w:tc>
        <w:tc>
          <w:tcPr>
            <w:tcW w:w="420" w:type="dxa"/>
            <w:vAlign w:val="bottom"/>
          </w:tcPr>
          <w:p>
            <w:pPr>
              <w:spacing w:after="0"/>
              <w:rPr>
                <w:color w:val="auto"/>
                <w:sz w:val="10"/>
                <w:szCs w:val="10"/>
              </w:rPr>
            </w:pPr>
          </w:p>
        </w:tc>
        <w:tc>
          <w:tcPr>
            <w:tcW w:w="780" w:type="dxa"/>
            <w:vAlign w:val="bottom"/>
          </w:tcPr>
          <w:p>
            <w:pPr>
              <w:spacing w:after="0"/>
              <w:ind w:right="23"/>
              <w:jc w:val="right"/>
              <w:rPr>
                <w:color w:val="auto"/>
                <w:sz w:val="20"/>
                <w:szCs w:val="20"/>
              </w:rPr>
            </w:pPr>
            <w:r>
              <w:rPr>
                <w:rFonts w:ascii="Calibri" w:eastAsia="Calibri" w:hAnsi="Calibri" w:cs="Calibri"/>
                <w:b/>
                <w:bCs/>
                <w:color w:val="auto"/>
                <w:sz w:val="10"/>
                <w:szCs w:val="10"/>
              </w:rPr>
              <w:t>2023</w:t>
            </w:r>
          </w:p>
        </w:tc>
        <w:tc>
          <w:tcPr>
            <w:tcW w:w="420" w:type="dxa"/>
            <w:vAlign w:val="bottom"/>
          </w:tcPr>
          <w:p>
            <w:pPr>
              <w:spacing w:after="0"/>
              <w:rPr>
                <w:color w:val="auto"/>
                <w:sz w:val="10"/>
                <w:szCs w:val="10"/>
              </w:rPr>
            </w:pPr>
          </w:p>
        </w:tc>
        <w:tc>
          <w:tcPr>
            <w:tcW w:w="320" w:type="dxa"/>
            <w:vAlign w:val="bottom"/>
          </w:tcPr>
          <w:p>
            <w:pPr>
              <w:spacing w:after="0"/>
              <w:rPr>
                <w:color w:val="auto"/>
                <w:sz w:val="10"/>
                <w:szCs w:val="10"/>
              </w:rPr>
            </w:pPr>
          </w:p>
        </w:tc>
        <w:tc>
          <w:tcPr>
            <w:tcW w:w="840" w:type="dxa"/>
            <w:vAlign w:val="bottom"/>
          </w:tcPr>
          <w:p>
            <w:pPr>
              <w:spacing w:after="0"/>
              <w:ind w:right="402"/>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660" w:type="dxa"/>
            <w:tcBorders>
              <w:bottom w:val="single" w:sz="8" w:space="0" w:color="auto"/>
            </w:tcBorders>
            <w:vAlign w:val="bottom"/>
          </w:tcPr>
          <w:p>
            <w:pPr>
              <w:spacing w:after="0"/>
              <w:rPr>
                <w:color w:val="auto"/>
                <w:sz w:val="2"/>
                <w:szCs w:val="2"/>
              </w:rPr>
            </w:pPr>
          </w:p>
        </w:tc>
        <w:tc>
          <w:tcPr>
            <w:tcW w:w="384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660" w:type="dxa"/>
            <w:shd w:val="clear" w:color="auto" w:fill="CCEEFF"/>
            <w:vAlign w:val="bottom"/>
          </w:tcPr>
          <w:p>
            <w:pPr>
              <w:spacing w:after="0" w:line="142" w:lineRule="exact"/>
              <w:ind w:left="40"/>
              <w:rPr>
                <w:color w:val="auto"/>
                <w:sz w:val="20"/>
                <w:szCs w:val="20"/>
              </w:rPr>
            </w:pPr>
            <w:r>
              <w:rPr>
                <w:rFonts w:ascii="Calibri" w:eastAsia="Calibri" w:hAnsi="Calibri" w:cs="Calibri"/>
                <w:color w:val="auto"/>
                <w:sz w:val="12"/>
                <w:szCs w:val="12"/>
              </w:rPr>
              <w:t>Interest expense</w:t>
            </w:r>
          </w:p>
        </w:tc>
        <w:tc>
          <w:tcPr>
            <w:tcW w:w="3840" w:type="dxa"/>
            <w:shd w:val="clear" w:color="auto" w:fill="CCEEFF"/>
            <w:vAlign w:val="bottom"/>
          </w:tcPr>
          <w:p>
            <w:pPr>
              <w:spacing w:after="0" w:line="142" w:lineRule="exact"/>
              <w:ind w:right="603"/>
              <w:jc w:val="right"/>
              <w:rPr>
                <w:color w:val="auto"/>
                <w:sz w:val="20"/>
                <w:szCs w:val="20"/>
              </w:rPr>
            </w:pPr>
            <w:r>
              <w:rPr>
                <w:rFonts w:ascii="Calibri" w:eastAsia="Calibri" w:hAnsi="Calibri" w:cs="Calibri"/>
                <w:color w:val="auto"/>
                <w:sz w:val="12"/>
                <w:szCs w:val="12"/>
              </w:rPr>
              <w:t>$</w:t>
            </w:r>
          </w:p>
        </w:tc>
        <w:tc>
          <w:tcPr>
            <w:tcW w:w="4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2,808</w:t>
            </w:r>
          </w:p>
        </w:tc>
        <w:tc>
          <w:tcPr>
            <w:tcW w:w="780" w:type="dxa"/>
            <w:shd w:val="clear" w:color="auto" w:fill="CCEEFF"/>
            <w:vAlign w:val="bottom"/>
          </w:tcPr>
          <w:p>
            <w:pPr>
              <w:spacing w:after="0" w:line="142" w:lineRule="exact"/>
              <w:ind w:right="603"/>
              <w:jc w:val="right"/>
              <w:rPr>
                <w:color w:val="auto"/>
                <w:sz w:val="20"/>
                <w:szCs w:val="20"/>
              </w:rPr>
            </w:pPr>
            <w:r>
              <w:rPr>
                <w:rFonts w:ascii="Calibri" w:eastAsia="Calibri" w:hAnsi="Calibri" w:cs="Calibri"/>
                <w:color w:val="auto"/>
                <w:sz w:val="12"/>
                <w:szCs w:val="12"/>
              </w:rPr>
              <w:t>$</w:t>
            </w:r>
          </w:p>
        </w:tc>
        <w:tc>
          <w:tcPr>
            <w:tcW w:w="4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2,224</w:t>
            </w:r>
          </w:p>
        </w:tc>
        <w:tc>
          <w:tcPr>
            <w:tcW w:w="320" w:type="dxa"/>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84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2,230</w:t>
            </w:r>
          </w:p>
        </w:tc>
      </w:tr>
      <w:tr>
        <w:tblPrEx>
          <w:tblInd w:w="0" w:type="dxa"/>
          <w:tblLayout w:type="fixed"/>
        </w:tblPrEx>
        <w:trPr>
          <w:trHeight w:val="147"/>
        </w:trPr>
        <w:tc>
          <w:tcPr>
            <w:tcW w:w="4660" w:type="dxa"/>
            <w:tcBorders>
              <w:bottom w:val="single" w:sz="8" w:space="0" w:color="auto"/>
            </w:tcBorders>
            <w:vAlign w:val="bottom"/>
          </w:tcPr>
          <w:p>
            <w:pPr>
              <w:spacing w:after="0" w:line="142" w:lineRule="exact"/>
              <w:ind w:left="40"/>
              <w:rPr>
                <w:color w:val="auto"/>
                <w:sz w:val="20"/>
                <w:szCs w:val="20"/>
              </w:rPr>
            </w:pPr>
            <w:r>
              <w:rPr>
                <w:rFonts w:ascii="Calibri" w:eastAsia="Calibri" w:hAnsi="Calibri" w:cs="Calibri"/>
                <w:color w:val="auto"/>
                <w:sz w:val="12"/>
                <w:szCs w:val="12"/>
              </w:rPr>
              <w:t>Interest income</w:t>
            </w:r>
          </w:p>
        </w:tc>
        <w:tc>
          <w:tcPr>
            <w:tcW w:w="3840" w:type="dxa"/>
            <w:tcBorders>
              <w:bottom w:val="single" w:sz="8" w:space="0" w:color="auto"/>
            </w:tcBorders>
            <w:vAlign w:val="bottom"/>
          </w:tcPr>
          <w:p>
            <w:pPr>
              <w:spacing w:after="0"/>
              <w:rPr>
                <w:color w:val="auto"/>
                <w:sz w:val="12"/>
                <w:szCs w:val="12"/>
              </w:rPr>
            </w:pPr>
          </w:p>
        </w:tc>
        <w:tc>
          <w:tcPr>
            <w:tcW w:w="4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(648)</w:t>
            </w:r>
          </w:p>
        </w:tc>
        <w:tc>
          <w:tcPr>
            <w:tcW w:w="780" w:type="dxa"/>
            <w:tcBorders>
              <w:bottom w:val="single" w:sz="8" w:space="0" w:color="auto"/>
            </w:tcBorders>
            <w:vAlign w:val="bottom"/>
          </w:tcPr>
          <w:p>
            <w:pPr>
              <w:spacing w:after="0"/>
              <w:rPr>
                <w:color w:val="auto"/>
                <w:sz w:val="12"/>
                <w:szCs w:val="12"/>
              </w:rPr>
            </w:pPr>
          </w:p>
        </w:tc>
        <w:tc>
          <w:tcPr>
            <w:tcW w:w="4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(540)</w:t>
            </w:r>
          </w:p>
        </w:tc>
        <w:tc>
          <w:tcPr>
            <w:tcW w:w="320" w:type="dxa"/>
            <w:tcBorders>
              <w:bottom w:val="single" w:sz="8" w:space="0" w:color="auto"/>
            </w:tcBorders>
            <w:vAlign w:val="bottom"/>
          </w:tcPr>
          <w:p>
            <w:pPr>
              <w:spacing w:after="0"/>
              <w:rPr>
                <w:color w:val="auto"/>
                <w:sz w:val="12"/>
                <w:szCs w:val="12"/>
              </w:rPr>
            </w:pPr>
          </w:p>
        </w:tc>
        <w:tc>
          <w:tcPr>
            <w:tcW w:w="8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(186)</w:t>
            </w:r>
          </w:p>
        </w:tc>
      </w:tr>
      <w:tr>
        <w:tblPrEx>
          <w:tblInd w:w="0" w:type="dxa"/>
          <w:tblLayout w:type="fixed"/>
        </w:tblPrEx>
        <w:trPr>
          <w:trHeight w:val="164"/>
        </w:trPr>
        <w:tc>
          <w:tcPr>
            <w:tcW w:w="4660" w:type="dxa"/>
            <w:tcBorders>
              <w:bottom w:val="single" w:sz="8" w:space="0" w:color="auto"/>
            </w:tcBorders>
            <w:shd w:val="clear" w:color="auto" w:fill="CCEEFF"/>
            <w:vAlign w:val="bottom"/>
          </w:tcPr>
          <w:p>
            <w:pPr>
              <w:spacing w:after="0" w:line="142" w:lineRule="exact"/>
              <w:ind w:left="40"/>
              <w:rPr>
                <w:color w:val="auto"/>
                <w:sz w:val="20"/>
                <w:szCs w:val="20"/>
              </w:rPr>
            </w:pPr>
            <w:r>
              <w:rPr>
                <w:rFonts w:ascii="Calibri" w:eastAsia="Calibri" w:hAnsi="Calibri" w:cs="Calibri"/>
                <w:color w:val="auto"/>
                <w:sz w:val="12"/>
                <w:szCs w:val="12"/>
              </w:rPr>
              <w:t>Interest expense, net</w:t>
            </w:r>
          </w:p>
        </w:tc>
        <w:tc>
          <w:tcPr>
            <w:tcW w:w="3840" w:type="dxa"/>
            <w:tcBorders>
              <w:bottom w:val="single" w:sz="8" w:space="0" w:color="auto"/>
            </w:tcBorders>
            <w:shd w:val="clear" w:color="auto" w:fill="CCEEFF"/>
            <w:vAlign w:val="bottom"/>
          </w:tcPr>
          <w:p>
            <w:pPr>
              <w:spacing w:after="0" w:line="142" w:lineRule="exact"/>
              <w:ind w:right="603"/>
              <w:jc w:val="right"/>
              <w:rPr>
                <w:color w:val="auto"/>
                <w:sz w:val="20"/>
                <w:szCs w:val="20"/>
              </w:rPr>
            </w:pPr>
            <w:r>
              <w:rPr>
                <w:rFonts w:ascii="Calibri" w:eastAsia="Calibri" w:hAnsi="Calibri" w:cs="Calibri"/>
                <w:color w:val="auto"/>
                <w:sz w:val="12"/>
                <w:szCs w:val="12"/>
              </w:rPr>
              <w:t>$</w:t>
            </w:r>
          </w:p>
        </w:tc>
        <w:tc>
          <w:tcPr>
            <w:tcW w:w="42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2,160</w:t>
            </w:r>
          </w:p>
        </w:tc>
        <w:tc>
          <w:tcPr>
            <w:tcW w:w="780" w:type="dxa"/>
            <w:tcBorders>
              <w:bottom w:val="single" w:sz="8" w:space="0" w:color="auto"/>
            </w:tcBorders>
            <w:shd w:val="clear" w:color="auto" w:fill="CCEEFF"/>
            <w:vAlign w:val="bottom"/>
          </w:tcPr>
          <w:p>
            <w:pPr>
              <w:spacing w:after="0" w:line="142" w:lineRule="exact"/>
              <w:ind w:right="603"/>
              <w:jc w:val="right"/>
              <w:rPr>
                <w:color w:val="auto"/>
                <w:sz w:val="20"/>
                <w:szCs w:val="20"/>
              </w:rPr>
            </w:pPr>
            <w:r>
              <w:rPr>
                <w:rFonts w:ascii="Calibri" w:eastAsia="Calibri" w:hAnsi="Calibri" w:cs="Calibri"/>
                <w:color w:val="auto"/>
                <w:sz w:val="12"/>
                <w:szCs w:val="12"/>
              </w:rPr>
              <w:t>$</w:t>
            </w:r>
          </w:p>
        </w:tc>
        <w:tc>
          <w:tcPr>
            <w:tcW w:w="42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1,684</w:t>
            </w:r>
          </w:p>
        </w:tc>
        <w:tc>
          <w:tcPr>
            <w:tcW w:w="320" w:type="dxa"/>
            <w:tcBorders>
              <w:bottom w:val="single" w:sz="8" w:space="0" w:color="auto"/>
            </w:tcBorders>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8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2,044</w:t>
            </w:r>
          </w:p>
        </w:tc>
      </w:tr>
      <w:tr>
        <w:tblPrEx>
          <w:tblInd w:w="0" w:type="dxa"/>
          <w:tblLayout w:type="fixed"/>
        </w:tblPrEx>
        <w:trPr>
          <w:trHeight w:val="162"/>
        </w:trPr>
        <w:tc>
          <w:tcPr>
            <w:tcW w:w="4660" w:type="dxa"/>
            <w:vAlign w:val="bottom"/>
          </w:tcPr>
          <w:p>
            <w:pPr>
              <w:spacing w:after="0"/>
              <w:rPr>
                <w:color w:val="auto"/>
                <w:sz w:val="14"/>
                <w:szCs w:val="14"/>
              </w:rPr>
            </w:pPr>
          </w:p>
        </w:tc>
        <w:tc>
          <w:tcPr>
            <w:tcW w:w="3840" w:type="dxa"/>
            <w:vAlign w:val="bottom"/>
          </w:tcPr>
          <w:p>
            <w:pPr>
              <w:spacing w:after="0"/>
              <w:rPr>
                <w:color w:val="auto"/>
                <w:sz w:val="14"/>
                <w:szCs w:val="14"/>
              </w:rPr>
            </w:pPr>
          </w:p>
        </w:tc>
        <w:tc>
          <w:tcPr>
            <w:tcW w:w="420" w:type="dxa"/>
            <w:vAlign w:val="bottom"/>
          </w:tcPr>
          <w:p>
            <w:pPr>
              <w:spacing w:after="0"/>
              <w:rPr>
                <w:color w:val="auto"/>
                <w:sz w:val="14"/>
                <w:szCs w:val="14"/>
              </w:rPr>
            </w:pPr>
          </w:p>
        </w:tc>
        <w:tc>
          <w:tcPr>
            <w:tcW w:w="780" w:type="dxa"/>
            <w:vAlign w:val="bottom"/>
          </w:tcPr>
          <w:p>
            <w:pPr>
              <w:spacing w:after="0"/>
              <w:rPr>
                <w:color w:val="auto"/>
                <w:sz w:val="14"/>
                <w:szCs w:val="14"/>
              </w:rPr>
            </w:pPr>
          </w:p>
        </w:tc>
        <w:tc>
          <w:tcPr>
            <w:tcW w:w="420" w:type="dxa"/>
            <w:vAlign w:val="bottom"/>
          </w:tcPr>
          <w:p>
            <w:pPr>
              <w:spacing w:after="0"/>
              <w:rPr>
                <w:color w:val="auto"/>
                <w:sz w:val="14"/>
                <w:szCs w:val="14"/>
              </w:rPr>
            </w:pPr>
          </w:p>
        </w:tc>
        <w:tc>
          <w:tcPr>
            <w:tcW w:w="320" w:type="dxa"/>
            <w:vAlign w:val="bottom"/>
          </w:tcPr>
          <w:p>
            <w:pPr>
              <w:spacing w:after="0"/>
              <w:rPr>
                <w:color w:val="auto"/>
                <w:sz w:val="14"/>
                <w:szCs w:val="14"/>
              </w:rPr>
            </w:pPr>
          </w:p>
        </w:tc>
        <w:tc>
          <w:tcPr>
            <w:tcW w:w="840" w:type="dxa"/>
            <w:vAlign w:val="bottom"/>
          </w:tcPr>
          <w:p>
            <w:pPr>
              <w:spacing w:after="0"/>
              <w:rPr>
                <w:color w:val="auto"/>
                <w:sz w:val="14"/>
                <w:szCs w:val="14"/>
              </w:rPr>
            </w:pPr>
          </w:p>
        </w:tc>
      </w:tr>
      <w:tr>
        <w:tblPrEx>
          <w:tblInd w:w="0" w:type="dxa"/>
          <w:tblLayout w:type="fixed"/>
        </w:tblPrEx>
        <w:trPr>
          <w:trHeight w:val="153"/>
        </w:trPr>
        <w:tc>
          <w:tcPr>
            <w:tcW w:w="4660" w:type="dxa"/>
            <w:shd w:val="clear" w:color="auto" w:fill="CCEEFF"/>
            <w:vAlign w:val="bottom"/>
          </w:tcPr>
          <w:p>
            <w:pPr>
              <w:spacing w:after="0" w:line="142" w:lineRule="exact"/>
              <w:ind w:left="40"/>
              <w:rPr>
                <w:color w:val="auto"/>
                <w:sz w:val="20"/>
                <w:szCs w:val="20"/>
              </w:rPr>
            </w:pPr>
            <w:r>
              <w:rPr>
                <w:rFonts w:ascii="Calibri" w:eastAsia="Calibri" w:hAnsi="Calibri" w:cs="Calibri"/>
                <w:color w:val="auto"/>
                <w:sz w:val="12"/>
                <w:szCs w:val="12"/>
              </w:rPr>
              <w:t>Net foreign exchange loss</w:t>
            </w:r>
          </w:p>
        </w:tc>
        <w:tc>
          <w:tcPr>
            <w:tcW w:w="3840" w:type="dxa"/>
            <w:shd w:val="clear" w:color="auto" w:fill="CCEEFF"/>
            <w:vAlign w:val="bottom"/>
          </w:tcPr>
          <w:p>
            <w:pPr>
              <w:spacing w:after="0" w:line="142" w:lineRule="exact"/>
              <w:ind w:right="603"/>
              <w:jc w:val="right"/>
              <w:rPr>
                <w:color w:val="auto"/>
                <w:sz w:val="20"/>
                <w:szCs w:val="20"/>
              </w:rPr>
            </w:pPr>
            <w:r>
              <w:rPr>
                <w:rFonts w:ascii="Calibri" w:eastAsia="Calibri" w:hAnsi="Calibri" w:cs="Calibri"/>
                <w:color w:val="auto"/>
                <w:sz w:val="12"/>
                <w:szCs w:val="12"/>
              </w:rPr>
              <w:t>$</w:t>
            </w:r>
          </w:p>
        </w:tc>
        <w:tc>
          <w:tcPr>
            <w:tcW w:w="4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21</w:t>
            </w:r>
          </w:p>
        </w:tc>
        <w:tc>
          <w:tcPr>
            <w:tcW w:w="780" w:type="dxa"/>
            <w:shd w:val="clear" w:color="auto" w:fill="CCEEFF"/>
            <w:vAlign w:val="bottom"/>
          </w:tcPr>
          <w:p>
            <w:pPr>
              <w:spacing w:after="0" w:line="142" w:lineRule="exact"/>
              <w:ind w:right="603"/>
              <w:jc w:val="right"/>
              <w:rPr>
                <w:color w:val="auto"/>
                <w:sz w:val="20"/>
                <w:szCs w:val="20"/>
              </w:rPr>
            </w:pPr>
            <w:r>
              <w:rPr>
                <w:rFonts w:ascii="Calibri" w:eastAsia="Calibri" w:hAnsi="Calibri" w:cs="Calibri"/>
                <w:color w:val="auto"/>
                <w:sz w:val="12"/>
                <w:szCs w:val="12"/>
              </w:rPr>
              <w:t>$</w:t>
            </w:r>
          </w:p>
        </w:tc>
        <w:tc>
          <w:tcPr>
            <w:tcW w:w="4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146</w:t>
            </w:r>
          </w:p>
        </w:tc>
        <w:tc>
          <w:tcPr>
            <w:tcW w:w="320" w:type="dxa"/>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84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148</w:t>
            </w:r>
          </w:p>
        </w:tc>
      </w:tr>
      <w:tr>
        <w:tblPrEx>
          <w:tblInd w:w="0" w:type="dxa"/>
          <w:tblLayout w:type="fixed"/>
        </w:tblPrEx>
        <w:trPr>
          <w:trHeight w:val="147"/>
        </w:trPr>
        <w:tc>
          <w:tcPr>
            <w:tcW w:w="4660" w:type="dxa"/>
            <w:tcBorders>
              <w:bottom w:val="single" w:sz="8" w:space="0" w:color="auto"/>
            </w:tcBorders>
            <w:vAlign w:val="bottom"/>
          </w:tcPr>
          <w:p>
            <w:pPr>
              <w:spacing w:after="0" w:line="142" w:lineRule="exact"/>
              <w:ind w:left="40"/>
              <w:rPr>
                <w:color w:val="auto"/>
                <w:sz w:val="20"/>
                <w:szCs w:val="20"/>
              </w:rPr>
            </w:pPr>
            <w:r>
              <w:rPr>
                <w:rFonts w:ascii="Calibri" w:eastAsia="Calibri" w:hAnsi="Calibri" w:cs="Calibri"/>
                <w:color w:val="auto"/>
                <w:sz w:val="12"/>
                <w:szCs w:val="12"/>
              </w:rPr>
              <w:t>Other expense, net</w:t>
            </w:r>
          </w:p>
        </w:tc>
        <w:tc>
          <w:tcPr>
            <w:tcW w:w="3840" w:type="dxa"/>
            <w:tcBorders>
              <w:bottom w:val="single" w:sz="8" w:space="0" w:color="auto"/>
            </w:tcBorders>
            <w:vAlign w:val="bottom"/>
          </w:tcPr>
          <w:p>
            <w:pPr>
              <w:spacing w:after="0"/>
              <w:rPr>
                <w:color w:val="auto"/>
                <w:sz w:val="12"/>
                <w:szCs w:val="12"/>
              </w:rPr>
            </w:pPr>
          </w:p>
        </w:tc>
        <w:tc>
          <w:tcPr>
            <w:tcW w:w="42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3,240</w:t>
            </w:r>
          </w:p>
        </w:tc>
        <w:tc>
          <w:tcPr>
            <w:tcW w:w="780" w:type="dxa"/>
            <w:tcBorders>
              <w:bottom w:val="single" w:sz="8" w:space="0" w:color="auto"/>
            </w:tcBorders>
            <w:vAlign w:val="bottom"/>
          </w:tcPr>
          <w:p>
            <w:pPr>
              <w:spacing w:after="0"/>
              <w:rPr>
                <w:color w:val="auto"/>
                <w:sz w:val="12"/>
                <w:szCs w:val="12"/>
              </w:rPr>
            </w:pPr>
          </w:p>
        </w:tc>
        <w:tc>
          <w:tcPr>
            <w:tcW w:w="42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4,677</w:t>
            </w:r>
          </w:p>
        </w:tc>
        <w:tc>
          <w:tcPr>
            <w:tcW w:w="320" w:type="dxa"/>
            <w:tcBorders>
              <w:bottom w:val="single" w:sz="8" w:space="0" w:color="auto"/>
            </w:tcBorders>
            <w:vAlign w:val="bottom"/>
          </w:tcPr>
          <w:p>
            <w:pPr>
              <w:spacing w:after="0"/>
              <w:rPr>
                <w:color w:val="auto"/>
                <w:sz w:val="12"/>
                <w:szCs w:val="12"/>
              </w:rPr>
            </w:pPr>
          </w:p>
        </w:tc>
        <w:tc>
          <w:tcPr>
            <w:tcW w:w="8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2,448</w:t>
            </w:r>
          </w:p>
        </w:tc>
      </w:tr>
    </w:tbl>
    <w:p>
      <w:pPr>
        <w:spacing w:after="0" w:line="165"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Interest expense in 2024 increased compared to 2023 primarily due to the incremental interest associated with fnancing the ImmunoGen and Cerevel Therapeutcs acquisitons. See Note 10 to the Consolidated Financial Statements for additonal informaton related to debt issued to fnance the ImmunoGen and Cerevel Therapeutcs acquisitons.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Interest income in 2024 increased compared to 2023 primarily due to a higher average cash and cash equivalents balance and the impact of higher interest rates.</w:t>
      </w:r>
    </w:p>
    <w:p>
      <w:pPr>
        <w:spacing w:after="0" w:line="92"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Other expense, net included charges related to changes in fair value of contngent consideraton liabilites of $3.8 billion in 2024 and $5.1 billion in 2023. The fair value of contngent consideraton liabilites is impacted by the passage of tme and multple other inputs, including the probability of success of achieving regulatory/commercial milestones, discount rates, the estmated amount of future sales of the acquired products and other market-based factors. In 2024, the change in fair value refected higher estmated Skyrizi sales and the passage of tme, partally ofset by higher discount rates. In 2023, the change in fair value refected higher estmated Skyrizi sales driven by stronger market share uptake, the passage of tme and lower discount rates.</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Income Tax Expense</w:t>
      </w:r>
    </w:p>
    <w:p>
      <w:pPr>
        <w:spacing w:after="0" w:line="1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The efectve income tax rate was (15%) in 2024, 22% in 2023 and 12% in 2022. The efectve income tax rate fuctuates year to year due to the allocaton of the company’s taxable earnings among jurisdictons, as well as certain discrete factors and events in each year, including changes in tax law and business development actvites. The efectve income tax rates in 2024, 2023 and 2022 difered from the statutory tax rate principally due to the impact of foreign operatons with lower income tax rates in locatons outside the United States, the U.S. global minimum tax, changes in fair value of contngent consideraton, tax audits and setlements, tax credits and incentves in the United States, Puerto Rico and other foreign tax jurisdictons, and business development actvites. The efectve income tax rate in 2024 was lower than prior periods due to the resolutons of various tax positons pertaining to multple prior tax years, including the closing of U.S. IRS examinatons covering three tax years, partally ofset by increases in unrecognized tax benefts pertaining to prior years. The lower efectve income tax rate in 2024 also refects an increase due to acquisiton costs related to certain business development actvites and a decrease related to changes in fair value of contngent consideraton. The efectve income tax rate in 2023 was higher than prior periods due to increased changes in fair value of contngent consideraton, intangible asset impairments and the impacts of the transiton from the Puerto Rico excise tax to an income tax.</w:t>
      </w:r>
    </w:p>
    <w:p>
      <w:pPr>
        <w:spacing w:after="0" w:line="94" w:lineRule="exact"/>
        <w:rPr>
          <w:color w:val="auto"/>
          <w:sz w:val="20"/>
          <w:szCs w:val="20"/>
        </w:rPr>
      </w:pPr>
    </w:p>
    <w:p>
      <w:pPr>
        <w:spacing w:after="0" w:line="234" w:lineRule="auto"/>
        <w:ind w:right="340" w:firstLine="297"/>
        <w:rPr>
          <w:color w:val="auto"/>
          <w:sz w:val="20"/>
          <w:szCs w:val="20"/>
        </w:rPr>
      </w:pPr>
      <w:r>
        <w:rPr>
          <w:rFonts w:ascii="Calibri" w:eastAsia="Calibri" w:hAnsi="Calibri" w:cs="Calibri"/>
          <w:color w:val="auto"/>
          <w:sz w:val="12"/>
          <w:szCs w:val="12"/>
        </w:rPr>
        <w:t>In 2022, Puerto Rico enacted Act 52-2002 (the Puerto Rico Act) allowing for a transiton from a Puerto Rico excise tax levied on gross inventory purchases to an income-based tax beginning in 2023. The company completed the transiton</w:t>
      </w:r>
    </w:p>
    <w:p>
      <w:pPr>
        <w:spacing w:after="0" w:line="20" w:lineRule="exact"/>
        <w:rPr>
          <w:color w:val="auto"/>
          <w:sz w:val="20"/>
          <w:szCs w:val="20"/>
        </w:rPr>
      </w:pPr>
      <w:r>
        <w:rPr>
          <w:color w:val="auto"/>
          <w:sz w:val="20"/>
          <w:szCs w:val="20"/>
        </w:rPr>
        <w:drawing>
          <wp:anchor simplePos="0" relativeHeight="251766784" behindDoc="1" locked="0" layoutInCell="0" allowOverlap="1">
            <wp:simplePos x="0" y="0"/>
            <wp:positionH relativeFrom="column">
              <wp:posOffset>6475730</wp:posOffset>
            </wp:positionH>
            <wp:positionV relativeFrom="paragraph">
              <wp:posOffset>193675</wp:posOffset>
            </wp:positionV>
            <wp:extent cx="400050" cy="74295"/>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42</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767808" behindDoc="1" locked="0" layoutInCell="0" allowOverlap="1">
            <wp:simplePos x="0" y="0"/>
            <wp:positionH relativeFrom="column">
              <wp:posOffset>7154545</wp:posOffset>
            </wp:positionH>
            <wp:positionV relativeFrom="paragraph">
              <wp:posOffset>-23495</wp:posOffset>
            </wp:positionV>
            <wp:extent cx="31115" cy="3683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68832" behindDoc="1" locked="0" layoutInCell="0" allowOverlap="1">
            <wp:simplePos x="0" y="0"/>
            <wp:positionH relativeFrom="column">
              <wp:posOffset>-17145</wp:posOffset>
            </wp:positionH>
            <wp:positionV relativeFrom="paragraph">
              <wp:posOffset>-23495</wp:posOffset>
            </wp:positionV>
            <wp:extent cx="31115" cy="3683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44" w:name="page45"/>
    <w:bookmarkEnd w:id="44"/>
    <w:p>
      <w:pPr>
        <w:spacing w:after="0" w:line="234" w:lineRule="auto"/>
        <w:ind w:right="20"/>
        <w:rPr>
          <w:color w:val="auto"/>
          <w:sz w:val="20"/>
          <w:szCs w:val="20"/>
        </w:rPr>
      </w:pPr>
      <w:r>
        <w:rPr>
          <w:rFonts w:ascii="Calibri" w:eastAsia="Calibri" w:hAnsi="Calibri" w:cs="Calibri"/>
          <w:color w:val="auto"/>
          <w:sz w:val="12"/>
          <w:szCs w:val="12"/>
        </w:rPr>
        <w:t>requirements of the Puerto Rico Act in 2022, resultng in the remeasurement of certain deferred tax assets and liabilites based on income tax rates at which they are expected to reverse in the future. The net tax beneft recognized in 2022 from the remeasurement of deferred taxes related to the Puerto Rico Act was $323 million.</w:t>
      </w:r>
    </w:p>
    <w:p>
      <w:pPr>
        <w:spacing w:after="0" w:line="92"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Our net earnings and cash fows could be afected by future tax policy and law changes in the jurisdictons in which we operate, including changes in tax law related to the projects undertaken by the Organizaton for Economic Cooperaton and Development (OECD). These projects include a global minimum tax rate of 15%, referred to as "Pillar Two", and the creaton of a new global system to tax income based on the locaton to which products are sold, referred to as "Pillar One." Numerous countries have agreed to a statement in support of the OECD model rules and European Union member states have agreed to implement Pillar Two. This implementaton includes aspects of legislaton that were efectve startng in 2024. Signifcant details around the provision are stll emerging. These potental changes increase tax uncertainty and may adversely impact income tax expense in future years. We will contnue to monitor pending legislaton and implementaton by individual countries and evaluate the potental impact on our business in future periods.</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FINANCIAL POSITION, LIQUIDITY AND CAPITAL RESOURCES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180"/>
        <w:gridCol w:w="2960"/>
        <w:gridCol w:w="1120"/>
        <w:gridCol w:w="400"/>
        <w:gridCol w:w="1140"/>
        <w:gridCol w:w="380"/>
        <w:gridCol w:w="1100"/>
      </w:tblGrid>
      <w:tr>
        <w:tblPrEx>
          <w:tblInd w:w="0" w:type="dxa"/>
          <w:tblLayout w:type="fixed"/>
        </w:tblPrEx>
        <w:trPr>
          <w:trHeight w:val="122"/>
        </w:trPr>
        <w:tc>
          <w:tcPr>
            <w:tcW w:w="418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2960" w:type="dxa"/>
            <w:vAlign w:val="bottom"/>
          </w:tcPr>
          <w:p>
            <w:pPr>
              <w:spacing w:after="0"/>
              <w:rPr>
                <w:color w:val="auto"/>
                <w:sz w:val="10"/>
                <w:szCs w:val="10"/>
              </w:rPr>
            </w:pPr>
          </w:p>
        </w:tc>
        <w:tc>
          <w:tcPr>
            <w:tcW w:w="1120" w:type="dxa"/>
            <w:vAlign w:val="bottom"/>
          </w:tcPr>
          <w:p>
            <w:pPr>
              <w:spacing w:after="0"/>
              <w:ind w:right="603"/>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140" w:type="dxa"/>
            <w:vAlign w:val="bottom"/>
          </w:tcPr>
          <w:p>
            <w:pPr>
              <w:spacing w:after="0"/>
              <w:ind w:right="623"/>
              <w:jc w:val="right"/>
              <w:rPr>
                <w:color w:val="auto"/>
                <w:sz w:val="20"/>
                <w:szCs w:val="20"/>
              </w:rPr>
            </w:pPr>
            <w:r>
              <w:rPr>
                <w:rFonts w:ascii="Calibri" w:eastAsia="Calibri" w:hAnsi="Calibri" w:cs="Calibri"/>
                <w:b/>
                <w:bCs/>
                <w:color w:val="auto"/>
                <w:sz w:val="10"/>
                <w:szCs w:val="10"/>
              </w:rPr>
              <w:t>2023</w:t>
            </w:r>
          </w:p>
        </w:tc>
        <w:tc>
          <w:tcPr>
            <w:tcW w:w="380" w:type="dxa"/>
            <w:vAlign w:val="bottom"/>
          </w:tcPr>
          <w:p>
            <w:pPr>
              <w:spacing w:after="0"/>
              <w:rPr>
                <w:color w:val="auto"/>
                <w:sz w:val="10"/>
                <w:szCs w:val="10"/>
              </w:rPr>
            </w:pPr>
          </w:p>
        </w:tc>
        <w:tc>
          <w:tcPr>
            <w:tcW w:w="1100" w:type="dxa"/>
            <w:vAlign w:val="bottom"/>
          </w:tcPr>
          <w:p>
            <w:pPr>
              <w:spacing w:after="0"/>
              <w:ind w:right="563"/>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180" w:type="dxa"/>
            <w:tcBorders>
              <w:bottom w:val="single" w:sz="8" w:space="0" w:color="auto"/>
            </w:tcBorders>
            <w:vAlign w:val="bottom"/>
          </w:tcPr>
          <w:p>
            <w:pPr>
              <w:spacing w:after="0"/>
              <w:rPr>
                <w:color w:val="auto"/>
                <w:sz w:val="2"/>
                <w:szCs w:val="2"/>
              </w:rPr>
            </w:pPr>
          </w:p>
        </w:tc>
        <w:tc>
          <w:tcPr>
            <w:tcW w:w="296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4180" w:type="dxa"/>
            <w:vAlign w:val="bottom"/>
          </w:tcPr>
          <w:p>
            <w:pPr>
              <w:spacing w:after="0" w:line="137" w:lineRule="exact"/>
              <w:rPr>
                <w:color w:val="auto"/>
                <w:sz w:val="20"/>
                <w:szCs w:val="20"/>
              </w:rPr>
            </w:pPr>
            <w:r>
              <w:rPr>
                <w:rFonts w:ascii="Calibri" w:eastAsia="Calibri" w:hAnsi="Calibri" w:cs="Calibri"/>
                <w:color w:val="auto"/>
                <w:sz w:val="12"/>
                <w:szCs w:val="12"/>
              </w:rPr>
              <w:t>Cash fows provided by (used in)</w:t>
            </w:r>
          </w:p>
        </w:tc>
        <w:tc>
          <w:tcPr>
            <w:tcW w:w="296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140" w:type="dxa"/>
            <w:vAlign w:val="bottom"/>
          </w:tcPr>
          <w:p>
            <w:pPr>
              <w:spacing w:after="0"/>
              <w:rPr>
                <w:color w:val="auto"/>
                <w:sz w:val="11"/>
                <w:szCs w:val="11"/>
              </w:rPr>
            </w:pPr>
          </w:p>
        </w:tc>
        <w:tc>
          <w:tcPr>
            <w:tcW w:w="380" w:type="dxa"/>
            <w:vAlign w:val="bottom"/>
          </w:tcPr>
          <w:p>
            <w:pPr>
              <w:spacing w:after="0"/>
              <w:rPr>
                <w:color w:val="auto"/>
                <w:sz w:val="11"/>
                <w:szCs w:val="11"/>
              </w:rPr>
            </w:pPr>
          </w:p>
        </w:tc>
        <w:tc>
          <w:tcPr>
            <w:tcW w:w="1100" w:type="dxa"/>
            <w:vAlign w:val="bottom"/>
          </w:tcPr>
          <w:p>
            <w:pPr>
              <w:spacing w:after="0"/>
              <w:rPr>
                <w:color w:val="auto"/>
                <w:sz w:val="11"/>
                <w:szCs w:val="11"/>
              </w:rPr>
            </w:pPr>
          </w:p>
        </w:tc>
      </w:tr>
      <w:tr>
        <w:tblPrEx>
          <w:tblInd w:w="0" w:type="dxa"/>
          <w:tblLayout w:type="fixed"/>
        </w:tblPrEx>
        <w:trPr>
          <w:trHeight w:val="159"/>
        </w:trPr>
        <w:tc>
          <w:tcPr>
            <w:tcW w:w="4180" w:type="dxa"/>
            <w:shd w:val="clear" w:color="auto" w:fill="CCEEFF"/>
            <w:vAlign w:val="bottom"/>
          </w:tcPr>
          <w:p>
            <w:pPr>
              <w:spacing w:after="0"/>
              <w:rPr>
                <w:color w:val="auto"/>
                <w:sz w:val="20"/>
                <w:szCs w:val="20"/>
              </w:rPr>
            </w:pPr>
            <w:r>
              <w:rPr>
                <w:rFonts w:ascii="Calibri" w:eastAsia="Calibri" w:hAnsi="Calibri" w:cs="Calibri"/>
                <w:color w:val="auto"/>
                <w:sz w:val="12"/>
                <w:szCs w:val="12"/>
              </w:rPr>
              <w:t>Operatng actvites</w:t>
            </w:r>
          </w:p>
        </w:tc>
        <w:tc>
          <w:tcPr>
            <w:tcW w:w="296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ind w:right="23"/>
              <w:jc w:val="right"/>
              <w:rPr>
                <w:color w:val="auto"/>
                <w:sz w:val="20"/>
                <w:szCs w:val="20"/>
              </w:rPr>
            </w:pPr>
            <w:r>
              <w:rPr>
                <w:rFonts w:ascii="Calibri" w:eastAsia="Calibri" w:hAnsi="Calibri" w:cs="Calibri"/>
                <w:color w:val="auto"/>
                <w:sz w:val="12"/>
                <w:szCs w:val="12"/>
              </w:rPr>
              <w:t>18,806</w:t>
            </w:r>
          </w:p>
        </w:tc>
        <w:tc>
          <w:tcPr>
            <w:tcW w:w="4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40" w:type="dxa"/>
            <w:shd w:val="clear" w:color="auto" w:fill="CCEEFF"/>
            <w:vAlign w:val="bottom"/>
          </w:tcPr>
          <w:p>
            <w:pPr>
              <w:spacing w:after="0"/>
              <w:ind w:right="43"/>
              <w:jc w:val="right"/>
              <w:rPr>
                <w:color w:val="auto"/>
                <w:sz w:val="20"/>
                <w:szCs w:val="20"/>
              </w:rPr>
            </w:pPr>
            <w:r>
              <w:rPr>
                <w:rFonts w:ascii="Calibri" w:eastAsia="Calibri" w:hAnsi="Calibri" w:cs="Calibri"/>
                <w:color w:val="auto"/>
                <w:sz w:val="12"/>
                <w:szCs w:val="12"/>
              </w:rPr>
              <w:t>22,839</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ind w:right="3"/>
              <w:jc w:val="right"/>
              <w:rPr>
                <w:color w:val="auto"/>
                <w:sz w:val="20"/>
                <w:szCs w:val="20"/>
              </w:rPr>
            </w:pPr>
            <w:r>
              <w:rPr>
                <w:rFonts w:ascii="Calibri" w:eastAsia="Calibri" w:hAnsi="Calibri" w:cs="Calibri"/>
                <w:color w:val="auto"/>
                <w:sz w:val="12"/>
                <w:szCs w:val="12"/>
              </w:rPr>
              <w:t>24,943</w:t>
            </w:r>
          </w:p>
        </w:tc>
      </w:tr>
      <w:tr>
        <w:tblPrEx>
          <w:tblInd w:w="0" w:type="dxa"/>
          <w:tblLayout w:type="fixed"/>
        </w:tblPrEx>
        <w:trPr>
          <w:trHeight w:val="147"/>
        </w:trPr>
        <w:tc>
          <w:tcPr>
            <w:tcW w:w="4180" w:type="dxa"/>
            <w:vAlign w:val="bottom"/>
          </w:tcPr>
          <w:p>
            <w:pPr>
              <w:spacing w:after="0" w:line="142" w:lineRule="exact"/>
              <w:rPr>
                <w:color w:val="auto"/>
                <w:sz w:val="20"/>
                <w:szCs w:val="20"/>
              </w:rPr>
            </w:pPr>
            <w:r>
              <w:rPr>
                <w:rFonts w:ascii="Calibri" w:eastAsia="Calibri" w:hAnsi="Calibri" w:cs="Calibri"/>
                <w:color w:val="auto"/>
                <w:sz w:val="12"/>
                <w:szCs w:val="12"/>
              </w:rPr>
              <w:t>Investng actvites</w:t>
            </w:r>
          </w:p>
        </w:tc>
        <w:tc>
          <w:tcPr>
            <w:tcW w:w="2960" w:type="dxa"/>
            <w:vAlign w:val="bottom"/>
          </w:tcPr>
          <w:p>
            <w:pPr>
              <w:spacing w:after="0"/>
              <w:rPr>
                <w:color w:val="auto"/>
                <w:sz w:val="12"/>
                <w:szCs w:val="12"/>
              </w:rPr>
            </w:pPr>
          </w:p>
        </w:tc>
        <w:tc>
          <w:tcPr>
            <w:tcW w:w="1120" w:type="dxa"/>
            <w:vAlign w:val="bottom"/>
          </w:tcPr>
          <w:p>
            <w:pPr>
              <w:spacing w:after="0" w:line="142" w:lineRule="exact"/>
              <w:jc w:val="right"/>
              <w:rPr>
                <w:color w:val="auto"/>
                <w:sz w:val="20"/>
                <w:szCs w:val="20"/>
              </w:rPr>
            </w:pPr>
            <w:r>
              <w:rPr>
                <w:rFonts w:ascii="Calibri" w:eastAsia="Calibri" w:hAnsi="Calibri" w:cs="Calibri"/>
                <w:color w:val="auto"/>
                <w:sz w:val="12"/>
                <w:szCs w:val="12"/>
              </w:rPr>
              <w:t>(20,820)</w:t>
            </w:r>
          </w:p>
        </w:tc>
        <w:tc>
          <w:tcPr>
            <w:tcW w:w="400" w:type="dxa"/>
            <w:vAlign w:val="bottom"/>
          </w:tcPr>
          <w:p>
            <w:pPr>
              <w:spacing w:after="0"/>
              <w:rPr>
                <w:color w:val="auto"/>
                <w:sz w:val="12"/>
                <w:szCs w:val="12"/>
              </w:rPr>
            </w:pPr>
          </w:p>
        </w:tc>
        <w:tc>
          <w:tcPr>
            <w:tcW w:w="114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(2,009)</w:t>
            </w:r>
          </w:p>
        </w:tc>
        <w:tc>
          <w:tcPr>
            <w:tcW w:w="380" w:type="dxa"/>
            <w:vAlign w:val="bottom"/>
          </w:tcPr>
          <w:p>
            <w:pPr>
              <w:spacing w:after="0"/>
              <w:rPr>
                <w:color w:val="auto"/>
                <w:sz w:val="12"/>
                <w:szCs w:val="12"/>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(623)</w:t>
            </w:r>
          </w:p>
        </w:tc>
      </w:tr>
      <w:tr>
        <w:tblPrEx>
          <w:tblInd w:w="0" w:type="dxa"/>
          <w:tblLayout w:type="fixed"/>
        </w:tblPrEx>
        <w:trPr>
          <w:trHeight w:val="153"/>
        </w:trPr>
        <w:tc>
          <w:tcPr>
            <w:tcW w:w="418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Financing actvites</w:t>
            </w:r>
          </w:p>
        </w:tc>
        <w:tc>
          <w:tcPr>
            <w:tcW w:w="296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(5,211)</w:t>
            </w:r>
          </w:p>
        </w:tc>
        <w:tc>
          <w:tcPr>
            <w:tcW w:w="400" w:type="dxa"/>
            <w:tcBorders>
              <w:bottom w:val="single" w:sz="8" w:space="0" w:color="auto"/>
            </w:tcBorders>
            <w:shd w:val="clear" w:color="auto" w:fill="CCEEFF"/>
            <w:vAlign w:val="bottom"/>
          </w:tcPr>
          <w:p>
            <w:pPr>
              <w:spacing w:after="0"/>
              <w:rPr>
                <w:color w:val="auto"/>
                <w:sz w:val="13"/>
                <w:szCs w:val="13"/>
              </w:rPr>
            </w:pPr>
          </w:p>
        </w:tc>
        <w:tc>
          <w:tcPr>
            <w:tcW w:w="1140" w:type="dxa"/>
            <w:tcBorders>
              <w:bottom w:val="single" w:sz="8" w:space="0" w:color="auto"/>
            </w:tcBorders>
            <w:shd w:val="clear" w:color="auto" w:fill="CCEEFF"/>
            <w:vAlign w:val="bottom"/>
          </w:tcPr>
          <w:p>
            <w:pPr>
              <w:spacing w:after="0"/>
              <w:ind w:right="3"/>
              <w:jc w:val="right"/>
              <w:rPr>
                <w:color w:val="auto"/>
                <w:sz w:val="20"/>
                <w:szCs w:val="20"/>
              </w:rPr>
            </w:pPr>
            <w:r>
              <w:rPr>
                <w:rFonts w:ascii="Calibri" w:eastAsia="Calibri" w:hAnsi="Calibri" w:cs="Calibri"/>
                <w:color w:val="auto"/>
                <w:sz w:val="12"/>
                <w:szCs w:val="12"/>
              </w:rPr>
              <w:t>(17,222)</w:t>
            </w:r>
          </w:p>
        </w:tc>
        <w:tc>
          <w:tcPr>
            <w:tcW w:w="380" w:type="dxa"/>
            <w:tcBorders>
              <w:bottom w:val="single" w:sz="8" w:space="0" w:color="auto"/>
            </w:tcBorders>
            <w:shd w:val="clear" w:color="auto" w:fill="CCEEFF"/>
            <w:vAlign w:val="bottom"/>
          </w:tcPr>
          <w:p>
            <w:pPr>
              <w:spacing w:after="0"/>
              <w:rPr>
                <w:color w:val="auto"/>
                <w:sz w:val="13"/>
                <w:szCs w:val="13"/>
              </w:rPr>
            </w:pPr>
          </w:p>
        </w:tc>
        <w:tc>
          <w:tcPr>
            <w:tcW w:w="110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(24,803)</w:t>
            </w:r>
          </w:p>
        </w:tc>
      </w:tr>
    </w:tbl>
    <w:p>
      <w:pPr>
        <w:spacing w:after="0" w:line="165"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Operatng cash fows in 2024 decreased compared to the prior year primarily due to the tming of working capital and higher contngent consideraton payments classifed as operatng cash fows, partally ofset by increased results from operatons driven by higher net revenues. Operatng cash fows also refected AbbVie’s contributons to its defned beneft plans of $326 million in 2024 and $366 million in 2023.</w:t>
      </w:r>
    </w:p>
    <w:p>
      <w:pPr>
        <w:spacing w:after="0" w:line="101"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Investng cash fows in 2024 included $18.5 billion cash consideraton paid to acquire ImmunoGen and Cerevel Therapeutcs ofset by cash acquired of $952 million, net sales and maturites of investment securites of $482 million, payments made for other acquisitons and investments of $3.0 billion and capital expenditures of $974 million. Investng cash fows in 2023 included payments made for other acquisitons and investments of $1.2 billion, capital expenditures of $777 million and net purchases of investments securites totaling $22 million.</w:t>
      </w:r>
    </w:p>
    <w:p>
      <w:pPr>
        <w:spacing w:after="0" w:line="94"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Financing cash fows in 2024 included the issuance of unsecured senior notes totaling $15.0 billion aggregate principal which were used to fnance the acquisitons of ImmunoGen and Cerevel Therapeutcs. Additonally, fnancing cash fows included the issuance and repayment of $5.0 billion under the term loan credit agreement and repayments of $3.8 billion aggregate principal amount of 2.60% senior notes, €1.5 billion aggregate principal amount of 1.38% senior euro notes, €700 million aggregate principal amount of 1.25% senior euro notes, $1.0 billion aggregate principal amount of 3.85% senior notes, $99 million of secured term notes assumed from ImmunoGen in conjuncton with the acquisiton and setlement of $400 million aggregate amount of 2.5% convertble senior notes assumed from Cerevel Therapeutcs. During the quarter ended December 31, 2024, the company refnanced its $2.0 billion foatng rate three-year term loan. As part of the refnancing, the company repaid the existng $2.0 billion term loan due May 2025 and borrowed $2.0 billion under a new term loan due April 2027.</w:t>
      </w:r>
    </w:p>
    <w:p>
      <w:pPr>
        <w:spacing w:after="0" w:line="102"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Financing cash fows in 2023 included repayment of $1.0 billion foatng rate three-year term loan, $1.0 billion aggregate principal amount of the company's 2.85% senior notes and $350 million aggregate principal amount of the company's 2.80% senior notes. During the quarter ended December 31, 2023 the company also repaid €500 million aggregate principal amount of 1.50% senior euro notes and $1.3 billion aggregate principal amount of 3.75% senior notes at maturity.</w:t>
      </w:r>
    </w:p>
    <w:p>
      <w:pPr>
        <w:spacing w:after="0" w:line="9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Financing cash fows also included cash dividend payments of $11.0 billion in 2024 and $10.5 billion in 2023. The increase in cash dividend payments was primarily driven by an increase of the dividend rate.</w:t>
      </w:r>
    </w:p>
    <w:p>
      <w:pPr>
        <w:spacing w:after="0" w:line="92" w:lineRule="exact"/>
        <w:rPr>
          <w:color w:val="auto"/>
          <w:sz w:val="20"/>
          <w:szCs w:val="20"/>
        </w:rPr>
      </w:pPr>
    </w:p>
    <w:p>
      <w:pPr>
        <w:spacing w:after="0" w:line="234" w:lineRule="auto"/>
        <w:ind w:right="20" w:firstLine="297"/>
        <w:jc w:val="both"/>
        <w:rPr>
          <w:color w:val="auto"/>
          <w:sz w:val="20"/>
          <w:szCs w:val="20"/>
        </w:rPr>
      </w:pPr>
      <w:r>
        <w:rPr>
          <w:rFonts w:ascii="Calibri" w:eastAsia="Calibri" w:hAnsi="Calibri" w:cs="Calibri"/>
          <w:color w:val="auto"/>
          <w:sz w:val="12"/>
          <w:szCs w:val="12"/>
        </w:rPr>
        <w:t>The company's stock repurchase authorizaton permits purchases of AbbVie shares from tme to tme in open-market or private transactons at management’s discreton. The program has no tme limit and can be discontnued at any tme. AbbVie repurchased 7 million shares for $1.3 billion in 2024 and 10 million shares for $1.6 billion in 2023. AbbVie's remaining stock repurchase authorizaton was $3.5 billion as of December 31, 2024. On February 16, 2023, AbbVie's board of directors authorized a $5.0 billion increase to the existng stock repurchase authorizaton.</w:t>
      </w:r>
    </w:p>
    <w:p>
      <w:pPr>
        <w:spacing w:after="0" w:line="103" w:lineRule="exact"/>
        <w:rPr>
          <w:color w:val="auto"/>
          <w:sz w:val="20"/>
          <w:szCs w:val="20"/>
        </w:rPr>
      </w:pPr>
    </w:p>
    <w:p>
      <w:pPr>
        <w:spacing w:after="0" w:line="234" w:lineRule="auto"/>
        <w:ind w:right="220" w:firstLine="297"/>
        <w:rPr>
          <w:color w:val="auto"/>
          <w:sz w:val="20"/>
          <w:szCs w:val="20"/>
        </w:rPr>
      </w:pPr>
      <w:r>
        <w:rPr>
          <w:rFonts w:ascii="Calibri" w:eastAsia="Calibri" w:hAnsi="Calibri" w:cs="Calibri"/>
          <w:color w:val="auto"/>
          <w:sz w:val="12"/>
          <w:szCs w:val="12"/>
        </w:rPr>
        <w:t>During 2024, the company issued and redeemed $7.7 billion of commercial paper. Subsequent to December 31, 2024, AbbVie issued commercial paper borrowings of which $3.3 billion were outstanding as of date of fling of this Annual Report</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43</w:t>
      </w:r>
      <w:r>
        <w:rPr>
          <w:color w:val="auto"/>
          <w:sz w:val="20"/>
          <w:szCs w:val="20"/>
        </w:rPr>
        <w:tab/>
      </w:r>
      <w:r>
        <w:rPr>
          <w:color w:val="auto"/>
          <w:sz w:val="1"/>
          <w:szCs w:val="1"/>
        </w:rPr>
        <w:drawing>
          <wp:inline distT="0" distB="0" distL="0" distR="0">
            <wp:extent cx="400050" cy="7429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69856" behindDoc="1" locked="0" layoutInCell="0" allowOverlap="1">
            <wp:simplePos x="0" y="0"/>
            <wp:positionH relativeFrom="column">
              <wp:posOffset>-17145</wp:posOffset>
            </wp:positionH>
            <wp:positionV relativeFrom="paragraph">
              <wp:posOffset>133985</wp:posOffset>
            </wp:positionV>
            <wp:extent cx="7203440" cy="3683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45" w:name="page46"/>
    <w:bookmarkEnd w:id="45"/>
    <w:p>
      <w:pPr>
        <w:spacing w:after="0" w:line="234" w:lineRule="auto"/>
        <w:ind w:right="320"/>
        <w:rPr>
          <w:color w:val="auto"/>
          <w:sz w:val="20"/>
          <w:szCs w:val="20"/>
        </w:rPr>
      </w:pPr>
      <w:r>
        <w:rPr>
          <w:rFonts w:ascii="Calibri" w:eastAsia="Calibri" w:hAnsi="Calibri" w:cs="Calibri"/>
          <w:color w:val="auto"/>
          <w:sz w:val="12"/>
          <w:szCs w:val="12"/>
        </w:rPr>
        <w:t>on Form 10-K. There were no commercial paper borrowings outstanding as of December 31, 2024 and December 31, 2023. AbbVie may issue additonal commercial paper or retre commercial paper to meet liquidity requirements as needed.</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Credit Risk</w:t>
      </w:r>
    </w:p>
    <w:p>
      <w:pPr>
        <w:spacing w:after="0" w:line="101" w:lineRule="exact"/>
        <w:rPr>
          <w:color w:val="auto"/>
          <w:sz w:val="20"/>
          <w:szCs w:val="20"/>
        </w:rPr>
      </w:pPr>
    </w:p>
    <w:p>
      <w:pPr>
        <w:spacing w:after="0" w:line="264" w:lineRule="auto"/>
        <w:ind w:right="20" w:firstLine="297"/>
        <w:rPr>
          <w:color w:val="auto"/>
          <w:sz w:val="20"/>
          <w:szCs w:val="20"/>
        </w:rPr>
      </w:pPr>
      <w:r>
        <w:rPr>
          <w:rFonts w:ascii="Calibri" w:eastAsia="Calibri" w:hAnsi="Calibri" w:cs="Calibri"/>
          <w:color w:val="auto"/>
          <w:sz w:val="11"/>
          <w:szCs w:val="11"/>
        </w:rPr>
        <w:t>AbbVie monitors economic conditons, the creditworthiness of customers and government regulatons and funding, both domestcally and abroad. AbbVie regularly communicates with its customers regarding the status of receivable balances, including their payment plans and obtains positve confrmaton of the validity of the receivables. AbbVie establishes an allowance for credit losses equal to the estmate of future losses over the contractual life of outstanding accounts receivable. AbbVie may also utlize factoring arrangements to mitgate credit risk, although the receivables included in such arrangements have historically not been a signifcant amount of total outstanding receivables.</w:t>
      </w:r>
    </w:p>
    <w:p>
      <w:pPr>
        <w:spacing w:after="0" w:line="83"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Credit Facility, Access to Capital and Credit Ratngs</w:t>
      </w:r>
    </w:p>
    <w:p>
      <w:pPr>
        <w:spacing w:after="0" w:line="88"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Credit Facility</w:t>
      </w:r>
    </w:p>
    <w:p>
      <w:pPr>
        <w:spacing w:after="0" w:line="101"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In December 2023, in connecton with the acquisitons of ImmunoGen and Cerevel Therapeutcs, AbbVie entered into a $9.0 billion 364-day bridge credit agreement and $5.0 billion 364-day term loan credit agreement. In February 2024, AbbVie borrowed and repaid $5.0 billion under the term loan credit agreement. AbbVie also issued $15.0 billion aggregate principal amount of unsecured senior notes in February 2024. Subsequent to the issuance of these senior notes, AbbVie terminated both the bridge and term loan credit agreements in the frst quarter of 2024.</w:t>
      </w:r>
    </w:p>
    <w:p>
      <w:pPr>
        <w:spacing w:after="0" w:line="103" w:lineRule="exact"/>
        <w:rPr>
          <w:color w:val="auto"/>
          <w:sz w:val="20"/>
          <w:szCs w:val="20"/>
        </w:rPr>
      </w:pPr>
    </w:p>
    <w:p>
      <w:pPr>
        <w:spacing w:after="0" w:line="264" w:lineRule="auto"/>
        <w:ind w:right="120" w:firstLine="297"/>
        <w:jc w:val="both"/>
        <w:rPr>
          <w:color w:val="auto"/>
          <w:sz w:val="20"/>
          <w:szCs w:val="20"/>
        </w:rPr>
      </w:pPr>
      <w:r>
        <w:rPr>
          <w:rFonts w:ascii="Calibri" w:eastAsia="Calibri" w:hAnsi="Calibri" w:cs="Calibri"/>
          <w:color w:val="auto"/>
          <w:sz w:val="11"/>
          <w:szCs w:val="11"/>
        </w:rPr>
        <w:t>AbbVie currently has an existng $5.0 billion fve-year revolving credit facility that matures in March 2028. Subsequent to December 31, 2024, in additon to the existng revolving credit facility, AbbVie entered into a new $3.0 billion fve-year revolving credit facility that matures in January 2030. The revolving credit facilites enable the company to borrow funds on an unsecured basis at variable interest rates and contain various covenants. At December 31, 2024, the company was in compliance with all covenants, and commitment fees under the credit facility were insignifcant. No amounts were outstanding under the company's credit facilites as of December 31, 2024 and December 31, 2023.</w:t>
      </w:r>
    </w:p>
    <w:p>
      <w:pPr>
        <w:spacing w:after="0" w:line="74"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Access to Capital</w:t>
      </w:r>
    </w:p>
    <w:p>
      <w:pPr>
        <w:spacing w:after="0" w:line="101" w:lineRule="exact"/>
        <w:rPr>
          <w:color w:val="auto"/>
          <w:sz w:val="20"/>
          <w:szCs w:val="20"/>
        </w:rPr>
      </w:pPr>
    </w:p>
    <w:p>
      <w:pPr>
        <w:spacing w:after="0" w:line="235" w:lineRule="auto"/>
        <w:ind w:right="100" w:firstLine="297"/>
        <w:rPr>
          <w:color w:val="auto"/>
          <w:sz w:val="20"/>
          <w:szCs w:val="20"/>
        </w:rPr>
      </w:pPr>
      <w:r>
        <w:rPr>
          <w:rFonts w:ascii="Calibri" w:eastAsia="Calibri" w:hAnsi="Calibri" w:cs="Calibri"/>
          <w:color w:val="auto"/>
          <w:sz w:val="12"/>
          <w:szCs w:val="12"/>
        </w:rPr>
        <w:t>The company intends to fund short-term and long-term fnancial obligatons as they mature through cash on hand, future cash fows from operatons or has the ability to issue additonal debt. The company's ability to generate cash fows from operatons, issue debt or enter into fnancing arrangements on acceptable terms could be adversely afected if there is a material decline in the demand for the company's products or in the solvency of its customers or suppliers, deterioraton in the company's key fnancial ratos or credit ratngs, or other material unfavorable changes in business conditons. At the current tme, the company believes it has sufcient fnancial fexibility to issue debt, enter into other fnancing arrangements and atract long-term capital on acceptable terms to support the company's growth objectves.</w:t>
      </w:r>
    </w:p>
    <w:p>
      <w:pPr>
        <w:spacing w:after="0" w:line="97"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Credit Ratngs</w:t>
      </w:r>
    </w:p>
    <w:p>
      <w:pPr>
        <w:spacing w:after="0" w:line="92" w:lineRule="exact"/>
        <w:rPr>
          <w:color w:val="auto"/>
          <w:sz w:val="20"/>
          <w:szCs w:val="20"/>
        </w:rPr>
      </w:pPr>
    </w:p>
    <w:p>
      <w:pPr>
        <w:spacing w:after="0" w:line="234" w:lineRule="auto"/>
        <w:ind w:right="240" w:firstLine="297"/>
        <w:rPr>
          <w:color w:val="auto"/>
          <w:sz w:val="20"/>
          <w:szCs w:val="20"/>
        </w:rPr>
      </w:pPr>
      <w:r>
        <w:rPr>
          <w:rFonts w:ascii="Calibri" w:eastAsia="Calibri" w:hAnsi="Calibri" w:cs="Calibri"/>
          <w:color w:val="auto"/>
          <w:sz w:val="12"/>
          <w:szCs w:val="12"/>
        </w:rPr>
        <w:t>In August 2024, Moody’s Investors Service (Moody’s) afrmed its A3 senior unsecured long-term ratng. At the same tme, Moody’s revised its outlook to positve from stable. There were no other changes in the company’s credit ratngs during 2024. Unfavorable changes to the ratngs may have an adverse impact on future fnancing arrangements. However, they would not afect the company’s ability to draw on its credit facility and would not result in an acceleraton of scheduled maturites of any of the company’s outstanding debt.</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Future Cash Requirements</w:t>
      </w:r>
    </w:p>
    <w:p>
      <w:pPr>
        <w:spacing w:after="0" w:line="97"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Contractual Obligatons</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AbbVie's estmated material contractual obligatons as of December 31, 2024:</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860"/>
        <w:gridCol w:w="3120"/>
        <w:gridCol w:w="880"/>
        <w:gridCol w:w="320"/>
        <w:gridCol w:w="920"/>
        <w:gridCol w:w="280"/>
        <w:gridCol w:w="920"/>
      </w:tblGrid>
      <w:tr>
        <w:tblPrEx>
          <w:tblInd w:w="0" w:type="dxa"/>
          <w:tblLayout w:type="fixed"/>
        </w:tblPrEx>
        <w:trPr>
          <w:trHeight w:val="122"/>
        </w:trPr>
        <w:tc>
          <w:tcPr>
            <w:tcW w:w="4860" w:type="dxa"/>
            <w:vAlign w:val="bottom"/>
          </w:tcPr>
          <w:p>
            <w:pPr>
              <w:spacing w:after="0"/>
              <w:rPr>
                <w:color w:val="auto"/>
                <w:sz w:val="20"/>
                <w:szCs w:val="20"/>
              </w:rPr>
            </w:pPr>
            <w:r>
              <w:rPr>
                <w:rFonts w:ascii="Calibri" w:eastAsia="Calibri" w:hAnsi="Calibri" w:cs="Calibri"/>
                <w:b/>
                <w:bCs/>
                <w:color w:val="auto"/>
                <w:sz w:val="10"/>
                <w:szCs w:val="10"/>
              </w:rPr>
              <w:t>(in millions)</w:t>
            </w:r>
          </w:p>
        </w:tc>
        <w:tc>
          <w:tcPr>
            <w:tcW w:w="3120" w:type="dxa"/>
            <w:vAlign w:val="bottom"/>
          </w:tcPr>
          <w:p>
            <w:pPr>
              <w:spacing w:after="0"/>
              <w:rPr>
                <w:color w:val="auto"/>
                <w:sz w:val="10"/>
                <w:szCs w:val="10"/>
              </w:rPr>
            </w:pPr>
          </w:p>
        </w:tc>
        <w:tc>
          <w:tcPr>
            <w:tcW w:w="880" w:type="dxa"/>
            <w:vAlign w:val="bottom"/>
          </w:tcPr>
          <w:p>
            <w:pPr>
              <w:spacing w:after="0"/>
              <w:ind w:right="443"/>
              <w:jc w:val="right"/>
              <w:rPr>
                <w:color w:val="auto"/>
                <w:sz w:val="20"/>
                <w:szCs w:val="20"/>
              </w:rPr>
            </w:pPr>
            <w:r>
              <w:rPr>
                <w:rFonts w:ascii="Calibri" w:eastAsia="Calibri" w:hAnsi="Calibri" w:cs="Calibri"/>
                <w:b/>
                <w:bCs/>
                <w:color w:val="auto"/>
                <w:sz w:val="10"/>
                <w:szCs w:val="10"/>
              </w:rPr>
              <w:t>Total</w:t>
            </w:r>
          </w:p>
        </w:tc>
        <w:tc>
          <w:tcPr>
            <w:tcW w:w="320" w:type="dxa"/>
            <w:vAlign w:val="bottom"/>
          </w:tcPr>
          <w:p>
            <w:pPr>
              <w:spacing w:after="0"/>
              <w:rPr>
                <w:color w:val="auto"/>
                <w:sz w:val="10"/>
                <w:szCs w:val="10"/>
              </w:rPr>
            </w:pPr>
          </w:p>
        </w:tc>
        <w:tc>
          <w:tcPr>
            <w:tcW w:w="920" w:type="dxa"/>
            <w:vAlign w:val="bottom"/>
          </w:tcPr>
          <w:p>
            <w:pPr>
              <w:spacing w:after="0"/>
              <w:ind w:right="403"/>
              <w:jc w:val="right"/>
              <w:rPr>
                <w:color w:val="auto"/>
                <w:sz w:val="20"/>
                <w:szCs w:val="20"/>
              </w:rPr>
            </w:pPr>
            <w:r>
              <w:rPr>
                <w:rFonts w:ascii="Calibri" w:eastAsia="Calibri" w:hAnsi="Calibri" w:cs="Calibri"/>
                <w:b/>
                <w:bCs/>
                <w:color w:val="auto"/>
                <w:sz w:val="10"/>
                <w:szCs w:val="10"/>
              </w:rPr>
              <w:t>Current</w:t>
            </w:r>
          </w:p>
        </w:tc>
        <w:tc>
          <w:tcPr>
            <w:tcW w:w="280" w:type="dxa"/>
            <w:vAlign w:val="bottom"/>
          </w:tcPr>
          <w:p>
            <w:pPr>
              <w:spacing w:after="0"/>
              <w:rPr>
                <w:color w:val="auto"/>
                <w:sz w:val="10"/>
                <w:szCs w:val="10"/>
              </w:rPr>
            </w:pPr>
          </w:p>
        </w:tc>
        <w:tc>
          <w:tcPr>
            <w:tcW w:w="920" w:type="dxa"/>
            <w:vAlign w:val="bottom"/>
          </w:tcPr>
          <w:p>
            <w:pPr>
              <w:spacing w:after="0"/>
              <w:ind w:right="303"/>
              <w:jc w:val="right"/>
              <w:rPr>
                <w:color w:val="auto"/>
                <w:sz w:val="20"/>
                <w:szCs w:val="20"/>
              </w:rPr>
            </w:pPr>
            <w:r>
              <w:rPr>
                <w:rFonts w:ascii="Calibri" w:eastAsia="Calibri" w:hAnsi="Calibri" w:cs="Calibri"/>
                <w:b/>
                <w:bCs/>
                <w:color w:val="auto"/>
                <w:sz w:val="10"/>
                <w:szCs w:val="10"/>
              </w:rPr>
              <w:t>Long-term</w:t>
            </w:r>
          </w:p>
        </w:tc>
      </w:tr>
      <w:tr>
        <w:tblPrEx>
          <w:tblInd w:w="0" w:type="dxa"/>
          <w:tblLayout w:type="fixed"/>
        </w:tblPrEx>
        <w:trPr>
          <w:trHeight w:val="32"/>
        </w:trPr>
        <w:tc>
          <w:tcPr>
            <w:tcW w:w="4860" w:type="dxa"/>
            <w:tcBorders>
              <w:bottom w:val="single" w:sz="8" w:space="0" w:color="auto"/>
            </w:tcBorders>
            <w:vAlign w:val="bottom"/>
          </w:tcPr>
          <w:p>
            <w:pPr>
              <w:spacing w:after="0"/>
              <w:rPr>
                <w:color w:val="auto"/>
                <w:sz w:val="2"/>
                <w:szCs w:val="2"/>
              </w:rPr>
            </w:pPr>
          </w:p>
        </w:tc>
        <w:tc>
          <w:tcPr>
            <w:tcW w:w="312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8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Long-term debt, including current porton</w:t>
            </w:r>
          </w:p>
        </w:tc>
        <w:tc>
          <w:tcPr>
            <w:tcW w:w="3120" w:type="dxa"/>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88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66,841</w:t>
            </w:r>
          </w:p>
        </w:tc>
        <w:tc>
          <w:tcPr>
            <w:tcW w:w="320" w:type="dxa"/>
            <w:shd w:val="clear" w:color="auto" w:fill="CCEEFF"/>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c>
          <w:tcPr>
            <w:tcW w:w="920" w:type="dxa"/>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6,771</w:t>
            </w:r>
          </w:p>
        </w:tc>
        <w:tc>
          <w:tcPr>
            <w:tcW w:w="280" w:type="dxa"/>
            <w:shd w:val="clear" w:color="auto" w:fill="CCEEFF"/>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92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60,070</w:t>
            </w:r>
          </w:p>
        </w:tc>
      </w:tr>
      <w:tr>
        <w:tblPrEx>
          <w:tblInd w:w="0" w:type="dxa"/>
          <w:tblLayout w:type="fixed"/>
        </w:tblPrEx>
        <w:trPr>
          <w:trHeight w:val="153"/>
        </w:trPr>
        <w:tc>
          <w:tcPr>
            <w:tcW w:w="4860" w:type="dxa"/>
            <w:vAlign w:val="bottom"/>
          </w:tcPr>
          <w:p>
            <w:pPr>
              <w:spacing w:after="0" w:line="153" w:lineRule="exact"/>
              <w:rPr>
                <w:color w:val="auto"/>
                <w:sz w:val="20"/>
                <w:szCs w:val="20"/>
              </w:rPr>
            </w:pPr>
            <w:r>
              <w:rPr>
                <w:rFonts w:ascii="Calibri" w:eastAsia="Calibri" w:hAnsi="Calibri" w:cs="Calibri"/>
                <w:color w:val="auto"/>
                <w:sz w:val="12"/>
                <w:szCs w:val="12"/>
              </w:rPr>
              <w:t>Interest on long-term debt</w:t>
            </w:r>
            <w:r>
              <w:rPr>
                <w:rFonts w:ascii="Calibri" w:eastAsia="Calibri" w:hAnsi="Calibri" w:cs="Calibri"/>
                <w:color w:val="auto"/>
                <w:sz w:val="15"/>
                <w:szCs w:val="15"/>
                <w:vertAlign w:val="superscript"/>
              </w:rPr>
              <w:t>(a)</w:t>
            </w:r>
          </w:p>
        </w:tc>
        <w:tc>
          <w:tcPr>
            <w:tcW w:w="3120" w:type="dxa"/>
            <w:vAlign w:val="bottom"/>
          </w:tcPr>
          <w:p>
            <w:pPr>
              <w:spacing w:after="0"/>
              <w:rPr>
                <w:color w:val="auto"/>
                <w:sz w:val="13"/>
                <w:szCs w:val="13"/>
              </w:rPr>
            </w:pPr>
          </w:p>
        </w:tc>
        <w:tc>
          <w:tcPr>
            <w:tcW w:w="88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36,040</w:t>
            </w:r>
          </w:p>
        </w:tc>
        <w:tc>
          <w:tcPr>
            <w:tcW w:w="320" w:type="dxa"/>
            <w:vAlign w:val="bottom"/>
          </w:tcPr>
          <w:p>
            <w:pPr>
              <w:spacing w:after="0"/>
              <w:rPr>
                <w:color w:val="auto"/>
                <w:sz w:val="13"/>
                <w:szCs w:val="13"/>
              </w:rPr>
            </w:pPr>
          </w:p>
        </w:tc>
        <w:tc>
          <w:tcPr>
            <w:tcW w:w="920" w:type="dxa"/>
            <w:vAlign w:val="bottom"/>
          </w:tcPr>
          <w:p>
            <w:pPr>
              <w:spacing w:after="0" w:line="142" w:lineRule="exact"/>
              <w:ind w:right="23"/>
              <w:jc w:val="right"/>
              <w:rPr>
                <w:color w:val="auto"/>
                <w:sz w:val="20"/>
                <w:szCs w:val="20"/>
              </w:rPr>
            </w:pPr>
            <w:r>
              <w:rPr>
                <w:rFonts w:ascii="Calibri" w:eastAsia="Calibri" w:hAnsi="Calibri" w:cs="Calibri"/>
                <w:color w:val="auto"/>
                <w:sz w:val="12"/>
                <w:szCs w:val="12"/>
              </w:rPr>
              <w:t>2,764</w:t>
            </w:r>
          </w:p>
        </w:tc>
        <w:tc>
          <w:tcPr>
            <w:tcW w:w="280" w:type="dxa"/>
            <w:vAlign w:val="bottom"/>
          </w:tcPr>
          <w:p>
            <w:pPr>
              <w:spacing w:after="0"/>
              <w:rPr>
                <w:color w:val="auto"/>
                <w:sz w:val="13"/>
                <w:szCs w:val="13"/>
              </w:rPr>
            </w:pPr>
          </w:p>
        </w:tc>
        <w:tc>
          <w:tcPr>
            <w:tcW w:w="92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33,276</w:t>
            </w:r>
          </w:p>
        </w:tc>
      </w:tr>
      <w:tr>
        <w:tblPrEx>
          <w:tblInd w:w="0" w:type="dxa"/>
          <w:tblLayout w:type="fixed"/>
        </w:tblPrEx>
        <w:trPr>
          <w:trHeight w:val="153"/>
        </w:trPr>
        <w:tc>
          <w:tcPr>
            <w:tcW w:w="4860" w:type="dxa"/>
            <w:tcBorders>
              <w:bottom w:val="single" w:sz="8" w:space="0" w:color="auto"/>
            </w:tcBorders>
            <w:shd w:val="clear" w:color="auto" w:fill="CCEEFF"/>
            <w:vAlign w:val="bottom"/>
          </w:tcPr>
          <w:p>
            <w:pPr>
              <w:spacing w:after="0" w:line="153" w:lineRule="exact"/>
              <w:rPr>
                <w:color w:val="auto"/>
                <w:sz w:val="20"/>
                <w:szCs w:val="20"/>
              </w:rPr>
            </w:pPr>
            <w:r>
              <w:rPr>
                <w:rFonts w:ascii="Calibri" w:eastAsia="Calibri" w:hAnsi="Calibri" w:cs="Calibri"/>
                <w:color w:val="auto"/>
                <w:sz w:val="12"/>
                <w:szCs w:val="12"/>
              </w:rPr>
              <w:t>Contngent consideraton liabilites</w:t>
            </w:r>
            <w:r>
              <w:rPr>
                <w:rFonts w:ascii="Calibri" w:eastAsia="Calibri" w:hAnsi="Calibri" w:cs="Calibri"/>
                <w:color w:val="auto"/>
                <w:sz w:val="15"/>
                <w:szCs w:val="15"/>
                <w:vertAlign w:val="superscript"/>
              </w:rPr>
              <w:t>(b)</w:t>
            </w:r>
          </w:p>
        </w:tc>
        <w:tc>
          <w:tcPr>
            <w:tcW w:w="3120" w:type="dxa"/>
            <w:tcBorders>
              <w:bottom w:val="single" w:sz="8" w:space="0" w:color="auto"/>
            </w:tcBorders>
            <w:shd w:val="clear" w:color="auto" w:fill="CCEEFF"/>
            <w:vAlign w:val="bottom"/>
          </w:tcPr>
          <w:p>
            <w:pPr>
              <w:spacing w:after="0"/>
              <w:rPr>
                <w:color w:val="auto"/>
                <w:sz w:val="13"/>
                <w:szCs w:val="13"/>
              </w:rPr>
            </w:pPr>
          </w:p>
        </w:tc>
        <w:tc>
          <w:tcPr>
            <w:tcW w:w="880" w:type="dxa"/>
            <w:tcBorders>
              <w:bottom w:val="single" w:sz="8" w:space="0" w:color="auto"/>
            </w:tcBorders>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21,666</w:t>
            </w:r>
          </w:p>
        </w:tc>
        <w:tc>
          <w:tcPr>
            <w:tcW w:w="320" w:type="dxa"/>
            <w:tcBorders>
              <w:bottom w:val="single" w:sz="8" w:space="0" w:color="auto"/>
            </w:tcBorders>
            <w:shd w:val="clear" w:color="auto" w:fill="CCEEFF"/>
            <w:vAlign w:val="bottom"/>
          </w:tcPr>
          <w:p>
            <w:pPr>
              <w:spacing w:after="0"/>
              <w:rPr>
                <w:color w:val="auto"/>
                <w:sz w:val="13"/>
                <w:szCs w:val="13"/>
              </w:rPr>
            </w:pPr>
          </w:p>
        </w:tc>
        <w:tc>
          <w:tcPr>
            <w:tcW w:w="920" w:type="dxa"/>
            <w:tcBorders>
              <w:bottom w:val="single" w:sz="8" w:space="0" w:color="auto"/>
            </w:tcBorders>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2,589</w:t>
            </w:r>
          </w:p>
        </w:tc>
        <w:tc>
          <w:tcPr>
            <w:tcW w:w="280" w:type="dxa"/>
            <w:tcBorders>
              <w:bottom w:val="single" w:sz="8" w:space="0" w:color="auto"/>
            </w:tcBorders>
            <w:shd w:val="clear" w:color="auto" w:fill="CCEEFF"/>
            <w:vAlign w:val="bottom"/>
          </w:tcPr>
          <w:p>
            <w:pPr>
              <w:spacing w:after="0"/>
              <w:rPr>
                <w:color w:val="auto"/>
                <w:sz w:val="13"/>
                <w:szCs w:val="13"/>
              </w:rPr>
            </w:pPr>
          </w:p>
        </w:tc>
        <w:tc>
          <w:tcPr>
            <w:tcW w:w="920" w:type="dxa"/>
            <w:tcBorders>
              <w:bottom w:val="single" w:sz="8" w:space="0" w:color="auto"/>
            </w:tcBorders>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19,077</w:t>
            </w:r>
          </w:p>
        </w:tc>
      </w:tr>
    </w:tbl>
    <w:p>
      <w:pPr>
        <w:spacing w:after="0" w:line="147" w:lineRule="exact"/>
        <w:rPr>
          <w:color w:val="auto"/>
          <w:sz w:val="20"/>
          <w:szCs w:val="20"/>
        </w:rPr>
      </w:pPr>
    </w:p>
    <w:p>
      <w:pPr>
        <w:numPr>
          <w:ilvl w:val="0"/>
          <w:numId w:val="23"/>
        </w:numPr>
        <w:tabs>
          <w:tab w:val="left" w:pos="312"/>
        </w:tabs>
        <w:spacing w:after="0" w:line="271" w:lineRule="auto"/>
        <w:ind w:left="320" w:right="60" w:hanging="301"/>
        <w:rPr>
          <w:rFonts w:ascii="Calibri" w:eastAsia="Calibri" w:hAnsi="Calibri" w:cs="Calibri"/>
          <w:color w:val="auto"/>
          <w:sz w:val="11"/>
          <w:szCs w:val="11"/>
        </w:rPr>
      </w:pPr>
      <w:r>
        <w:rPr>
          <w:rFonts w:ascii="Calibri" w:eastAsia="Calibri" w:hAnsi="Calibri" w:cs="Calibri"/>
          <w:color w:val="auto"/>
          <w:sz w:val="11"/>
          <w:szCs w:val="11"/>
        </w:rPr>
        <w:t>Includes estmated future interest payments on long-term debt. Interest payments on debt are calculated for future periods using forecasted interest rates in efect at the end of 2024. Projected interest payments include the related efects of interest rate swap agreements. Certain of these projected interest payments may difer in the future based on changes in foatng interest rates or other factors or events. The projected interest payments only pertain to</w:t>
      </w:r>
    </w:p>
    <w:p>
      <w:pPr>
        <w:spacing w:after="0" w:line="20" w:lineRule="exact"/>
        <w:rPr>
          <w:color w:val="auto"/>
          <w:sz w:val="20"/>
          <w:szCs w:val="20"/>
        </w:rPr>
      </w:pPr>
      <w:r>
        <w:rPr>
          <w:color w:val="auto"/>
          <w:sz w:val="20"/>
          <w:szCs w:val="20"/>
        </w:rPr>
        <w:drawing>
          <wp:anchor simplePos="0" relativeHeight="251770880" behindDoc="1" locked="0" layoutInCell="0" allowOverlap="1">
            <wp:simplePos x="0" y="0"/>
            <wp:positionH relativeFrom="column">
              <wp:posOffset>6475730</wp:posOffset>
            </wp:positionH>
            <wp:positionV relativeFrom="paragraph">
              <wp:posOffset>240030</wp:posOffset>
            </wp:positionV>
            <wp:extent cx="400050" cy="74295"/>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83"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44</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771904" behindDoc="1" locked="0" layoutInCell="0" allowOverlap="1">
            <wp:simplePos x="0" y="0"/>
            <wp:positionH relativeFrom="column">
              <wp:posOffset>7154545</wp:posOffset>
            </wp:positionH>
            <wp:positionV relativeFrom="paragraph">
              <wp:posOffset>-23495</wp:posOffset>
            </wp:positionV>
            <wp:extent cx="31115" cy="3683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72928" behindDoc="1" locked="0" layoutInCell="0" allowOverlap="1">
            <wp:simplePos x="0" y="0"/>
            <wp:positionH relativeFrom="column">
              <wp:posOffset>-17145</wp:posOffset>
            </wp:positionH>
            <wp:positionV relativeFrom="paragraph">
              <wp:posOffset>-23495</wp:posOffset>
            </wp:positionV>
            <wp:extent cx="31115" cy="3683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46" w:name="page47"/>
    <w:bookmarkEnd w:id="46"/>
    <w:p>
      <w:pPr>
        <w:spacing w:after="0" w:line="234" w:lineRule="auto"/>
        <w:ind w:left="320" w:right="100"/>
        <w:rPr>
          <w:color w:val="auto"/>
          <w:sz w:val="20"/>
          <w:szCs w:val="20"/>
        </w:rPr>
      </w:pPr>
      <w:r>
        <w:rPr>
          <w:rFonts w:ascii="Calibri" w:eastAsia="Calibri" w:hAnsi="Calibri" w:cs="Calibri"/>
          <w:color w:val="auto"/>
          <w:sz w:val="12"/>
          <w:szCs w:val="12"/>
        </w:rPr>
        <w:t>obligatons and agreements outstanding at December 31, 2024. See Note 10 to the Consolidated Financial Statements for additonal informaton regarding the company's debt instruments and Note 11 for additonal informaton on the interest rate swap agreements outstanding at December 31, 2024.</w:t>
      </w:r>
    </w:p>
    <w:p>
      <w:pPr>
        <w:spacing w:after="0" w:line="92" w:lineRule="exact"/>
        <w:rPr>
          <w:color w:val="auto"/>
          <w:sz w:val="20"/>
          <w:szCs w:val="20"/>
        </w:rPr>
      </w:pPr>
    </w:p>
    <w:p>
      <w:pPr>
        <w:numPr>
          <w:ilvl w:val="0"/>
          <w:numId w:val="24"/>
        </w:numPr>
        <w:tabs>
          <w:tab w:val="left" w:pos="308"/>
        </w:tabs>
        <w:spacing w:after="0" w:line="234" w:lineRule="auto"/>
        <w:ind w:left="320" w:right="60" w:hanging="301"/>
        <w:rPr>
          <w:rFonts w:ascii="Calibri" w:eastAsia="Calibri" w:hAnsi="Calibri" w:cs="Calibri"/>
          <w:color w:val="auto"/>
          <w:sz w:val="12"/>
          <w:szCs w:val="12"/>
        </w:rPr>
      </w:pPr>
      <w:r>
        <w:rPr>
          <w:rFonts w:ascii="Calibri" w:eastAsia="Calibri" w:hAnsi="Calibri" w:cs="Calibri"/>
          <w:color w:val="auto"/>
          <w:sz w:val="12"/>
          <w:szCs w:val="12"/>
        </w:rPr>
        <w:t>Includes contngent consideraton liabilites which are recorded at fair value on the consolidated balance sheet. Potental contngent consideraton payments that exceed the fair value recorded on the consolidated balance sheet are not included in the table of contractual obligatons. See Note 11 to the Consolidated Financial Statements for additonal informaton regarding these liabilites.</w:t>
      </w:r>
    </w:p>
    <w:p>
      <w:pPr>
        <w:spacing w:after="0" w:line="101" w:lineRule="exact"/>
        <w:rPr>
          <w:color w:val="auto"/>
          <w:sz w:val="20"/>
          <w:szCs w:val="20"/>
        </w:rPr>
      </w:pPr>
    </w:p>
    <w:p>
      <w:pPr>
        <w:spacing w:after="0" w:line="234" w:lineRule="auto"/>
        <w:ind w:right="320" w:firstLine="297"/>
        <w:rPr>
          <w:color w:val="auto"/>
          <w:sz w:val="20"/>
          <w:szCs w:val="20"/>
        </w:rPr>
      </w:pPr>
      <w:r>
        <w:rPr>
          <w:rFonts w:ascii="Calibri" w:eastAsia="Calibri" w:hAnsi="Calibri" w:cs="Calibri"/>
          <w:color w:val="auto"/>
          <w:sz w:val="12"/>
          <w:szCs w:val="12"/>
        </w:rPr>
        <w:t>AbbVie enters into certain unconditonal purchase obligatons and other commitments in the normal course of business. There have been no changes to these commitments that would have a material impact on the company’s ability to meet either short-term or long-term future cash requirements.</w:t>
      </w:r>
    </w:p>
    <w:p>
      <w:pPr>
        <w:spacing w:after="0" w:line="97"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Income Taxes</w:t>
      </w:r>
    </w:p>
    <w:p>
      <w:pPr>
        <w:spacing w:after="0" w:line="92"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Future income tax cash requirements include a one-tme transiton tax liability on a mandatory deemed repatriaton of previously untaxed earnings of foreign subsidiaries resultng from U.S. tax reform enacted in 2017. The one-tme transiton tax liability was $2.2 billion as of December 31, 2024 and is payable in two future annual installments.</w:t>
      </w:r>
    </w:p>
    <w:p>
      <w:pPr>
        <w:spacing w:after="0" w:line="101" w:lineRule="exact"/>
        <w:rPr>
          <w:color w:val="auto"/>
          <w:sz w:val="20"/>
          <w:szCs w:val="20"/>
        </w:rPr>
      </w:pPr>
    </w:p>
    <w:p>
      <w:pPr>
        <w:spacing w:after="0" w:line="234" w:lineRule="auto"/>
        <w:ind w:right="180" w:firstLine="297"/>
        <w:rPr>
          <w:color w:val="auto"/>
          <w:sz w:val="20"/>
          <w:szCs w:val="20"/>
        </w:rPr>
      </w:pPr>
      <w:r>
        <w:rPr>
          <w:rFonts w:ascii="Calibri" w:eastAsia="Calibri" w:hAnsi="Calibri" w:cs="Calibri"/>
          <w:color w:val="auto"/>
          <w:sz w:val="12"/>
          <w:szCs w:val="12"/>
        </w:rPr>
        <w:t>Liabilites for unrecognized tax benefts totaled $5.0 billion as of December 31, 2024. It is not possible to reliably estmate the tming of the future cash outlows related to these liabilites. See Note 14 to the Consolidated Financial Statements for additonal informaton on these unrecognized tax benefts.</w:t>
      </w:r>
    </w:p>
    <w:p>
      <w:pPr>
        <w:spacing w:after="0" w:line="97"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Quarterly Cash Dividend</w:t>
      </w:r>
    </w:p>
    <w:p>
      <w:pPr>
        <w:spacing w:after="0" w:line="92" w:lineRule="exact"/>
        <w:rPr>
          <w:color w:val="auto"/>
          <w:sz w:val="20"/>
          <w:szCs w:val="20"/>
        </w:rPr>
      </w:pPr>
    </w:p>
    <w:p>
      <w:pPr>
        <w:spacing w:after="0" w:line="235" w:lineRule="auto"/>
        <w:ind w:right="260" w:firstLine="297"/>
        <w:rPr>
          <w:color w:val="auto"/>
          <w:sz w:val="20"/>
          <w:szCs w:val="20"/>
        </w:rPr>
      </w:pPr>
      <w:r>
        <w:rPr>
          <w:rFonts w:ascii="Calibri" w:eastAsia="Calibri" w:hAnsi="Calibri" w:cs="Calibri"/>
          <w:color w:val="auto"/>
          <w:sz w:val="12"/>
          <w:szCs w:val="12"/>
        </w:rPr>
        <w:t>On October 30, 2024, AbbVie announced that its board of directors declared an increase in the company’s quarterly dividend from $1.55 per share to $1.64 per share beginning with the dividend payable on February 14, 2025 to stockholders of record as of January 15, 2025. This refects an increase of approximately 5.8% over the previous quarterly rate. The tming, declaraton, amount of and payment of any dividends by AbbVie in the future is within the discreton of its board of directors and will depend upon many factors, including AbbVie's fnancial conditon, earnings, capital requirements of its operatng subsidiaries, covenants associated with certain of AbbVie's debt service obligatons, legal requirements, regulatory constraints, industry practce, ability to access capital markets and other factors deemed relevant by its board of directors.</w:t>
      </w:r>
    </w:p>
    <w:p>
      <w:pPr>
        <w:spacing w:after="0" w:line="97"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Collaboratons, Licensing and Other Arrangements</w:t>
      </w:r>
    </w:p>
    <w:p>
      <w:pPr>
        <w:spacing w:after="0" w:line="1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AbbVie enters into collaboratve, licensing and other arrangements with third partes that may require future milestone payments to third partes contngent upon the achievement of certain development, regulatory, or commercial milestones. Individually, these arrangements are insignifcant in any one annual reportng period. However, if milestones for multple products covered by these arrangements happen to be reached in the same reportng period, the aggregate charge to expense could be material to the results of operatons in that period. From a business perspectve, the payments are viewed as positve because they signify that the product is successfully moving through development and is now generatng or is more likely to generate future cash fows from product sales. It is not possible to predict with reasonable certainty whether these milestones will be achieved or the tming for achievement. See Note 5 to the Consolidated Financial Statements for additonal informaton on these collaboraton arrangements.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CRITICAL ACCOUNTING POLICIES AND ESTIMATES</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The preparaton of fnancial statements in accordance with generally accepted accountng principles in the United States requires the use of estmates and assumptons that afect the reported amounts of assets and liabilites and the reported amounts of revenue and expenses. A summary of the company's signifcant accountng policies is included in Note 2 to the Consolidated Financial Statements. Certain of these policies are considered critcal as these most signifcantly impact the company's fnancial conditon and results of operatons and require the most difcult, subjectve, or complex judgments, ofen as a result of the need to make estmates about the efect of maters that are inherently uncertain. Actual results may vary from these estmates.</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Revenue Recogniton</w:t>
      </w:r>
    </w:p>
    <w:p>
      <w:pPr>
        <w:spacing w:after="0" w:line="92"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AbbVie recognizes revenue when control of promised goods or services is transferred to the company’s customers, in an amount that refects the consideraton AbbVie expects to be enttled to in exchange for those goods or services. Sales, value add and other taxes collected concurrent with revenue-producing actvites are excluded from revenue. AbbVie generates revenue primarily from product sales. For the majority of sales, the company transfers control, invoices the customer and recognizes revenue upon shipment to the customer.</w:t>
      </w:r>
    </w:p>
    <w:p>
      <w:pPr>
        <w:spacing w:after="0" w:line="206"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45</w:t>
      </w:r>
      <w:r>
        <w:rPr>
          <w:color w:val="auto"/>
          <w:sz w:val="20"/>
          <w:szCs w:val="20"/>
        </w:rPr>
        <w:tab/>
      </w:r>
      <w:r>
        <w:rPr>
          <w:color w:val="auto"/>
          <w:sz w:val="1"/>
          <w:szCs w:val="1"/>
        </w:rPr>
        <w:drawing>
          <wp:inline distT="0" distB="0" distL="0" distR="0">
            <wp:extent cx="400050" cy="7429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73952" behindDoc="1" locked="0" layoutInCell="0" allowOverlap="1">
            <wp:simplePos x="0" y="0"/>
            <wp:positionH relativeFrom="column">
              <wp:posOffset>-17145</wp:posOffset>
            </wp:positionH>
            <wp:positionV relativeFrom="paragraph">
              <wp:posOffset>133985</wp:posOffset>
            </wp:positionV>
            <wp:extent cx="7203440" cy="3683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47" w:name="page48"/>
    <w:bookmarkEnd w:id="47"/>
    <w:p>
      <w:pPr>
        <w:spacing w:after="0"/>
        <w:rPr>
          <w:color w:val="auto"/>
          <w:sz w:val="20"/>
          <w:szCs w:val="20"/>
        </w:rPr>
      </w:pPr>
      <w:r>
        <w:rPr>
          <w:rFonts w:ascii="Calibri" w:eastAsia="Calibri" w:hAnsi="Calibri" w:cs="Calibri"/>
          <w:i/>
          <w:iCs/>
          <w:color w:val="auto"/>
          <w:sz w:val="12"/>
          <w:szCs w:val="12"/>
        </w:rPr>
        <w:t>Rebates</w:t>
      </w:r>
    </w:p>
    <w:p>
      <w:pPr>
        <w:spacing w:after="0" w:line="92"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AbbVie provides rebates to pharmacy beneft managers, state government Medicaid programs, insurance companies that administer Medicare drug plans, wholesalers, group purchasing organizatons and other government agencies and private enttes.</w:t>
      </w:r>
    </w:p>
    <w:p>
      <w:pPr>
        <w:spacing w:after="0" w:line="101" w:lineRule="exact"/>
        <w:rPr>
          <w:color w:val="auto"/>
          <w:sz w:val="20"/>
          <w:szCs w:val="20"/>
        </w:rPr>
      </w:pPr>
    </w:p>
    <w:p>
      <w:pPr>
        <w:spacing w:after="0" w:line="264" w:lineRule="auto"/>
        <w:ind w:right="160" w:firstLine="297"/>
        <w:jc w:val="both"/>
        <w:rPr>
          <w:color w:val="auto"/>
          <w:sz w:val="20"/>
          <w:szCs w:val="20"/>
        </w:rPr>
      </w:pPr>
      <w:r>
        <w:rPr>
          <w:rFonts w:ascii="Calibri" w:eastAsia="Calibri" w:hAnsi="Calibri" w:cs="Calibri"/>
          <w:color w:val="auto"/>
          <w:sz w:val="11"/>
          <w:szCs w:val="11"/>
        </w:rPr>
        <w:t>Rebate and chargeback accruals are accounted for as variable consideraton and are recorded as a reducton to revenue in the period the related product is sold. Provisions for rebates and chargebacks totaled $59.3 billion in 2024, $56.8 billion in 2023 and $41.4 billion in 2022. Rebate amounts are typically based upon the volume of purchases using contractual or statutory prices, which may vary by product and by payer. For each type of rebate, the factors used in the calculatons of the accrual for that rebate include the identfcaton of the products subject to the rebate, the applicable price terms and the estmated lag tme between sale and payment of the rebate, which can be signifcant.</w:t>
      </w:r>
    </w:p>
    <w:p>
      <w:pPr>
        <w:spacing w:after="0" w:line="88" w:lineRule="exact"/>
        <w:rPr>
          <w:color w:val="auto"/>
          <w:sz w:val="20"/>
          <w:szCs w:val="20"/>
        </w:rPr>
      </w:pPr>
    </w:p>
    <w:p>
      <w:pPr>
        <w:spacing w:after="0" w:line="235" w:lineRule="auto"/>
        <w:ind w:right="200" w:firstLine="297"/>
        <w:rPr>
          <w:color w:val="auto"/>
          <w:sz w:val="20"/>
          <w:szCs w:val="20"/>
        </w:rPr>
      </w:pPr>
      <w:r>
        <w:rPr>
          <w:rFonts w:ascii="Calibri" w:eastAsia="Calibri" w:hAnsi="Calibri" w:cs="Calibri"/>
          <w:color w:val="auto"/>
          <w:sz w:val="12"/>
          <w:szCs w:val="12"/>
        </w:rPr>
        <w:t>In order to establish its rebate and chargeback accruals, the company uses both internal and external data to estmate the level of inventory in the distributon channel and the rebate claims processing lag tme for each type of rebate. To estmate the rebate percentage or net price, the company tracks sales by product and by customer or payer. The company evaluates inventory data reported by wholesalers, available prescripton volume informaton, product pricing, historical experience and other factors in order to determine the adequacy of its reserves. AbbVie regularly monitors its reserves and records adjustments when rebate trends, rebate programs and contract terms, legislatve changes, or other signifcant events indicate that a change in the reserve is appropriate. Historically, adjustments to rebate accruals have not been material to net earnings.</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is an analysis of the three largest accruals for rebates and chargebacks, which comprise approximately 92% of the total consolidated rebate and chargebacks recorded as reductons to revenues in 2024.</w:t>
      </w:r>
    </w:p>
    <w:p>
      <w:pPr>
        <w:spacing w:after="0" w:line="3" w:lineRule="exact"/>
        <w:rPr>
          <w:color w:val="auto"/>
          <w:sz w:val="20"/>
          <w:szCs w:val="20"/>
        </w:rPr>
      </w:pPr>
    </w:p>
    <w:tbl>
      <w:tblPr>
        <w:tblInd w:w="0" w:type="dxa"/>
        <w:tblLayout w:type="fixed"/>
        <w:tblCellMar>
          <w:top w:w="0" w:type="dxa"/>
          <w:left w:w="0" w:type="dxa"/>
          <w:bottom w:w="0" w:type="dxa"/>
          <w:right w:w="0" w:type="dxa"/>
        </w:tblCellMar>
      </w:tblPr>
      <w:tblGrid>
        <w:gridCol w:w="4200"/>
        <w:gridCol w:w="3580"/>
        <w:gridCol w:w="500"/>
        <w:gridCol w:w="360"/>
        <w:gridCol w:w="1160"/>
        <w:gridCol w:w="320"/>
        <w:gridCol w:w="1180"/>
      </w:tblGrid>
      <w:tr>
        <w:tblPrEx>
          <w:tblInd w:w="0" w:type="dxa"/>
          <w:tblLayout w:type="fixed"/>
        </w:tblPrEx>
        <w:trPr>
          <w:trHeight w:val="122"/>
        </w:trPr>
        <w:tc>
          <w:tcPr>
            <w:tcW w:w="4200" w:type="dxa"/>
            <w:vAlign w:val="bottom"/>
          </w:tcPr>
          <w:p>
            <w:pPr>
              <w:spacing w:after="0"/>
              <w:rPr>
                <w:color w:val="auto"/>
                <w:sz w:val="10"/>
                <w:szCs w:val="10"/>
              </w:rPr>
            </w:pPr>
          </w:p>
        </w:tc>
        <w:tc>
          <w:tcPr>
            <w:tcW w:w="3580" w:type="dxa"/>
            <w:vAlign w:val="bottom"/>
          </w:tcPr>
          <w:p>
            <w:pPr>
              <w:spacing w:after="0"/>
              <w:ind w:left="3029"/>
              <w:jc w:val="center"/>
              <w:rPr>
                <w:color w:val="auto"/>
                <w:sz w:val="20"/>
                <w:szCs w:val="20"/>
              </w:rPr>
            </w:pPr>
            <w:r>
              <w:rPr>
                <w:rFonts w:ascii="Calibri" w:eastAsia="Calibri" w:hAnsi="Calibri" w:cs="Calibri"/>
                <w:b/>
                <w:bCs/>
                <w:color w:val="auto"/>
                <w:w w:val="98"/>
                <w:sz w:val="10"/>
                <w:szCs w:val="10"/>
              </w:rPr>
              <w:t>Medicaid</w:t>
            </w:r>
          </w:p>
        </w:tc>
        <w:tc>
          <w:tcPr>
            <w:tcW w:w="500" w:type="dxa"/>
            <w:vAlign w:val="bottom"/>
          </w:tcPr>
          <w:p>
            <w:pPr>
              <w:spacing w:after="0"/>
              <w:rPr>
                <w:color w:val="auto"/>
                <w:sz w:val="10"/>
                <w:szCs w:val="10"/>
              </w:rPr>
            </w:pPr>
          </w:p>
        </w:tc>
        <w:tc>
          <w:tcPr>
            <w:tcW w:w="360" w:type="dxa"/>
            <w:vAlign w:val="bottom"/>
          </w:tcPr>
          <w:p>
            <w:pPr>
              <w:spacing w:after="0"/>
              <w:rPr>
                <w:color w:val="auto"/>
                <w:sz w:val="10"/>
                <w:szCs w:val="10"/>
              </w:rPr>
            </w:pPr>
          </w:p>
        </w:tc>
        <w:tc>
          <w:tcPr>
            <w:tcW w:w="1160" w:type="dxa"/>
            <w:vAlign w:val="bottom"/>
          </w:tcPr>
          <w:p>
            <w:pPr>
              <w:spacing w:after="0"/>
              <w:rPr>
                <w:color w:val="auto"/>
                <w:sz w:val="10"/>
                <w:szCs w:val="10"/>
              </w:rPr>
            </w:pPr>
          </w:p>
        </w:tc>
        <w:tc>
          <w:tcPr>
            <w:tcW w:w="320" w:type="dxa"/>
            <w:vAlign w:val="bottom"/>
          </w:tcPr>
          <w:p>
            <w:pPr>
              <w:spacing w:after="0"/>
              <w:rPr>
                <w:color w:val="auto"/>
                <w:sz w:val="10"/>
                <w:szCs w:val="10"/>
              </w:rPr>
            </w:pPr>
          </w:p>
        </w:tc>
        <w:tc>
          <w:tcPr>
            <w:tcW w:w="1180" w:type="dxa"/>
            <w:vAlign w:val="bottom"/>
          </w:tcPr>
          <w:p>
            <w:pPr>
              <w:spacing w:after="0"/>
              <w:rPr>
                <w:color w:val="auto"/>
                <w:sz w:val="10"/>
                <w:szCs w:val="10"/>
              </w:rPr>
            </w:pPr>
          </w:p>
        </w:tc>
      </w:tr>
      <w:tr>
        <w:tblPrEx>
          <w:tblInd w:w="0" w:type="dxa"/>
          <w:tblLayout w:type="fixed"/>
        </w:tblPrEx>
        <w:trPr>
          <w:trHeight w:val="99"/>
        </w:trPr>
        <w:tc>
          <w:tcPr>
            <w:tcW w:w="4200" w:type="dxa"/>
            <w:vAlign w:val="bottom"/>
          </w:tcPr>
          <w:p>
            <w:pPr>
              <w:spacing w:after="0"/>
              <w:rPr>
                <w:color w:val="auto"/>
                <w:sz w:val="8"/>
                <w:szCs w:val="8"/>
              </w:rPr>
            </w:pPr>
          </w:p>
        </w:tc>
        <w:tc>
          <w:tcPr>
            <w:tcW w:w="3580" w:type="dxa"/>
            <w:vAlign w:val="bottom"/>
          </w:tcPr>
          <w:p>
            <w:pPr>
              <w:spacing w:after="0" w:line="99" w:lineRule="exact"/>
              <w:ind w:left="3049"/>
              <w:jc w:val="center"/>
              <w:rPr>
                <w:color w:val="auto"/>
                <w:sz w:val="20"/>
                <w:szCs w:val="20"/>
              </w:rPr>
            </w:pPr>
            <w:r>
              <w:rPr>
                <w:rFonts w:ascii="Calibri" w:eastAsia="Calibri" w:hAnsi="Calibri" w:cs="Calibri"/>
                <w:b/>
                <w:bCs/>
                <w:color w:val="auto"/>
                <w:sz w:val="10"/>
                <w:szCs w:val="10"/>
              </w:rPr>
              <w:t>and</w:t>
            </w:r>
          </w:p>
        </w:tc>
        <w:tc>
          <w:tcPr>
            <w:tcW w:w="500" w:type="dxa"/>
            <w:vAlign w:val="bottom"/>
          </w:tcPr>
          <w:p>
            <w:pPr>
              <w:spacing w:after="0"/>
              <w:rPr>
                <w:color w:val="auto"/>
                <w:sz w:val="8"/>
                <w:szCs w:val="8"/>
              </w:rPr>
            </w:pPr>
          </w:p>
        </w:tc>
        <w:tc>
          <w:tcPr>
            <w:tcW w:w="360" w:type="dxa"/>
            <w:vAlign w:val="bottom"/>
          </w:tcPr>
          <w:p>
            <w:pPr>
              <w:spacing w:after="0"/>
              <w:rPr>
                <w:color w:val="auto"/>
                <w:sz w:val="8"/>
                <w:szCs w:val="8"/>
              </w:rPr>
            </w:pPr>
          </w:p>
        </w:tc>
        <w:tc>
          <w:tcPr>
            <w:tcW w:w="1160" w:type="dxa"/>
            <w:vAlign w:val="bottom"/>
          </w:tcPr>
          <w:p>
            <w:pPr>
              <w:spacing w:after="0" w:line="99" w:lineRule="exact"/>
              <w:ind w:right="283"/>
              <w:jc w:val="center"/>
              <w:rPr>
                <w:color w:val="auto"/>
                <w:sz w:val="20"/>
                <w:szCs w:val="20"/>
              </w:rPr>
            </w:pPr>
            <w:r>
              <w:rPr>
                <w:rFonts w:ascii="Calibri" w:eastAsia="Calibri" w:hAnsi="Calibri" w:cs="Calibri"/>
                <w:b/>
                <w:bCs/>
                <w:color w:val="auto"/>
                <w:w w:val="96"/>
                <w:sz w:val="10"/>
                <w:szCs w:val="10"/>
              </w:rPr>
              <w:t>Managed</w:t>
            </w:r>
          </w:p>
        </w:tc>
        <w:tc>
          <w:tcPr>
            <w:tcW w:w="320" w:type="dxa"/>
            <w:vAlign w:val="bottom"/>
          </w:tcPr>
          <w:p>
            <w:pPr>
              <w:spacing w:after="0"/>
              <w:rPr>
                <w:color w:val="auto"/>
                <w:sz w:val="8"/>
                <w:szCs w:val="8"/>
              </w:rPr>
            </w:pPr>
          </w:p>
        </w:tc>
        <w:tc>
          <w:tcPr>
            <w:tcW w:w="1180" w:type="dxa"/>
            <w:vAlign w:val="bottom"/>
          </w:tcPr>
          <w:p>
            <w:pPr>
              <w:spacing w:after="0"/>
              <w:rPr>
                <w:color w:val="auto"/>
                <w:sz w:val="8"/>
                <w:szCs w:val="8"/>
              </w:rPr>
            </w:pPr>
          </w:p>
        </w:tc>
      </w:tr>
      <w:tr>
        <w:tblPrEx>
          <w:tblInd w:w="0" w:type="dxa"/>
          <w:tblLayout w:type="fixed"/>
        </w:tblPrEx>
        <w:trPr>
          <w:trHeight w:val="90"/>
        </w:trPr>
        <w:tc>
          <w:tcPr>
            <w:tcW w:w="4200" w:type="dxa"/>
            <w:vAlign w:val="bottom"/>
          </w:tcPr>
          <w:p>
            <w:pPr>
              <w:spacing w:after="0"/>
              <w:rPr>
                <w:color w:val="auto"/>
                <w:sz w:val="7"/>
                <w:szCs w:val="7"/>
              </w:rPr>
            </w:pPr>
          </w:p>
        </w:tc>
        <w:tc>
          <w:tcPr>
            <w:tcW w:w="3580" w:type="dxa"/>
            <w:vAlign w:val="bottom"/>
          </w:tcPr>
          <w:p>
            <w:pPr>
              <w:spacing w:after="0" w:line="90" w:lineRule="exact"/>
              <w:ind w:left="3049"/>
              <w:jc w:val="center"/>
              <w:rPr>
                <w:color w:val="auto"/>
                <w:sz w:val="20"/>
                <w:szCs w:val="20"/>
              </w:rPr>
            </w:pPr>
            <w:r>
              <w:rPr>
                <w:rFonts w:ascii="Calibri" w:eastAsia="Calibri" w:hAnsi="Calibri" w:cs="Calibri"/>
                <w:b/>
                <w:bCs/>
                <w:color w:val="auto"/>
                <w:sz w:val="8"/>
                <w:szCs w:val="8"/>
              </w:rPr>
              <w:t>Medicare</w:t>
            </w:r>
          </w:p>
        </w:tc>
        <w:tc>
          <w:tcPr>
            <w:tcW w:w="500" w:type="dxa"/>
            <w:vAlign w:val="bottom"/>
          </w:tcPr>
          <w:p>
            <w:pPr>
              <w:spacing w:after="0"/>
              <w:rPr>
                <w:color w:val="auto"/>
                <w:sz w:val="7"/>
                <w:szCs w:val="7"/>
              </w:rPr>
            </w:pPr>
          </w:p>
        </w:tc>
        <w:tc>
          <w:tcPr>
            <w:tcW w:w="360" w:type="dxa"/>
            <w:vAlign w:val="bottom"/>
          </w:tcPr>
          <w:p>
            <w:pPr>
              <w:spacing w:after="0"/>
              <w:rPr>
                <w:color w:val="auto"/>
                <w:sz w:val="7"/>
                <w:szCs w:val="7"/>
              </w:rPr>
            </w:pPr>
          </w:p>
        </w:tc>
        <w:tc>
          <w:tcPr>
            <w:tcW w:w="1160" w:type="dxa"/>
            <w:vAlign w:val="bottom"/>
          </w:tcPr>
          <w:p>
            <w:pPr>
              <w:spacing w:after="0" w:line="90" w:lineRule="exact"/>
              <w:ind w:right="243"/>
              <w:jc w:val="center"/>
              <w:rPr>
                <w:color w:val="auto"/>
                <w:sz w:val="20"/>
                <w:szCs w:val="20"/>
              </w:rPr>
            </w:pPr>
            <w:r>
              <w:rPr>
                <w:rFonts w:ascii="Calibri" w:eastAsia="Calibri" w:hAnsi="Calibri" w:cs="Calibri"/>
                <w:b/>
                <w:bCs/>
                <w:color w:val="auto"/>
                <w:sz w:val="8"/>
                <w:szCs w:val="8"/>
              </w:rPr>
              <w:t>Care</w:t>
            </w:r>
          </w:p>
        </w:tc>
        <w:tc>
          <w:tcPr>
            <w:tcW w:w="320" w:type="dxa"/>
            <w:vAlign w:val="bottom"/>
          </w:tcPr>
          <w:p>
            <w:pPr>
              <w:spacing w:after="0"/>
              <w:rPr>
                <w:color w:val="auto"/>
                <w:sz w:val="7"/>
                <w:szCs w:val="7"/>
              </w:rPr>
            </w:pPr>
          </w:p>
        </w:tc>
        <w:tc>
          <w:tcPr>
            <w:tcW w:w="1180" w:type="dxa"/>
            <w:vAlign w:val="bottom"/>
          </w:tcPr>
          <w:p>
            <w:pPr>
              <w:spacing w:after="0" w:line="90" w:lineRule="exact"/>
              <w:ind w:right="443"/>
              <w:jc w:val="right"/>
              <w:rPr>
                <w:color w:val="auto"/>
                <w:sz w:val="20"/>
                <w:szCs w:val="20"/>
              </w:rPr>
            </w:pPr>
            <w:r>
              <w:rPr>
                <w:rFonts w:ascii="Calibri" w:eastAsia="Calibri" w:hAnsi="Calibri" w:cs="Calibri"/>
                <w:b/>
                <w:bCs/>
                <w:color w:val="auto"/>
                <w:sz w:val="8"/>
                <w:szCs w:val="8"/>
              </w:rPr>
              <w:t>Wholesaler</w:t>
            </w:r>
          </w:p>
        </w:tc>
      </w:tr>
      <w:tr>
        <w:tblPrEx>
          <w:tblInd w:w="0" w:type="dxa"/>
          <w:tblLayout w:type="fixed"/>
        </w:tblPrEx>
        <w:trPr>
          <w:trHeight w:val="121"/>
        </w:trPr>
        <w:tc>
          <w:tcPr>
            <w:tcW w:w="4200" w:type="dxa"/>
            <w:vAlign w:val="bottom"/>
          </w:tcPr>
          <w:p>
            <w:pPr>
              <w:spacing w:after="0" w:line="112" w:lineRule="exact"/>
              <w:rPr>
                <w:color w:val="auto"/>
                <w:sz w:val="20"/>
                <w:szCs w:val="20"/>
              </w:rPr>
            </w:pPr>
            <w:r>
              <w:rPr>
                <w:rFonts w:ascii="Calibri" w:eastAsia="Calibri" w:hAnsi="Calibri" w:cs="Calibri"/>
                <w:b/>
                <w:bCs/>
                <w:color w:val="auto"/>
                <w:sz w:val="10"/>
                <w:szCs w:val="10"/>
              </w:rPr>
              <w:t>(in millions)</w:t>
            </w:r>
          </w:p>
        </w:tc>
        <w:tc>
          <w:tcPr>
            <w:tcW w:w="3580" w:type="dxa"/>
            <w:vAlign w:val="bottom"/>
          </w:tcPr>
          <w:p>
            <w:pPr>
              <w:spacing w:after="0" w:line="112" w:lineRule="exact"/>
              <w:ind w:left="3049"/>
              <w:jc w:val="center"/>
              <w:rPr>
                <w:color w:val="auto"/>
                <w:sz w:val="20"/>
                <w:szCs w:val="20"/>
              </w:rPr>
            </w:pPr>
            <w:r>
              <w:rPr>
                <w:rFonts w:ascii="Calibri" w:eastAsia="Calibri" w:hAnsi="Calibri" w:cs="Calibri"/>
                <w:b/>
                <w:bCs/>
                <w:color w:val="auto"/>
                <w:w w:val="95"/>
                <w:sz w:val="10"/>
                <w:szCs w:val="10"/>
              </w:rPr>
              <w:t>Rebates</w:t>
            </w:r>
          </w:p>
        </w:tc>
        <w:tc>
          <w:tcPr>
            <w:tcW w:w="500" w:type="dxa"/>
            <w:vAlign w:val="bottom"/>
          </w:tcPr>
          <w:p>
            <w:pPr>
              <w:spacing w:after="0"/>
              <w:rPr>
                <w:color w:val="auto"/>
                <w:sz w:val="10"/>
                <w:szCs w:val="10"/>
              </w:rPr>
            </w:pPr>
          </w:p>
        </w:tc>
        <w:tc>
          <w:tcPr>
            <w:tcW w:w="360" w:type="dxa"/>
            <w:vAlign w:val="bottom"/>
          </w:tcPr>
          <w:p>
            <w:pPr>
              <w:spacing w:after="0"/>
              <w:rPr>
                <w:color w:val="auto"/>
                <w:sz w:val="10"/>
                <w:szCs w:val="10"/>
              </w:rPr>
            </w:pPr>
          </w:p>
        </w:tc>
        <w:tc>
          <w:tcPr>
            <w:tcW w:w="1160" w:type="dxa"/>
            <w:vAlign w:val="bottom"/>
          </w:tcPr>
          <w:p>
            <w:pPr>
              <w:spacing w:after="0" w:line="121" w:lineRule="exact"/>
              <w:ind w:right="263"/>
              <w:jc w:val="center"/>
              <w:rPr>
                <w:color w:val="auto"/>
                <w:sz w:val="20"/>
                <w:szCs w:val="20"/>
              </w:rPr>
            </w:pPr>
            <w:r>
              <w:rPr>
                <w:rFonts w:ascii="Calibri" w:eastAsia="Calibri" w:hAnsi="Calibri" w:cs="Calibri"/>
                <w:b/>
                <w:bCs/>
                <w:color w:val="auto"/>
                <w:w w:val="95"/>
                <w:sz w:val="10"/>
                <w:szCs w:val="10"/>
              </w:rPr>
              <w:t>Rebates</w:t>
            </w:r>
          </w:p>
        </w:tc>
        <w:tc>
          <w:tcPr>
            <w:tcW w:w="320" w:type="dxa"/>
            <w:vAlign w:val="bottom"/>
          </w:tcPr>
          <w:p>
            <w:pPr>
              <w:spacing w:after="0"/>
              <w:rPr>
                <w:color w:val="auto"/>
                <w:sz w:val="10"/>
                <w:szCs w:val="10"/>
              </w:rPr>
            </w:pPr>
          </w:p>
        </w:tc>
        <w:tc>
          <w:tcPr>
            <w:tcW w:w="1180" w:type="dxa"/>
            <w:vAlign w:val="bottom"/>
          </w:tcPr>
          <w:p>
            <w:pPr>
              <w:spacing w:after="0" w:line="121" w:lineRule="exact"/>
              <w:ind w:right="423"/>
              <w:jc w:val="right"/>
              <w:rPr>
                <w:color w:val="auto"/>
                <w:sz w:val="20"/>
                <w:szCs w:val="20"/>
              </w:rPr>
            </w:pPr>
            <w:r>
              <w:rPr>
                <w:rFonts w:ascii="Calibri" w:eastAsia="Calibri" w:hAnsi="Calibri" w:cs="Calibri"/>
                <w:b/>
                <w:bCs/>
                <w:color w:val="auto"/>
                <w:sz w:val="10"/>
                <w:szCs w:val="10"/>
              </w:rPr>
              <w:t>Chargebacks</w:t>
            </w:r>
          </w:p>
        </w:tc>
      </w:tr>
      <w:tr>
        <w:tblPrEx>
          <w:tblInd w:w="0" w:type="dxa"/>
          <w:tblLayout w:type="fixed"/>
        </w:tblPrEx>
        <w:trPr>
          <w:trHeight w:val="23"/>
        </w:trPr>
        <w:tc>
          <w:tcPr>
            <w:tcW w:w="4200" w:type="dxa"/>
            <w:tcBorders>
              <w:bottom w:val="single" w:sz="8" w:space="0" w:color="auto"/>
            </w:tcBorders>
            <w:vAlign w:val="bottom"/>
          </w:tcPr>
          <w:p>
            <w:pPr>
              <w:spacing w:after="0"/>
              <w:rPr>
                <w:color w:val="auto"/>
                <w:sz w:val="2"/>
                <w:szCs w:val="2"/>
              </w:rPr>
            </w:pPr>
          </w:p>
        </w:tc>
        <w:tc>
          <w:tcPr>
            <w:tcW w:w="3580" w:type="dxa"/>
            <w:tcBorders>
              <w:bottom w:val="single" w:sz="8" w:space="0" w:color="auto"/>
            </w:tcBorders>
            <w:vAlign w:val="bottom"/>
          </w:tcPr>
          <w:p>
            <w:pPr>
              <w:spacing w:after="0"/>
              <w:rPr>
                <w:color w:val="auto"/>
                <w:sz w:val="2"/>
                <w:szCs w:val="2"/>
              </w:rPr>
            </w:pPr>
          </w:p>
        </w:tc>
        <w:tc>
          <w:tcPr>
            <w:tcW w:w="50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2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Balance as of December 31, 2021</w:t>
            </w:r>
          </w:p>
        </w:tc>
        <w:tc>
          <w:tcPr>
            <w:tcW w:w="3580" w:type="dxa"/>
            <w:shd w:val="clear" w:color="auto" w:fill="CCEEFF"/>
            <w:vAlign w:val="bottom"/>
          </w:tcPr>
          <w:p>
            <w:pPr>
              <w:spacing w:after="0" w:line="142" w:lineRule="exact"/>
              <w:ind w:right="849"/>
              <w:jc w:val="right"/>
              <w:rPr>
                <w:color w:val="auto"/>
                <w:sz w:val="20"/>
                <w:szCs w:val="20"/>
              </w:rPr>
            </w:pPr>
            <w:r>
              <w:rPr>
                <w:rFonts w:ascii="Calibri" w:eastAsia="Calibri" w:hAnsi="Calibri" w:cs="Calibri"/>
                <w:color w:val="auto"/>
                <w:sz w:val="12"/>
                <w:szCs w:val="12"/>
              </w:rPr>
              <w:t>$</w:t>
            </w:r>
          </w:p>
        </w:tc>
        <w:tc>
          <w:tcPr>
            <w:tcW w:w="50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3,816</w:t>
            </w:r>
          </w:p>
        </w:tc>
        <w:tc>
          <w:tcPr>
            <w:tcW w:w="360" w:type="dxa"/>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3,097</w:t>
            </w:r>
          </w:p>
        </w:tc>
        <w:tc>
          <w:tcPr>
            <w:tcW w:w="320" w:type="dxa"/>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118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902</w:t>
            </w:r>
          </w:p>
        </w:tc>
      </w:tr>
      <w:tr>
        <w:tblPrEx>
          <w:tblInd w:w="0" w:type="dxa"/>
          <w:tblLayout w:type="fixed"/>
        </w:tblPrEx>
        <w:trPr>
          <w:trHeight w:val="147"/>
        </w:trPr>
        <w:tc>
          <w:tcPr>
            <w:tcW w:w="4200" w:type="dxa"/>
            <w:vAlign w:val="bottom"/>
          </w:tcPr>
          <w:p>
            <w:pPr>
              <w:spacing w:after="0" w:line="142" w:lineRule="exact"/>
              <w:rPr>
                <w:color w:val="auto"/>
                <w:sz w:val="20"/>
                <w:szCs w:val="20"/>
              </w:rPr>
            </w:pPr>
            <w:r>
              <w:rPr>
                <w:rFonts w:ascii="Calibri" w:eastAsia="Calibri" w:hAnsi="Calibri" w:cs="Calibri"/>
                <w:color w:val="auto"/>
                <w:sz w:val="12"/>
                <w:szCs w:val="12"/>
              </w:rPr>
              <w:t>Provisions</w:t>
            </w:r>
          </w:p>
        </w:tc>
        <w:tc>
          <w:tcPr>
            <w:tcW w:w="3580" w:type="dxa"/>
            <w:vAlign w:val="bottom"/>
          </w:tcPr>
          <w:p>
            <w:pPr>
              <w:spacing w:after="0"/>
              <w:rPr>
                <w:color w:val="auto"/>
                <w:sz w:val="12"/>
                <w:szCs w:val="12"/>
              </w:rPr>
            </w:pPr>
          </w:p>
        </w:tc>
        <w:tc>
          <w:tcPr>
            <w:tcW w:w="50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11,713</w:t>
            </w:r>
          </w:p>
        </w:tc>
        <w:tc>
          <w:tcPr>
            <w:tcW w:w="360" w:type="dxa"/>
            <w:vAlign w:val="bottom"/>
          </w:tcPr>
          <w:p>
            <w:pPr>
              <w:spacing w:after="0"/>
              <w:rPr>
                <w:color w:val="auto"/>
                <w:sz w:val="12"/>
                <w:szCs w:val="12"/>
              </w:rPr>
            </w:pPr>
          </w:p>
        </w:tc>
        <w:tc>
          <w:tcPr>
            <w:tcW w:w="1160" w:type="dxa"/>
            <w:vAlign w:val="bottom"/>
          </w:tcPr>
          <w:p>
            <w:pPr>
              <w:spacing w:after="0" w:line="142" w:lineRule="exact"/>
              <w:ind w:right="23"/>
              <w:jc w:val="right"/>
              <w:rPr>
                <w:color w:val="auto"/>
                <w:sz w:val="20"/>
                <w:szCs w:val="20"/>
              </w:rPr>
            </w:pPr>
            <w:r>
              <w:rPr>
                <w:rFonts w:ascii="Calibri" w:eastAsia="Calibri" w:hAnsi="Calibri" w:cs="Calibri"/>
                <w:color w:val="auto"/>
                <w:sz w:val="12"/>
                <w:szCs w:val="12"/>
              </w:rPr>
              <w:t>14,119</w:t>
            </w:r>
          </w:p>
        </w:tc>
        <w:tc>
          <w:tcPr>
            <w:tcW w:w="320" w:type="dxa"/>
            <w:vAlign w:val="bottom"/>
          </w:tcPr>
          <w:p>
            <w:pPr>
              <w:spacing w:after="0"/>
              <w:rPr>
                <w:color w:val="auto"/>
                <w:sz w:val="12"/>
                <w:szCs w:val="12"/>
              </w:rPr>
            </w:pPr>
          </w:p>
        </w:tc>
        <w:tc>
          <w:tcPr>
            <w:tcW w:w="118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13,070</w:t>
            </w:r>
          </w:p>
        </w:tc>
      </w:tr>
      <w:tr>
        <w:tblPrEx>
          <w:tblInd w:w="0" w:type="dxa"/>
          <w:tblLayout w:type="fixed"/>
        </w:tblPrEx>
        <w:trPr>
          <w:trHeight w:val="153"/>
        </w:trPr>
        <w:tc>
          <w:tcPr>
            <w:tcW w:w="420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Payments</w:t>
            </w:r>
          </w:p>
        </w:tc>
        <w:tc>
          <w:tcPr>
            <w:tcW w:w="3580" w:type="dxa"/>
            <w:tcBorders>
              <w:bottom w:val="single" w:sz="8" w:space="0" w:color="auto"/>
            </w:tcBorders>
            <w:shd w:val="clear" w:color="auto" w:fill="CCEEFF"/>
            <w:vAlign w:val="bottom"/>
          </w:tcPr>
          <w:p>
            <w:pPr>
              <w:spacing w:after="0"/>
              <w:rPr>
                <w:color w:val="auto"/>
                <w:sz w:val="13"/>
                <w:szCs w:val="13"/>
              </w:rPr>
            </w:pPr>
          </w:p>
        </w:tc>
        <w:tc>
          <w:tcPr>
            <w:tcW w:w="50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(10,331)</w:t>
            </w:r>
          </w:p>
        </w:tc>
        <w:tc>
          <w:tcPr>
            <w:tcW w:w="360" w:type="dxa"/>
            <w:tcBorders>
              <w:bottom w:val="single" w:sz="8" w:space="0" w:color="auto"/>
            </w:tcBorders>
            <w:shd w:val="clear" w:color="auto" w:fill="CCEEFF"/>
            <w:vAlign w:val="bottom"/>
          </w:tcPr>
          <w:p>
            <w:pPr>
              <w:spacing w:after="0"/>
              <w:rPr>
                <w:color w:val="auto"/>
                <w:sz w:val="13"/>
                <w:szCs w:val="13"/>
              </w:rPr>
            </w:pPr>
          </w:p>
        </w:tc>
        <w:tc>
          <w:tcPr>
            <w:tcW w:w="1160" w:type="dxa"/>
            <w:tcBorders>
              <w:bottom w:val="single" w:sz="8" w:space="0" w:color="auto"/>
            </w:tcBorders>
            <w:shd w:val="clear" w:color="auto" w:fill="CCEEFF"/>
            <w:vAlign w:val="bottom"/>
          </w:tcPr>
          <w:p>
            <w:pPr>
              <w:spacing w:after="0"/>
              <w:ind w:right="3"/>
              <w:jc w:val="right"/>
              <w:rPr>
                <w:color w:val="auto"/>
                <w:sz w:val="20"/>
                <w:szCs w:val="20"/>
              </w:rPr>
            </w:pPr>
            <w:r>
              <w:rPr>
                <w:rFonts w:ascii="Calibri" w:eastAsia="Calibri" w:hAnsi="Calibri" w:cs="Calibri"/>
                <w:color w:val="auto"/>
                <w:sz w:val="12"/>
                <w:szCs w:val="12"/>
              </w:rPr>
              <w:t>(12,974)</w:t>
            </w:r>
          </w:p>
        </w:tc>
        <w:tc>
          <w:tcPr>
            <w:tcW w:w="320" w:type="dxa"/>
            <w:tcBorders>
              <w:bottom w:val="single" w:sz="8" w:space="0" w:color="auto"/>
            </w:tcBorders>
            <w:shd w:val="clear" w:color="auto" w:fill="CCEEFF"/>
            <w:vAlign w:val="bottom"/>
          </w:tcPr>
          <w:p>
            <w:pPr>
              <w:spacing w:after="0"/>
              <w:rPr>
                <w:color w:val="auto"/>
                <w:sz w:val="13"/>
                <w:szCs w:val="13"/>
              </w:rPr>
            </w:pPr>
          </w:p>
        </w:tc>
        <w:tc>
          <w:tcPr>
            <w:tcW w:w="11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(12,829)</w:t>
            </w:r>
          </w:p>
        </w:tc>
      </w:tr>
      <w:tr>
        <w:tblPrEx>
          <w:tblInd w:w="0" w:type="dxa"/>
          <w:tblLayout w:type="fixed"/>
        </w:tblPrEx>
        <w:trPr>
          <w:trHeight w:val="142"/>
        </w:trPr>
        <w:tc>
          <w:tcPr>
            <w:tcW w:w="4200" w:type="dxa"/>
            <w:vAlign w:val="bottom"/>
          </w:tcPr>
          <w:p>
            <w:pPr>
              <w:spacing w:after="0" w:line="142" w:lineRule="exact"/>
              <w:rPr>
                <w:color w:val="auto"/>
                <w:sz w:val="20"/>
                <w:szCs w:val="20"/>
              </w:rPr>
            </w:pPr>
            <w:r>
              <w:rPr>
                <w:rFonts w:ascii="Calibri" w:eastAsia="Calibri" w:hAnsi="Calibri" w:cs="Calibri"/>
                <w:color w:val="auto"/>
                <w:sz w:val="12"/>
                <w:szCs w:val="12"/>
              </w:rPr>
              <w:t>Balance as of December 31, 2022</w:t>
            </w:r>
          </w:p>
        </w:tc>
        <w:tc>
          <w:tcPr>
            <w:tcW w:w="3580" w:type="dxa"/>
            <w:vAlign w:val="bottom"/>
          </w:tcPr>
          <w:p>
            <w:pPr>
              <w:spacing w:after="0"/>
              <w:rPr>
                <w:color w:val="auto"/>
                <w:sz w:val="12"/>
                <w:szCs w:val="12"/>
              </w:rPr>
            </w:pPr>
          </w:p>
        </w:tc>
        <w:tc>
          <w:tcPr>
            <w:tcW w:w="50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5,198</w:t>
            </w:r>
          </w:p>
        </w:tc>
        <w:tc>
          <w:tcPr>
            <w:tcW w:w="360" w:type="dxa"/>
            <w:vAlign w:val="bottom"/>
          </w:tcPr>
          <w:p>
            <w:pPr>
              <w:spacing w:after="0"/>
              <w:rPr>
                <w:color w:val="auto"/>
                <w:sz w:val="12"/>
                <w:szCs w:val="12"/>
              </w:rPr>
            </w:pPr>
          </w:p>
        </w:tc>
        <w:tc>
          <w:tcPr>
            <w:tcW w:w="1160" w:type="dxa"/>
            <w:vAlign w:val="bottom"/>
          </w:tcPr>
          <w:p>
            <w:pPr>
              <w:spacing w:after="0" w:line="142" w:lineRule="exact"/>
              <w:ind w:right="23"/>
              <w:jc w:val="right"/>
              <w:rPr>
                <w:color w:val="auto"/>
                <w:sz w:val="20"/>
                <w:szCs w:val="20"/>
              </w:rPr>
            </w:pPr>
            <w:r>
              <w:rPr>
                <w:rFonts w:ascii="Calibri" w:eastAsia="Calibri" w:hAnsi="Calibri" w:cs="Calibri"/>
                <w:color w:val="auto"/>
                <w:sz w:val="12"/>
                <w:szCs w:val="12"/>
              </w:rPr>
              <w:t>4,242</w:t>
            </w:r>
          </w:p>
        </w:tc>
        <w:tc>
          <w:tcPr>
            <w:tcW w:w="320" w:type="dxa"/>
            <w:vAlign w:val="bottom"/>
          </w:tcPr>
          <w:p>
            <w:pPr>
              <w:spacing w:after="0"/>
              <w:rPr>
                <w:color w:val="auto"/>
                <w:sz w:val="12"/>
                <w:szCs w:val="12"/>
              </w:rPr>
            </w:pPr>
          </w:p>
        </w:tc>
        <w:tc>
          <w:tcPr>
            <w:tcW w:w="118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1,143</w:t>
            </w:r>
          </w:p>
        </w:tc>
      </w:tr>
      <w:tr>
        <w:tblPrEx>
          <w:tblInd w:w="0" w:type="dxa"/>
          <w:tblLayout w:type="fixed"/>
        </w:tblPrEx>
        <w:trPr>
          <w:trHeight w:val="159"/>
        </w:trPr>
        <w:tc>
          <w:tcPr>
            <w:tcW w:w="4200" w:type="dxa"/>
            <w:shd w:val="clear" w:color="auto" w:fill="CCEEFF"/>
            <w:vAlign w:val="bottom"/>
          </w:tcPr>
          <w:p>
            <w:pPr>
              <w:spacing w:after="0"/>
              <w:rPr>
                <w:color w:val="auto"/>
                <w:sz w:val="20"/>
                <w:szCs w:val="20"/>
              </w:rPr>
            </w:pPr>
            <w:r>
              <w:rPr>
                <w:rFonts w:ascii="Calibri" w:eastAsia="Calibri" w:hAnsi="Calibri" w:cs="Calibri"/>
                <w:color w:val="auto"/>
                <w:sz w:val="12"/>
                <w:szCs w:val="12"/>
              </w:rPr>
              <w:t>Provisions</w:t>
            </w:r>
          </w:p>
        </w:tc>
        <w:tc>
          <w:tcPr>
            <w:tcW w:w="3580" w:type="dxa"/>
            <w:shd w:val="clear" w:color="auto" w:fill="CCEEFF"/>
            <w:vAlign w:val="bottom"/>
          </w:tcPr>
          <w:p>
            <w:pPr>
              <w:spacing w:after="0"/>
              <w:rPr>
                <w:color w:val="auto"/>
                <w:sz w:val="13"/>
                <w:szCs w:val="13"/>
              </w:rPr>
            </w:pPr>
          </w:p>
        </w:tc>
        <w:tc>
          <w:tcPr>
            <w:tcW w:w="50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15,153</w:t>
            </w:r>
          </w:p>
        </w:tc>
        <w:tc>
          <w:tcPr>
            <w:tcW w:w="36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ind w:right="23"/>
              <w:jc w:val="right"/>
              <w:rPr>
                <w:color w:val="auto"/>
                <w:sz w:val="20"/>
                <w:szCs w:val="20"/>
              </w:rPr>
            </w:pPr>
            <w:r>
              <w:rPr>
                <w:rFonts w:ascii="Calibri" w:eastAsia="Calibri" w:hAnsi="Calibri" w:cs="Calibri"/>
                <w:color w:val="auto"/>
                <w:sz w:val="12"/>
                <w:szCs w:val="12"/>
              </w:rPr>
              <w:t>23,978</w:t>
            </w:r>
          </w:p>
        </w:tc>
        <w:tc>
          <w:tcPr>
            <w:tcW w:w="32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ind w:right="3"/>
              <w:jc w:val="right"/>
              <w:rPr>
                <w:color w:val="auto"/>
                <w:sz w:val="20"/>
                <w:szCs w:val="20"/>
              </w:rPr>
            </w:pPr>
            <w:r>
              <w:rPr>
                <w:rFonts w:ascii="Calibri" w:eastAsia="Calibri" w:hAnsi="Calibri" w:cs="Calibri"/>
                <w:color w:val="auto"/>
                <w:sz w:val="12"/>
                <w:szCs w:val="12"/>
              </w:rPr>
              <w:t>14,191</w:t>
            </w:r>
          </w:p>
        </w:tc>
      </w:tr>
      <w:tr>
        <w:tblPrEx>
          <w:tblInd w:w="0" w:type="dxa"/>
          <w:tblLayout w:type="fixed"/>
        </w:tblPrEx>
        <w:trPr>
          <w:trHeight w:val="147"/>
        </w:trPr>
        <w:tc>
          <w:tcPr>
            <w:tcW w:w="42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Payments</w:t>
            </w:r>
          </w:p>
        </w:tc>
        <w:tc>
          <w:tcPr>
            <w:tcW w:w="3580" w:type="dxa"/>
            <w:tcBorders>
              <w:bottom w:val="single" w:sz="8" w:space="0" w:color="auto"/>
            </w:tcBorders>
            <w:vAlign w:val="bottom"/>
          </w:tcPr>
          <w:p>
            <w:pPr>
              <w:spacing w:after="0"/>
              <w:rPr>
                <w:color w:val="auto"/>
                <w:sz w:val="12"/>
                <w:szCs w:val="12"/>
              </w:rPr>
            </w:pPr>
          </w:p>
        </w:tc>
        <w:tc>
          <w:tcPr>
            <w:tcW w:w="5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(15,054)</w:t>
            </w:r>
          </w:p>
        </w:tc>
        <w:tc>
          <w:tcPr>
            <w:tcW w:w="36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3"/>
              <w:jc w:val="right"/>
              <w:rPr>
                <w:color w:val="auto"/>
                <w:sz w:val="20"/>
                <w:szCs w:val="20"/>
              </w:rPr>
            </w:pPr>
            <w:r>
              <w:rPr>
                <w:rFonts w:ascii="Calibri" w:eastAsia="Calibri" w:hAnsi="Calibri" w:cs="Calibri"/>
                <w:color w:val="auto"/>
                <w:sz w:val="12"/>
                <w:szCs w:val="12"/>
              </w:rPr>
              <w:t>(21,200)</w:t>
            </w:r>
          </w:p>
        </w:tc>
        <w:tc>
          <w:tcPr>
            <w:tcW w:w="320" w:type="dxa"/>
            <w:tcBorders>
              <w:bottom w:val="single" w:sz="8" w:space="0" w:color="auto"/>
            </w:tcBorders>
            <w:vAlign w:val="bottom"/>
          </w:tcPr>
          <w:p>
            <w:pPr>
              <w:spacing w:after="0"/>
              <w:rPr>
                <w:color w:val="auto"/>
                <w:sz w:val="12"/>
                <w:szCs w:val="12"/>
              </w:rPr>
            </w:pPr>
          </w:p>
        </w:tc>
        <w:tc>
          <w:tcPr>
            <w:tcW w:w="11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(14,162)</w:t>
            </w:r>
          </w:p>
        </w:tc>
      </w:tr>
      <w:tr>
        <w:tblPrEx>
          <w:tblInd w:w="0" w:type="dxa"/>
          <w:tblLayout w:type="fixed"/>
        </w:tblPrEx>
        <w:trPr>
          <w:trHeight w:val="148"/>
        </w:trPr>
        <w:tc>
          <w:tcPr>
            <w:tcW w:w="42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Balance as of December 31, 2023</w:t>
            </w:r>
          </w:p>
        </w:tc>
        <w:tc>
          <w:tcPr>
            <w:tcW w:w="3580" w:type="dxa"/>
            <w:shd w:val="clear" w:color="auto" w:fill="CCEEFF"/>
            <w:vAlign w:val="bottom"/>
          </w:tcPr>
          <w:p>
            <w:pPr>
              <w:spacing w:after="0"/>
              <w:rPr>
                <w:color w:val="auto"/>
                <w:sz w:val="12"/>
                <w:szCs w:val="12"/>
              </w:rPr>
            </w:pPr>
          </w:p>
        </w:tc>
        <w:tc>
          <w:tcPr>
            <w:tcW w:w="50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5,297</w:t>
            </w:r>
          </w:p>
        </w:tc>
        <w:tc>
          <w:tcPr>
            <w:tcW w:w="360" w:type="dxa"/>
            <w:shd w:val="clear" w:color="auto" w:fill="CCEEFF"/>
            <w:vAlign w:val="bottom"/>
          </w:tcPr>
          <w:p>
            <w:pPr>
              <w:spacing w:after="0"/>
              <w:rPr>
                <w:color w:val="auto"/>
                <w:sz w:val="12"/>
                <w:szCs w:val="12"/>
              </w:rPr>
            </w:pPr>
          </w:p>
        </w:tc>
        <w:tc>
          <w:tcPr>
            <w:tcW w:w="1160" w:type="dxa"/>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7,020</w:t>
            </w:r>
          </w:p>
        </w:tc>
        <w:tc>
          <w:tcPr>
            <w:tcW w:w="320" w:type="dxa"/>
            <w:shd w:val="clear" w:color="auto" w:fill="CCEEFF"/>
            <w:vAlign w:val="bottom"/>
          </w:tcPr>
          <w:p>
            <w:pPr>
              <w:spacing w:after="0"/>
              <w:rPr>
                <w:color w:val="auto"/>
                <w:sz w:val="12"/>
                <w:szCs w:val="12"/>
              </w:rPr>
            </w:pPr>
          </w:p>
        </w:tc>
        <w:tc>
          <w:tcPr>
            <w:tcW w:w="118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1,172</w:t>
            </w:r>
          </w:p>
        </w:tc>
      </w:tr>
      <w:tr>
        <w:tblPrEx>
          <w:tblInd w:w="0" w:type="dxa"/>
          <w:tblLayout w:type="fixed"/>
        </w:tblPrEx>
        <w:trPr>
          <w:trHeight w:val="147"/>
        </w:trPr>
        <w:tc>
          <w:tcPr>
            <w:tcW w:w="4200" w:type="dxa"/>
            <w:vAlign w:val="bottom"/>
          </w:tcPr>
          <w:p>
            <w:pPr>
              <w:spacing w:after="0" w:line="142" w:lineRule="exact"/>
              <w:rPr>
                <w:color w:val="auto"/>
                <w:sz w:val="20"/>
                <w:szCs w:val="20"/>
              </w:rPr>
            </w:pPr>
            <w:r>
              <w:rPr>
                <w:rFonts w:ascii="Calibri" w:eastAsia="Calibri" w:hAnsi="Calibri" w:cs="Calibri"/>
                <w:color w:val="auto"/>
                <w:sz w:val="12"/>
                <w:szCs w:val="12"/>
              </w:rPr>
              <w:t>Provisions</w:t>
            </w:r>
          </w:p>
        </w:tc>
        <w:tc>
          <w:tcPr>
            <w:tcW w:w="3580" w:type="dxa"/>
            <w:vAlign w:val="bottom"/>
          </w:tcPr>
          <w:p>
            <w:pPr>
              <w:spacing w:after="0"/>
              <w:rPr>
                <w:color w:val="auto"/>
                <w:sz w:val="12"/>
                <w:szCs w:val="12"/>
              </w:rPr>
            </w:pPr>
          </w:p>
        </w:tc>
        <w:tc>
          <w:tcPr>
            <w:tcW w:w="50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15,866</w:t>
            </w:r>
          </w:p>
        </w:tc>
        <w:tc>
          <w:tcPr>
            <w:tcW w:w="360" w:type="dxa"/>
            <w:vAlign w:val="bottom"/>
          </w:tcPr>
          <w:p>
            <w:pPr>
              <w:spacing w:after="0"/>
              <w:rPr>
                <w:color w:val="auto"/>
                <w:sz w:val="12"/>
                <w:szCs w:val="12"/>
              </w:rPr>
            </w:pPr>
          </w:p>
        </w:tc>
        <w:tc>
          <w:tcPr>
            <w:tcW w:w="1160" w:type="dxa"/>
            <w:vAlign w:val="bottom"/>
          </w:tcPr>
          <w:p>
            <w:pPr>
              <w:spacing w:after="0" w:line="142" w:lineRule="exact"/>
              <w:ind w:right="23"/>
              <w:jc w:val="right"/>
              <w:rPr>
                <w:color w:val="auto"/>
                <w:sz w:val="20"/>
                <w:szCs w:val="20"/>
              </w:rPr>
            </w:pPr>
            <w:r>
              <w:rPr>
                <w:rFonts w:ascii="Calibri" w:eastAsia="Calibri" w:hAnsi="Calibri" w:cs="Calibri"/>
                <w:color w:val="auto"/>
                <w:sz w:val="12"/>
                <w:szCs w:val="12"/>
              </w:rPr>
              <w:t>24,127</w:t>
            </w:r>
          </w:p>
        </w:tc>
        <w:tc>
          <w:tcPr>
            <w:tcW w:w="320" w:type="dxa"/>
            <w:vAlign w:val="bottom"/>
          </w:tcPr>
          <w:p>
            <w:pPr>
              <w:spacing w:after="0"/>
              <w:rPr>
                <w:color w:val="auto"/>
                <w:sz w:val="12"/>
                <w:szCs w:val="12"/>
              </w:rPr>
            </w:pPr>
          </w:p>
        </w:tc>
        <w:tc>
          <w:tcPr>
            <w:tcW w:w="118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14,782</w:t>
            </w:r>
          </w:p>
        </w:tc>
      </w:tr>
      <w:tr>
        <w:tblPrEx>
          <w:tblInd w:w="0" w:type="dxa"/>
          <w:tblLayout w:type="fixed"/>
        </w:tblPrEx>
        <w:trPr>
          <w:trHeight w:val="153"/>
        </w:trPr>
        <w:tc>
          <w:tcPr>
            <w:tcW w:w="420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Payments</w:t>
            </w:r>
          </w:p>
        </w:tc>
        <w:tc>
          <w:tcPr>
            <w:tcW w:w="3580" w:type="dxa"/>
            <w:tcBorders>
              <w:bottom w:val="single" w:sz="8" w:space="0" w:color="auto"/>
            </w:tcBorders>
            <w:shd w:val="clear" w:color="auto" w:fill="CCEEFF"/>
            <w:vAlign w:val="bottom"/>
          </w:tcPr>
          <w:p>
            <w:pPr>
              <w:spacing w:after="0"/>
              <w:rPr>
                <w:color w:val="auto"/>
                <w:sz w:val="13"/>
                <w:szCs w:val="13"/>
              </w:rPr>
            </w:pPr>
          </w:p>
        </w:tc>
        <w:tc>
          <w:tcPr>
            <w:tcW w:w="50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(13,756)</w:t>
            </w:r>
          </w:p>
        </w:tc>
        <w:tc>
          <w:tcPr>
            <w:tcW w:w="360" w:type="dxa"/>
            <w:tcBorders>
              <w:bottom w:val="single" w:sz="8" w:space="0" w:color="auto"/>
            </w:tcBorders>
            <w:shd w:val="clear" w:color="auto" w:fill="CCEEFF"/>
            <w:vAlign w:val="bottom"/>
          </w:tcPr>
          <w:p>
            <w:pPr>
              <w:spacing w:after="0"/>
              <w:rPr>
                <w:color w:val="auto"/>
                <w:sz w:val="13"/>
                <w:szCs w:val="13"/>
              </w:rPr>
            </w:pPr>
          </w:p>
        </w:tc>
        <w:tc>
          <w:tcPr>
            <w:tcW w:w="1160" w:type="dxa"/>
            <w:tcBorders>
              <w:bottom w:val="single" w:sz="8" w:space="0" w:color="auto"/>
            </w:tcBorders>
            <w:shd w:val="clear" w:color="auto" w:fill="CCEEFF"/>
            <w:vAlign w:val="bottom"/>
          </w:tcPr>
          <w:p>
            <w:pPr>
              <w:spacing w:after="0"/>
              <w:ind w:right="3"/>
              <w:jc w:val="right"/>
              <w:rPr>
                <w:color w:val="auto"/>
                <w:sz w:val="20"/>
                <w:szCs w:val="20"/>
              </w:rPr>
            </w:pPr>
            <w:r>
              <w:rPr>
                <w:rFonts w:ascii="Calibri" w:eastAsia="Calibri" w:hAnsi="Calibri" w:cs="Calibri"/>
                <w:color w:val="auto"/>
                <w:sz w:val="12"/>
                <w:szCs w:val="12"/>
              </w:rPr>
              <w:t>(25,622)</w:t>
            </w:r>
          </w:p>
        </w:tc>
        <w:tc>
          <w:tcPr>
            <w:tcW w:w="320" w:type="dxa"/>
            <w:tcBorders>
              <w:bottom w:val="single" w:sz="8" w:space="0" w:color="auto"/>
            </w:tcBorders>
            <w:shd w:val="clear" w:color="auto" w:fill="CCEEFF"/>
            <w:vAlign w:val="bottom"/>
          </w:tcPr>
          <w:p>
            <w:pPr>
              <w:spacing w:after="0"/>
              <w:rPr>
                <w:color w:val="auto"/>
                <w:sz w:val="13"/>
                <w:szCs w:val="13"/>
              </w:rPr>
            </w:pPr>
          </w:p>
        </w:tc>
        <w:tc>
          <w:tcPr>
            <w:tcW w:w="11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(14,797)</w:t>
            </w:r>
          </w:p>
        </w:tc>
      </w:tr>
      <w:tr>
        <w:tblPrEx>
          <w:tblInd w:w="0" w:type="dxa"/>
          <w:tblLayout w:type="fixed"/>
        </w:tblPrEx>
        <w:trPr>
          <w:trHeight w:val="142"/>
        </w:trPr>
        <w:tc>
          <w:tcPr>
            <w:tcW w:w="42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Balance as of December 31, 2024</w:t>
            </w:r>
          </w:p>
        </w:tc>
        <w:tc>
          <w:tcPr>
            <w:tcW w:w="3580" w:type="dxa"/>
            <w:tcBorders>
              <w:bottom w:val="single" w:sz="8" w:space="0" w:color="auto"/>
            </w:tcBorders>
            <w:vAlign w:val="bottom"/>
          </w:tcPr>
          <w:p>
            <w:pPr>
              <w:spacing w:after="0" w:line="142" w:lineRule="exact"/>
              <w:ind w:right="849"/>
              <w:jc w:val="right"/>
              <w:rPr>
                <w:color w:val="auto"/>
                <w:sz w:val="20"/>
                <w:szCs w:val="20"/>
              </w:rPr>
            </w:pPr>
            <w:r>
              <w:rPr>
                <w:rFonts w:ascii="Calibri" w:eastAsia="Calibri" w:hAnsi="Calibri" w:cs="Calibri"/>
                <w:color w:val="auto"/>
                <w:sz w:val="12"/>
                <w:szCs w:val="12"/>
              </w:rPr>
              <w:t>$</w:t>
            </w:r>
          </w:p>
        </w:tc>
        <w:tc>
          <w:tcPr>
            <w:tcW w:w="50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7,407</w:t>
            </w:r>
          </w:p>
        </w:tc>
        <w:tc>
          <w:tcPr>
            <w:tcW w:w="360" w:type="dxa"/>
            <w:tcBorders>
              <w:bottom w:val="single" w:sz="8" w:space="0" w:color="auto"/>
            </w:tcBorders>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vAlign w:val="bottom"/>
          </w:tcPr>
          <w:p>
            <w:pPr>
              <w:spacing w:after="0" w:line="142" w:lineRule="exact"/>
              <w:ind w:right="23"/>
              <w:jc w:val="right"/>
              <w:rPr>
                <w:color w:val="auto"/>
                <w:sz w:val="20"/>
                <w:szCs w:val="20"/>
              </w:rPr>
            </w:pPr>
            <w:r>
              <w:rPr>
                <w:rFonts w:ascii="Calibri" w:eastAsia="Calibri" w:hAnsi="Calibri" w:cs="Calibri"/>
                <w:color w:val="auto"/>
                <w:sz w:val="12"/>
                <w:szCs w:val="12"/>
              </w:rPr>
              <w:t>5,525</w:t>
            </w:r>
          </w:p>
        </w:tc>
        <w:tc>
          <w:tcPr>
            <w:tcW w:w="320" w:type="dxa"/>
            <w:tcBorders>
              <w:bottom w:val="single" w:sz="8" w:space="0" w:color="auto"/>
            </w:tcBorders>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1180" w:type="dxa"/>
            <w:tcBorders>
              <w:bottom w:val="single" w:sz="8" w:space="0" w:color="auto"/>
            </w:tcBorders>
            <w:vAlign w:val="bottom"/>
          </w:tcPr>
          <w:p>
            <w:pPr>
              <w:spacing w:after="0" w:line="142" w:lineRule="exact"/>
              <w:ind w:right="3"/>
              <w:jc w:val="right"/>
              <w:rPr>
                <w:color w:val="auto"/>
                <w:sz w:val="20"/>
                <w:szCs w:val="20"/>
              </w:rPr>
            </w:pPr>
            <w:r>
              <w:rPr>
                <w:rFonts w:ascii="Calibri" w:eastAsia="Calibri" w:hAnsi="Calibri" w:cs="Calibri"/>
                <w:color w:val="auto"/>
                <w:sz w:val="12"/>
                <w:szCs w:val="12"/>
              </w:rPr>
              <w:t>1,157</w:t>
            </w:r>
          </w:p>
        </w:tc>
      </w:tr>
      <w:tr>
        <w:tblPrEx>
          <w:tblInd w:w="0" w:type="dxa"/>
          <w:tblLayout w:type="fixed"/>
        </w:tblPrEx>
        <w:trPr>
          <w:trHeight w:val="20"/>
        </w:trPr>
        <w:tc>
          <w:tcPr>
            <w:tcW w:w="4200" w:type="dxa"/>
            <w:tcBorders>
              <w:bottom w:val="single" w:sz="8" w:space="0" w:color="auto"/>
            </w:tcBorders>
            <w:vAlign w:val="bottom"/>
          </w:tcPr>
          <w:p>
            <w:pPr>
              <w:spacing w:after="0" w:line="20" w:lineRule="exact"/>
              <w:rPr>
                <w:color w:val="auto"/>
                <w:sz w:val="1"/>
                <w:szCs w:val="1"/>
              </w:rPr>
            </w:pPr>
          </w:p>
        </w:tc>
        <w:tc>
          <w:tcPr>
            <w:tcW w:w="3580" w:type="dxa"/>
            <w:tcBorders>
              <w:bottom w:val="single" w:sz="8" w:space="0" w:color="auto"/>
            </w:tcBorders>
            <w:vAlign w:val="bottom"/>
          </w:tcPr>
          <w:p>
            <w:pPr>
              <w:spacing w:after="0" w:line="20" w:lineRule="exact"/>
              <w:rPr>
                <w:color w:val="auto"/>
                <w:sz w:val="1"/>
                <w:szCs w:val="1"/>
              </w:rPr>
            </w:pPr>
          </w:p>
        </w:tc>
        <w:tc>
          <w:tcPr>
            <w:tcW w:w="500" w:type="dxa"/>
            <w:tcBorders>
              <w:bottom w:val="single" w:sz="8" w:space="0" w:color="auto"/>
            </w:tcBorders>
            <w:vAlign w:val="bottom"/>
          </w:tcPr>
          <w:p>
            <w:pPr>
              <w:spacing w:after="0" w:line="20" w:lineRule="exact"/>
              <w:rPr>
                <w:color w:val="auto"/>
                <w:sz w:val="1"/>
                <w:szCs w:val="1"/>
              </w:rPr>
            </w:pPr>
          </w:p>
        </w:tc>
        <w:tc>
          <w:tcPr>
            <w:tcW w:w="360" w:type="dxa"/>
            <w:tcBorders>
              <w:bottom w:val="single" w:sz="8" w:space="0" w:color="auto"/>
            </w:tcBorders>
            <w:vAlign w:val="bottom"/>
          </w:tcPr>
          <w:p>
            <w:pPr>
              <w:spacing w:after="0" w:line="20" w:lineRule="exact"/>
              <w:rPr>
                <w:color w:val="auto"/>
                <w:sz w:val="1"/>
                <w:szCs w:val="1"/>
              </w:rPr>
            </w:pPr>
          </w:p>
        </w:tc>
        <w:tc>
          <w:tcPr>
            <w:tcW w:w="1160" w:type="dxa"/>
            <w:tcBorders>
              <w:bottom w:val="single" w:sz="8" w:space="0" w:color="auto"/>
            </w:tcBorders>
            <w:vAlign w:val="bottom"/>
          </w:tcPr>
          <w:p>
            <w:pPr>
              <w:spacing w:after="0" w:line="20" w:lineRule="exact"/>
              <w:rPr>
                <w:color w:val="auto"/>
                <w:sz w:val="1"/>
                <w:szCs w:val="1"/>
              </w:rPr>
            </w:pPr>
          </w:p>
        </w:tc>
        <w:tc>
          <w:tcPr>
            <w:tcW w:w="320" w:type="dxa"/>
            <w:tcBorders>
              <w:bottom w:val="single" w:sz="8" w:space="0" w:color="auto"/>
            </w:tcBorders>
            <w:vAlign w:val="bottom"/>
          </w:tcPr>
          <w:p>
            <w:pPr>
              <w:spacing w:after="0" w:line="20" w:lineRule="exact"/>
              <w:rPr>
                <w:color w:val="auto"/>
                <w:sz w:val="1"/>
                <w:szCs w:val="1"/>
              </w:rPr>
            </w:pPr>
          </w:p>
        </w:tc>
        <w:tc>
          <w:tcPr>
            <w:tcW w:w="1180" w:type="dxa"/>
            <w:tcBorders>
              <w:bottom w:val="single" w:sz="8" w:space="0" w:color="auto"/>
            </w:tcBorders>
            <w:vAlign w:val="bottom"/>
          </w:tcPr>
          <w:p>
            <w:pPr>
              <w:spacing w:after="0" w:line="20" w:lineRule="exact"/>
              <w:rPr>
                <w:color w:val="auto"/>
                <w:sz w:val="1"/>
                <w:szCs w:val="1"/>
              </w:rPr>
            </w:pPr>
          </w:p>
        </w:tc>
      </w:tr>
    </w:tbl>
    <w:p>
      <w:pPr>
        <w:spacing w:after="0" w:line="188"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Other Allowances</w:t>
      </w:r>
    </w:p>
    <w:p>
      <w:pPr>
        <w:spacing w:after="0" w:line="101" w:lineRule="exact"/>
        <w:rPr>
          <w:color w:val="auto"/>
          <w:sz w:val="20"/>
          <w:szCs w:val="20"/>
        </w:rPr>
      </w:pPr>
    </w:p>
    <w:p>
      <w:pPr>
        <w:spacing w:after="0" w:line="234" w:lineRule="auto"/>
        <w:ind w:right="40" w:firstLine="297"/>
        <w:jc w:val="both"/>
        <w:rPr>
          <w:color w:val="auto"/>
          <w:sz w:val="20"/>
          <w:szCs w:val="20"/>
        </w:rPr>
      </w:pPr>
      <w:r>
        <w:rPr>
          <w:rFonts w:ascii="Calibri" w:eastAsia="Calibri" w:hAnsi="Calibri" w:cs="Calibri"/>
          <w:color w:val="auto"/>
          <w:sz w:val="12"/>
          <w:szCs w:val="12"/>
        </w:rPr>
        <w:t>Other allowances include cash discounts, product returns, sales incentves and other adjustments, which are accounted for as variable consideraton and are recorded as a reducton to revenue in the same period the related product is sold. Reserves for cash discounts and sales incentves are readily determinable because the company's experience of payment history is fairly consistent. Product returns can be reliably estmated based on the company's historical return experience. Cash discounts totaled $2.0 billion in 2024, $2.0 billion in 2023 and $1.8 billion in 2022.</w:t>
      </w:r>
    </w:p>
    <w:p>
      <w:pPr>
        <w:spacing w:after="0" w:line="89"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Pension and Other Post-Employment Benefts</w:t>
      </w:r>
    </w:p>
    <w:p>
      <w:pPr>
        <w:spacing w:after="0" w:line="101"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AbbVie engages outside actuaries to assist in the determinaton of the obligatons and costs under the pension and other post-employment beneft plans that are direct obligatons of AbbVie. The valuaton of the funded status and the net periodic beneft cost for these plans are calculated using actuarial assumptons. The signifcant assumptons, which are reviewed annually, include the discount rate, the expected long-term rate of return on plan assets and the health care cost trend rates and are disclosed in Note 12 to the Consolidated Financial Statements.</w:t>
      </w:r>
    </w:p>
    <w:p>
      <w:pPr>
        <w:spacing w:after="0" w:line="103" w:lineRule="exact"/>
        <w:rPr>
          <w:color w:val="auto"/>
          <w:sz w:val="20"/>
          <w:szCs w:val="20"/>
        </w:rPr>
      </w:pPr>
    </w:p>
    <w:p>
      <w:pPr>
        <w:spacing w:after="0" w:line="234" w:lineRule="auto"/>
        <w:ind w:right="220" w:firstLine="297"/>
        <w:jc w:val="both"/>
        <w:rPr>
          <w:color w:val="auto"/>
          <w:sz w:val="20"/>
          <w:szCs w:val="20"/>
        </w:rPr>
      </w:pPr>
      <w:r>
        <w:rPr>
          <w:rFonts w:ascii="Calibri" w:eastAsia="Calibri" w:hAnsi="Calibri" w:cs="Calibri"/>
          <w:color w:val="auto"/>
          <w:sz w:val="12"/>
          <w:szCs w:val="12"/>
        </w:rPr>
        <w:t>The discount rate is selected based on current market rates on high-quality, fxed-income investments at December 31 each year. AbbVie employs a yield-curve approach for countries where a robust bond market exists. The yield curve is developed using high-quality bonds. The yield-curve approach refects the plans' specifc cash fows (i.e., duraton) in calculatng the beneft obligatons by applying the corresponding individual spot rates along the yield curve. AbbVie refects</w:t>
      </w:r>
    </w:p>
    <w:p>
      <w:pPr>
        <w:spacing w:after="0" w:line="20" w:lineRule="exact"/>
        <w:rPr>
          <w:color w:val="auto"/>
          <w:sz w:val="20"/>
          <w:szCs w:val="20"/>
        </w:rPr>
      </w:pPr>
      <w:r>
        <w:rPr>
          <w:color w:val="auto"/>
          <w:sz w:val="20"/>
          <w:szCs w:val="20"/>
        </w:rPr>
        <w:drawing>
          <wp:anchor simplePos="0" relativeHeight="251774976" behindDoc="1" locked="0" layoutInCell="0" allowOverlap="1">
            <wp:simplePos x="0" y="0"/>
            <wp:positionH relativeFrom="column">
              <wp:posOffset>6475730</wp:posOffset>
            </wp:positionH>
            <wp:positionV relativeFrom="paragraph">
              <wp:posOffset>251460</wp:posOffset>
            </wp:positionV>
            <wp:extent cx="400050" cy="7429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2"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46</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776000" behindDoc="1" locked="0" layoutInCell="0" allowOverlap="1">
            <wp:simplePos x="0" y="0"/>
            <wp:positionH relativeFrom="column">
              <wp:posOffset>7154545</wp:posOffset>
            </wp:positionH>
            <wp:positionV relativeFrom="paragraph">
              <wp:posOffset>-23495</wp:posOffset>
            </wp:positionV>
            <wp:extent cx="31115" cy="3683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77024" behindDoc="1" locked="0" layoutInCell="0" allowOverlap="1">
            <wp:simplePos x="0" y="0"/>
            <wp:positionH relativeFrom="column">
              <wp:posOffset>-17145</wp:posOffset>
            </wp:positionH>
            <wp:positionV relativeFrom="paragraph">
              <wp:posOffset>-23495</wp:posOffset>
            </wp:positionV>
            <wp:extent cx="31115" cy="3683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48" w:name="page49"/>
    <w:bookmarkEnd w:id="48"/>
    <w:p>
      <w:pPr>
        <w:spacing w:after="0" w:line="234" w:lineRule="auto"/>
        <w:ind w:right="140"/>
        <w:rPr>
          <w:color w:val="auto"/>
          <w:sz w:val="20"/>
          <w:szCs w:val="20"/>
        </w:rPr>
      </w:pPr>
      <w:r>
        <w:rPr>
          <w:rFonts w:ascii="Calibri" w:eastAsia="Calibri" w:hAnsi="Calibri" w:cs="Calibri"/>
          <w:color w:val="auto"/>
          <w:sz w:val="12"/>
          <w:szCs w:val="12"/>
        </w:rPr>
        <w:t>the plans' specifc cash fows and applies them to the corresponding individual spot rates along the yield curve in calculatng the service cost and interest cost portons of expense. For certain plans, AbbVie reviews various indices such as corporate bond and government bond benchmarks to estmate the discount rate.</w:t>
      </w:r>
    </w:p>
    <w:p>
      <w:pPr>
        <w:spacing w:after="0" w:line="92"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AbbVie's assumed discount rates have a signifcant efect on the amounts reported for defned beneft pension and other post-employment plans as of December 31, 2024. A 50 basis point change in the assumed discount rate would have had the following efects on AbbVie's calculaton of net periodic beneft costs in 2025 and projected beneft obligatons as of December 31, 2024:</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8320"/>
        <w:gridCol w:w="300"/>
        <w:gridCol w:w="1180"/>
        <w:gridCol w:w="420"/>
        <w:gridCol w:w="1060"/>
        <w:gridCol w:w="20"/>
      </w:tblGrid>
      <w:tr>
        <w:tblPrEx>
          <w:tblInd w:w="0" w:type="dxa"/>
          <w:tblLayout w:type="fixed"/>
        </w:tblPrEx>
        <w:trPr>
          <w:trHeight w:val="122"/>
        </w:trPr>
        <w:tc>
          <w:tcPr>
            <w:tcW w:w="8320" w:type="dxa"/>
            <w:vAlign w:val="bottom"/>
          </w:tcPr>
          <w:p>
            <w:pPr>
              <w:spacing w:after="0"/>
              <w:rPr>
                <w:color w:val="auto"/>
                <w:sz w:val="10"/>
                <w:szCs w:val="10"/>
              </w:rPr>
            </w:pPr>
          </w:p>
        </w:tc>
        <w:tc>
          <w:tcPr>
            <w:tcW w:w="300" w:type="dxa"/>
            <w:vAlign w:val="bottom"/>
          </w:tcPr>
          <w:p>
            <w:pPr>
              <w:spacing w:after="0"/>
              <w:rPr>
                <w:color w:val="auto"/>
                <w:sz w:val="10"/>
                <w:szCs w:val="10"/>
              </w:rPr>
            </w:pPr>
          </w:p>
        </w:tc>
        <w:tc>
          <w:tcPr>
            <w:tcW w:w="1600" w:type="dxa"/>
            <w:gridSpan w:val="2"/>
            <w:vAlign w:val="bottom"/>
          </w:tcPr>
          <w:p>
            <w:pPr>
              <w:spacing w:after="0"/>
              <w:ind w:right="80"/>
              <w:jc w:val="right"/>
              <w:rPr>
                <w:color w:val="auto"/>
                <w:sz w:val="20"/>
                <w:szCs w:val="20"/>
              </w:rPr>
            </w:pPr>
            <w:r>
              <w:rPr>
                <w:rFonts w:ascii="Calibri" w:eastAsia="Calibri" w:hAnsi="Calibri" w:cs="Calibri"/>
                <w:b/>
                <w:bCs/>
                <w:color w:val="auto"/>
                <w:sz w:val="10"/>
                <w:szCs w:val="10"/>
              </w:rPr>
              <w:t>50 basis point</w:t>
            </w:r>
          </w:p>
        </w:tc>
        <w:tc>
          <w:tcPr>
            <w:tcW w:w="106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8320" w:type="dxa"/>
            <w:vMerge w:val="restart"/>
            <w:vAlign w:val="bottom"/>
          </w:tcPr>
          <w:p>
            <w:pPr>
              <w:spacing w:after="0"/>
              <w:rPr>
                <w:color w:val="auto"/>
                <w:sz w:val="20"/>
                <w:szCs w:val="20"/>
              </w:rPr>
            </w:pPr>
            <w:r>
              <w:rPr>
                <w:rFonts w:ascii="Calibri" w:eastAsia="Calibri" w:hAnsi="Calibri" w:cs="Calibri"/>
                <w:b/>
                <w:bCs/>
                <w:color w:val="auto"/>
                <w:sz w:val="10"/>
                <w:szCs w:val="10"/>
              </w:rPr>
              <w:t>(in millions) (brackets denote a reducton)</w:t>
            </w:r>
          </w:p>
        </w:tc>
        <w:tc>
          <w:tcPr>
            <w:tcW w:w="30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06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8320" w:type="dxa"/>
            <w:vMerge/>
            <w:vAlign w:val="bottom"/>
          </w:tcPr>
          <w:p>
            <w:pPr>
              <w:spacing w:after="0"/>
              <w:rPr>
                <w:color w:val="auto"/>
                <w:sz w:val="8"/>
                <w:szCs w:val="8"/>
              </w:rPr>
            </w:pPr>
          </w:p>
        </w:tc>
        <w:tc>
          <w:tcPr>
            <w:tcW w:w="300" w:type="dxa"/>
            <w:vAlign w:val="bottom"/>
          </w:tcPr>
          <w:p>
            <w:pPr>
              <w:spacing w:after="0"/>
              <w:rPr>
                <w:color w:val="auto"/>
                <w:sz w:val="8"/>
                <w:szCs w:val="8"/>
              </w:rPr>
            </w:pPr>
          </w:p>
        </w:tc>
        <w:tc>
          <w:tcPr>
            <w:tcW w:w="1180" w:type="dxa"/>
            <w:vAlign w:val="bottom"/>
          </w:tcPr>
          <w:p>
            <w:pPr>
              <w:spacing w:after="0" w:line="101" w:lineRule="exact"/>
              <w:ind w:right="544"/>
              <w:jc w:val="right"/>
              <w:rPr>
                <w:color w:val="auto"/>
                <w:sz w:val="20"/>
                <w:szCs w:val="20"/>
              </w:rPr>
            </w:pPr>
            <w:r>
              <w:rPr>
                <w:rFonts w:ascii="Calibri" w:eastAsia="Calibri" w:hAnsi="Calibri" w:cs="Calibri"/>
                <w:b/>
                <w:bCs/>
                <w:color w:val="auto"/>
                <w:sz w:val="10"/>
                <w:szCs w:val="10"/>
              </w:rPr>
              <w:t>Increase</w:t>
            </w:r>
          </w:p>
        </w:tc>
        <w:tc>
          <w:tcPr>
            <w:tcW w:w="420" w:type="dxa"/>
            <w:vAlign w:val="bottom"/>
          </w:tcPr>
          <w:p>
            <w:pPr>
              <w:spacing w:after="0"/>
              <w:rPr>
                <w:color w:val="auto"/>
                <w:sz w:val="8"/>
                <w:szCs w:val="8"/>
              </w:rPr>
            </w:pPr>
          </w:p>
        </w:tc>
        <w:tc>
          <w:tcPr>
            <w:tcW w:w="1060" w:type="dxa"/>
            <w:vAlign w:val="bottom"/>
          </w:tcPr>
          <w:p>
            <w:pPr>
              <w:spacing w:after="0" w:line="101" w:lineRule="exact"/>
              <w:ind w:right="482"/>
              <w:jc w:val="right"/>
              <w:rPr>
                <w:color w:val="auto"/>
                <w:sz w:val="20"/>
                <w:szCs w:val="20"/>
              </w:rPr>
            </w:pPr>
            <w:r>
              <w:rPr>
                <w:rFonts w:ascii="Calibri" w:eastAsia="Calibri" w:hAnsi="Calibri" w:cs="Calibri"/>
                <w:b/>
                <w:bCs/>
                <w:color w:val="auto"/>
                <w:sz w:val="10"/>
                <w:szCs w:val="10"/>
              </w:rPr>
              <w:t>Decrease</w:t>
            </w:r>
          </w:p>
        </w:tc>
        <w:tc>
          <w:tcPr>
            <w:tcW w:w="1" w:type="dxa"/>
            <w:vAlign w:val="bottom"/>
          </w:tcPr>
          <w:p>
            <w:pPr>
              <w:spacing w:after="0"/>
              <w:rPr>
                <w:color w:val="auto"/>
                <w:sz w:val="1"/>
                <w:szCs w:val="1"/>
              </w:rPr>
            </w:pPr>
          </w:p>
        </w:tc>
      </w:tr>
      <w:tr>
        <w:tblPrEx>
          <w:tblInd w:w="0" w:type="dxa"/>
          <w:tblLayout w:type="fixed"/>
        </w:tblPrEx>
        <w:trPr>
          <w:trHeight w:val="23"/>
        </w:trPr>
        <w:tc>
          <w:tcPr>
            <w:tcW w:w="832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06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36"/>
        </w:trPr>
        <w:tc>
          <w:tcPr>
            <w:tcW w:w="8320" w:type="dxa"/>
            <w:vAlign w:val="bottom"/>
          </w:tcPr>
          <w:p>
            <w:pPr>
              <w:spacing w:after="0" w:line="137" w:lineRule="exact"/>
              <w:rPr>
                <w:color w:val="auto"/>
                <w:sz w:val="20"/>
                <w:szCs w:val="20"/>
              </w:rPr>
            </w:pPr>
            <w:r>
              <w:rPr>
                <w:rFonts w:ascii="Calibri" w:eastAsia="Calibri" w:hAnsi="Calibri" w:cs="Calibri"/>
                <w:b/>
                <w:bCs/>
                <w:color w:val="auto"/>
                <w:sz w:val="12"/>
                <w:szCs w:val="12"/>
              </w:rPr>
              <w:t>Defned beneft plans</w:t>
            </w:r>
          </w:p>
        </w:tc>
        <w:tc>
          <w:tcPr>
            <w:tcW w:w="300" w:type="dxa"/>
            <w:vAlign w:val="bottom"/>
          </w:tcPr>
          <w:p>
            <w:pPr>
              <w:spacing w:after="0"/>
              <w:rPr>
                <w:color w:val="auto"/>
                <w:sz w:val="11"/>
                <w:szCs w:val="11"/>
              </w:rPr>
            </w:pPr>
          </w:p>
        </w:tc>
        <w:tc>
          <w:tcPr>
            <w:tcW w:w="1180" w:type="dxa"/>
            <w:vAlign w:val="bottom"/>
          </w:tcPr>
          <w:p>
            <w:pPr>
              <w:spacing w:after="0"/>
              <w:rPr>
                <w:color w:val="auto"/>
                <w:sz w:val="11"/>
                <w:szCs w:val="11"/>
              </w:rPr>
            </w:pPr>
          </w:p>
        </w:tc>
        <w:tc>
          <w:tcPr>
            <w:tcW w:w="420" w:type="dxa"/>
            <w:vAlign w:val="bottom"/>
          </w:tcPr>
          <w:p>
            <w:pPr>
              <w:spacing w:after="0"/>
              <w:rPr>
                <w:color w:val="auto"/>
                <w:sz w:val="11"/>
                <w:szCs w:val="11"/>
              </w:rPr>
            </w:pPr>
          </w:p>
        </w:tc>
        <w:tc>
          <w:tcPr>
            <w:tcW w:w="106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159"/>
        </w:trPr>
        <w:tc>
          <w:tcPr>
            <w:tcW w:w="8320" w:type="dxa"/>
            <w:shd w:val="clear" w:color="auto" w:fill="CCEEFF"/>
            <w:vAlign w:val="bottom"/>
          </w:tcPr>
          <w:p>
            <w:pPr>
              <w:spacing w:after="0"/>
              <w:rPr>
                <w:color w:val="auto"/>
                <w:sz w:val="20"/>
                <w:szCs w:val="20"/>
              </w:rPr>
            </w:pPr>
            <w:r>
              <w:rPr>
                <w:rFonts w:ascii="Calibri" w:eastAsia="Calibri" w:hAnsi="Calibri" w:cs="Calibri"/>
                <w:color w:val="auto"/>
                <w:sz w:val="12"/>
                <w:szCs w:val="12"/>
              </w:rPr>
              <w:t>Net periodic beneft cost</w:t>
            </w:r>
          </w:p>
        </w:tc>
        <w:tc>
          <w:tcPr>
            <w:tcW w:w="300" w:type="dxa"/>
            <w:shd w:val="clear" w:color="auto" w:fill="CCEEFF"/>
            <w:vAlign w:val="bottom"/>
          </w:tcPr>
          <w:p>
            <w:pPr>
              <w:spacing w:after="0"/>
              <w:ind w:right="186"/>
              <w:jc w:val="right"/>
              <w:rPr>
                <w:color w:val="auto"/>
                <w:sz w:val="20"/>
                <w:szCs w:val="20"/>
              </w:rPr>
            </w:pPr>
            <w:r>
              <w:rPr>
                <w:rFonts w:ascii="Calibri" w:eastAsia="Calibri" w:hAnsi="Calibri" w:cs="Calibri"/>
                <w:color w:val="auto"/>
                <w:w w:val="70"/>
                <w:sz w:val="11"/>
                <w:szCs w:val="11"/>
              </w:rPr>
              <w:t>$</w:t>
            </w:r>
          </w:p>
        </w:tc>
        <w:tc>
          <w:tcPr>
            <w:tcW w:w="1180" w:type="dxa"/>
            <w:shd w:val="clear" w:color="auto" w:fill="CCEEFF"/>
            <w:vAlign w:val="bottom"/>
          </w:tcPr>
          <w:p>
            <w:pPr>
              <w:spacing w:after="0"/>
              <w:ind w:right="4"/>
              <w:jc w:val="right"/>
              <w:rPr>
                <w:color w:val="auto"/>
                <w:sz w:val="20"/>
                <w:szCs w:val="20"/>
              </w:rPr>
            </w:pPr>
            <w:r>
              <w:rPr>
                <w:rFonts w:ascii="Calibri" w:eastAsia="Calibri" w:hAnsi="Calibri" w:cs="Calibri"/>
                <w:color w:val="auto"/>
                <w:sz w:val="12"/>
                <w:szCs w:val="12"/>
              </w:rPr>
              <w:t>(25)</w:t>
            </w:r>
          </w:p>
        </w:tc>
        <w:tc>
          <w:tcPr>
            <w:tcW w:w="42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w:t>
            </w:r>
          </w:p>
        </w:tc>
        <w:tc>
          <w:tcPr>
            <w:tcW w:w="10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39</w:t>
            </w:r>
          </w:p>
        </w:tc>
        <w:tc>
          <w:tcPr>
            <w:tcW w:w="1" w:type="dxa"/>
            <w:vAlign w:val="bottom"/>
          </w:tcPr>
          <w:p>
            <w:pPr>
              <w:spacing w:after="0"/>
              <w:rPr>
                <w:color w:val="auto"/>
                <w:sz w:val="1"/>
                <w:szCs w:val="1"/>
              </w:rPr>
            </w:pPr>
          </w:p>
        </w:tc>
      </w:tr>
      <w:tr>
        <w:tblPrEx>
          <w:tblInd w:w="0" w:type="dxa"/>
          <w:tblLayout w:type="fixed"/>
        </w:tblPrEx>
        <w:trPr>
          <w:trHeight w:val="147"/>
        </w:trPr>
        <w:tc>
          <w:tcPr>
            <w:tcW w:w="8320" w:type="dxa"/>
            <w:vAlign w:val="bottom"/>
          </w:tcPr>
          <w:p>
            <w:pPr>
              <w:spacing w:after="0" w:line="142" w:lineRule="exact"/>
              <w:rPr>
                <w:color w:val="auto"/>
                <w:sz w:val="20"/>
                <w:szCs w:val="20"/>
              </w:rPr>
            </w:pPr>
            <w:r>
              <w:rPr>
                <w:rFonts w:ascii="Calibri" w:eastAsia="Calibri" w:hAnsi="Calibri" w:cs="Calibri"/>
                <w:color w:val="auto"/>
                <w:sz w:val="12"/>
                <w:szCs w:val="12"/>
              </w:rPr>
              <w:t>Projected beneft obligaton</w:t>
            </w:r>
          </w:p>
        </w:tc>
        <w:tc>
          <w:tcPr>
            <w:tcW w:w="300" w:type="dxa"/>
            <w:vAlign w:val="bottom"/>
          </w:tcPr>
          <w:p>
            <w:pPr>
              <w:spacing w:after="0"/>
              <w:rPr>
                <w:color w:val="auto"/>
                <w:sz w:val="12"/>
                <w:szCs w:val="12"/>
              </w:rPr>
            </w:pPr>
          </w:p>
        </w:tc>
        <w:tc>
          <w:tcPr>
            <w:tcW w:w="1180" w:type="dxa"/>
            <w:vAlign w:val="bottom"/>
          </w:tcPr>
          <w:p>
            <w:pPr>
              <w:spacing w:after="0" w:line="142" w:lineRule="exact"/>
              <w:ind w:right="4"/>
              <w:jc w:val="right"/>
              <w:rPr>
                <w:color w:val="auto"/>
                <w:sz w:val="20"/>
                <w:szCs w:val="20"/>
              </w:rPr>
            </w:pPr>
            <w:r>
              <w:rPr>
                <w:rFonts w:ascii="Calibri" w:eastAsia="Calibri" w:hAnsi="Calibri" w:cs="Calibri"/>
                <w:color w:val="auto"/>
                <w:sz w:val="12"/>
                <w:szCs w:val="12"/>
              </w:rPr>
              <w:t>(596)</w:t>
            </w:r>
          </w:p>
        </w:tc>
        <w:tc>
          <w:tcPr>
            <w:tcW w:w="420" w:type="dxa"/>
            <w:vAlign w:val="bottom"/>
          </w:tcPr>
          <w:p>
            <w:pPr>
              <w:spacing w:after="0"/>
              <w:rPr>
                <w:color w:val="auto"/>
                <w:sz w:val="12"/>
                <w:szCs w:val="12"/>
              </w:rPr>
            </w:pPr>
          </w:p>
        </w:tc>
        <w:tc>
          <w:tcPr>
            <w:tcW w:w="10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664</w:t>
            </w:r>
          </w:p>
        </w:tc>
        <w:tc>
          <w:tcPr>
            <w:tcW w:w="1" w:type="dxa"/>
            <w:vAlign w:val="bottom"/>
          </w:tcPr>
          <w:p>
            <w:pPr>
              <w:spacing w:after="0"/>
              <w:rPr>
                <w:color w:val="auto"/>
                <w:sz w:val="1"/>
                <w:szCs w:val="1"/>
              </w:rPr>
            </w:pPr>
          </w:p>
        </w:tc>
      </w:tr>
      <w:tr>
        <w:tblPrEx>
          <w:tblInd w:w="0" w:type="dxa"/>
          <w:tblLayout w:type="fixed"/>
        </w:tblPrEx>
        <w:trPr>
          <w:trHeight w:val="159"/>
        </w:trPr>
        <w:tc>
          <w:tcPr>
            <w:tcW w:w="8320" w:type="dxa"/>
            <w:shd w:val="clear" w:color="auto" w:fill="CCEEFF"/>
            <w:vAlign w:val="bottom"/>
          </w:tcPr>
          <w:p>
            <w:pPr>
              <w:spacing w:after="0"/>
              <w:rPr>
                <w:color w:val="auto"/>
                <w:sz w:val="20"/>
                <w:szCs w:val="20"/>
              </w:rPr>
            </w:pPr>
            <w:r>
              <w:rPr>
                <w:rFonts w:ascii="Calibri" w:eastAsia="Calibri" w:hAnsi="Calibri" w:cs="Calibri"/>
                <w:b/>
                <w:bCs/>
                <w:color w:val="auto"/>
                <w:sz w:val="12"/>
                <w:szCs w:val="12"/>
              </w:rPr>
              <w:t>Other post-employment plans</w:t>
            </w:r>
          </w:p>
        </w:tc>
        <w:tc>
          <w:tcPr>
            <w:tcW w:w="30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rPr>
                <w:color w:val="auto"/>
                <w:sz w:val="13"/>
                <w:szCs w:val="13"/>
              </w:rPr>
            </w:pPr>
          </w:p>
        </w:tc>
        <w:tc>
          <w:tcPr>
            <w:tcW w:w="420" w:type="dxa"/>
            <w:shd w:val="clear" w:color="auto" w:fill="CCEEFF"/>
            <w:vAlign w:val="bottom"/>
          </w:tcPr>
          <w:p>
            <w:pPr>
              <w:spacing w:after="0"/>
              <w:rPr>
                <w:color w:val="auto"/>
                <w:sz w:val="13"/>
                <w:szCs w:val="13"/>
              </w:rPr>
            </w:pPr>
          </w:p>
        </w:tc>
        <w:tc>
          <w:tcPr>
            <w:tcW w:w="1060" w:type="dxa"/>
            <w:shd w:val="clear" w:color="auto" w:fill="CCEEFF"/>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7"/>
        </w:trPr>
        <w:tc>
          <w:tcPr>
            <w:tcW w:w="8320" w:type="dxa"/>
            <w:vAlign w:val="bottom"/>
          </w:tcPr>
          <w:p>
            <w:pPr>
              <w:spacing w:after="0" w:line="142" w:lineRule="exact"/>
              <w:rPr>
                <w:color w:val="auto"/>
                <w:sz w:val="20"/>
                <w:szCs w:val="20"/>
              </w:rPr>
            </w:pPr>
            <w:r>
              <w:rPr>
                <w:rFonts w:ascii="Calibri" w:eastAsia="Calibri" w:hAnsi="Calibri" w:cs="Calibri"/>
                <w:color w:val="auto"/>
                <w:sz w:val="12"/>
                <w:szCs w:val="12"/>
              </w:rPr>
              <w:t>Net periodic beneft cost</w:t>
            </w:r>
          </w:p>
        </w:tc>
        <w:tc>
          <w:tcPr>
            <w:tcW w:w="300" w:type="dxa"/>
            <w:vAlign w:val="bottom"/>
          </w:tcPr>
          <w:p>
            <w:pPr>
              <w:spacing w:after="0"/>
              <w:ind w:right="186"/>
              <w:jc w:val="right"/>
              <w:rPr>
                <w:color w:val="auto"/>
                <w:sz w:val="20"/>
                <w:szCs w:val="20"/>
              </w:rPr>
            </w:pPr>
            <w:r>
              <w:rPr>
                <w:rFonts w:ascii="Calibri" w:eastAsia="Calibri" w:hAnsi="Calibri" w:cs="Calibri"/>
                <w:color w:val="auto"/>
                <w:w w:val="70"/>
                <w:sz w:val="11"/>
                <w:szCs w:val="11"/>
              </w:rPr>
              <w:t>$</w:t>
            </w:r>
          </w:p>
        </w:tc>
        <w:tc>
          <w:tcPr>
            <w:tcW w:w="1180" w:type="dxa"/>
            <w:vAlign w:val="bottom"/>
          </w:tcPr>
          <w:p>
            <w:pPr>
              <w:spacing w:after="0" w:line="142" w:lineRule="exact"/>
              <w:ind w:right="4"/>
              <w:jc w:val="right"/>
              <w:rPr>
                <w:color w:val="auto"/>
                <w:sz w:val="20"/>
                <w:szCs w:val="20"/>
              </w:rPr>
            </w:pPr>
            <w:r>
              <w:rPr>
                <w:rFonts w:ascii="Calibri" w:eastAsia="Calibri" w:hAnsi="Calibri" w:cs="Calibri"/>
                <w:color w:val="auto"/>
                <w:sz w:val="12"/>
                <w:szCs w:val="12"/>
              </w:rPr>
              <w:t>(5)</w:t>
            </w:r>
          </w:p>
        </w:tc>
        <w:tc>
          <w:tcPr>
            <w:tcW w:w="42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w:t>
            </w:r>
          </w:p>
        </w:tc>
        <w:tc>
          <w:tcPr>
            <w:tcW w:w="10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6</w:t>
            </w:r>
          </w:p>
        </w:tc>
        <w:tc>
          <w:tcPr>
            <w:tcW w:w="1" w:type="dxa"/>
            <w:vAlign w:val="bottom"/>
          </w:tcPr>
          <w:p>
            <w:pPr>
              <w:spacing w:after="0"/>
              <w:rPr>
                <w:color w:val="auto"/>
                <w:sz w:val="1"/>
                <w:szCs w:val="1"/>
              </w:rPr>
            </w:pPr>
          </w:p>
        </w:tc>
      </w:tr>
      <w:tr>
        <w:tblPrEx>
          <w:tblInd w:w="0" w:type="dxa"/>
          <w:tblLayout w:type="fixed"/>
        </w:tblPrEx>
        <w:trPr>
          <w:trHeight w:val="153"/>
        </w:trPr>
        <w:tc>
          <w:tcPr>
            <w:tcW w:w="832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Projected beneft obligaton</w:t>
            </w:r>
          </w:p>
        </w:tc>
        <w:tc>
          <w:tcPr>
            <w:tcW w:w="300" w:type="dxa"/>
            <w:tcBorders>
              <w:bottom w:val="single" w:sz="8" w:space="0" w:color="auto"/>
            </w:tcBorders>
            <w:shd w:val="clear" w:color="auto" w:fill="CCEEFF"/>
            <w:vAlign w:val="bottom"/>
          </w:tcPr>
          <w:p>
            <w:pPr>
              <w:spacing w:after="0"/>
              <w:rPr>
                <w:color w:val="auto"/>
                <w:sz w:val="13"/>
                <w:szCs w:val="13"/>
              </w:rPr>
            </w:pPr>
          </w:p>
        </w:tc>
        <w:tc>
          <w:tcPr>
            <w:tcW w:w="1180" w:type="dxa"/>
            <w:tcBorders>
              <w:bottom w:val="single" w:sz="8" w:space="0" w:color="auto"/>
            </w:tcBorders>
            <w:shd w:val="clear" w:color="auto" w:fill="CCEEFF"/>
            <w:vAlign w:val="bottom"/>
          </w:tcPr>
          <w:p>
            <w:pPr>
              <w:spacing w:after="0"/>
              <w:ind w:right="4"/>
              <w:jc w:val="right"/>
              <w:rPr>
                <w:color w:val="auto"/>
                <w:sz w:val="20"/>
                <w:szCs w:val="20"/>
              </w:rPr>
            </w:pPr>
            <w:r>
              <w:rPr>
                <w:rFonts w:ascii="Calibri" w:eastAsia="Calibri" w:hAnsi="Calibri" w:cs="Calibri"/>
                <w:color w:val="auto"/>
                <w:sz w:val="12"/>
                <w:szCs w:val="12"/>
              </w:rPr>
              <w:t>(46)</w:t>
            </w:r>
          </w:p>
        </w:tc>
        <w:tc>
          <w:tcPr>
            <w:tcW w:w="420" w:type="dxa"/>
            <w:tcBorders>
              <w:bottom w:val="single" w:sz="8" w:space="0" w:color="auto"/>
            </w:tcBorders>
            <w:shd w:val="clear" w:color="auto" w:fill="CCEEFF"/>
            <w:vAlign w:val="bottom"/>
          </w:tcPr>
          <w:p>
            <w:pPr>
              <w:spacing w:after="0"/>
              <w:rPr>
                <w:color w:val="auto"/>
                <w:sz w:val="13"/>
                <w:szCs w:val="13"/>
              </w:rPr>
            </w:pPr>
          </w:p>
        </w:tc>
        <w:tc>
          <w:tcPr>
            <w:tcW w:w="106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51</w:t>
            </w:r>
          </w:p>
        </w:tc>
        <w:tc>
          <w:tcPr>
            <w:tcW w:w="1" w:type="dxa"/>
            <w:vAlign w:val="bottom"/>
          </w:tcPr>
          <w:p>
            <w:pPr>
              <w:spacing w:after="0"/>
              <w:rPr>
                <w:color w:val="auto"/>
                <w:sz w:val="1"/>
                <w:szCs w:val="1"/>
              </w:rPr>
            </w:pPr>
          </w:p>
        </w:tc>
      </w:tr>
    </w:tbl>
    <w:p>
      <w:pPr>
        <w:spacing w:after="0" w:line="147" w:lineRule="exact"/>
        <w:rPr>
          <w:color w:val="auto"/>
          <w:sz w:val="20"/>
          <w:szCs w:val="20"/>
        </w:rPr>
      </w:pPr>
    </w:p>
    <w:p>
      <w:pPr>
        <w:spacing w:after="0" w:line="235" w:lineRule="auto"/>
        <w:ind w:right="100" w:firstLine="297"/>
        <w:rPr>
          <w:color w:val="auto"/>
          <w:sz w:val="20"/>
          <w:szCs w:val="20"/>
        </w:rPr>
      </w:pPr>
      <w:r>
        <w:rPr>
          <w:rFonts w:ascii="Calibri" w:eastAsia="Calibri" w:hAnsi="Calibri" w:cs="Calibri"/>
          <w:color w:val="auto"/>
          <w:sz w:val="12"/>
          <w:szCs w:val="12"/>
        </w:rPr>
        <w:t>The expected long-term rate of return is based on the asset allocaton, historical performance and the current view of expected future returns. AbbVie considers these inputs with a long-term focus to avoid short-term market infuences. The current long-term rate of return on plan assets for each plan is supported by the historical performance of the trust's actual and target asset allocaton. AbbVie's assumed expected long-term rate of return has a signifcant efect on the amounts reported for defned beneft pension plans as of December 31, 2024 and will be used in the calculaton of net periodic beneft cost in 2025. A one percentage point change in assumed expected long-term rate of return on plan assets would increase or decrease the net period beneft cost of these plans in 2025 by $109 million.</w:t>
      </w:r>
    </w:p>
    <w:p>
      <w:pPr>
        <w:spacing w:after="0" w:line="92"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The health care cost trend rate is selected by reviewing historical trends and current views on projected future health care cost increases. The current health care cost trend rate is supported by the historical trend experience of each plan. Assumed health care cost trend rates have a signifcant efect on the amounts reported for health care plans as of December 31, 2024 and will be used in the calculaton of net periodic beneft cost in 2025.</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Income Taxes</w:t>
      </w:r>
    </w:p>
    <w:p>
      <w:pPr>
        <w:spacing w:after="0" w:line="101"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AbbVie accounts for income taxes under the asset and liability method. Provisions for federal, state and foreign income taxes are calculated on reported pre-tax earnings based on current tax laws. Deferred taxes are provided using enacted tax rates on the future tax consequences of temporary diferences, which are the diferences between the fnancial statement carrying amount of assets and liabilites and their respectve tax bases and the tax benefts of carryforwards. A valuaton allowance is established or maintained when, based on currently available informaton, it is more likely than not that all or a porton of a deferred tax asset will not be realized.</w:t>
      </w:r>
    </w:p>
    <w:p>
      <w:pPr>
        <w:spacing w:after="0" w:line="89"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Litgaton</w:t>
      </w:r>
    </w:p>
    <w:p>
      <w:pPr>
        <w:spacing w:after="0" w:line="101"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The company is subject to contngencies, such as various claims, legal proceedings and investgatons regarding product liability, intellectual property, commercial, securites and other maters that arise in the normal course of business. See Note 15 to the Consolidated Financial Statements for additonal informaton. Loss contngency provisions are recorded for probable losses at management's best estmate of a loss, or when a best estmate cannot be made, a minimum loss contngency amount within a probable range is recorded. Accordingly, AbbVie is ofen initally unable to develop a best estmate of loss and therefore, the minimum amount, which could be zero, is recorded. As informaton becomes known, either the minimum loss amount is increased, resultng in additonal loss provisions, or a best estmate can be made, also resultng in additonal loss provisions. Occasionally, a best estmate amount is changed to a lower amount when events result in an expectaton of a more favorable outcome than previously expected.</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Valuaton of Goodwill and Intangible Assets</w:t>
      </w:r>
    </w:p>
    <w:p>
      <w:pPr>
        <w:spacing w:after="0" w:line="92"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AbbVie has acquired and may contnue to acquire signifcant intangible assets in connecton with business combinatons that AbbVie records at fair value. Transactons involving the purchase or sale of intangible assets occur between companies in the pharmaceutcals industry and valuatons are usually based on a discounted cash fow analysis incorporatng the stage of completon. The discounted cash fow model requires assumptons about the tming and amount of future net cash fows, risk, cost of capital, terminal values and market partcipants. Each of these factors can signifcantly afect the value of the intangible asset. In-process research and development (IPR&amp;D) acquired in a business combinaton is capitalized as an</w:t>
      </w:r>
    </w:p>
    <w:p>
      <w:pPr>
        <w:spacing w:after="0" w:line="204"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47</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78048" behindDoc="1" locked="0" layoutInCell="0" allowOverlap="1">
            <wp:simplePos x="0" y="0"/>
            <wp:positionH relativeFrom="column">
              <wp:posOffset>-17145</wp:posOffset>
            </wp:positionH>
            <wp:positionV relativeFrom="paragraph">
              <wp:posOffset>133985</wp:posOffset>
            </wp:positionV>
            <wp:extent cx="7203440" cy="3683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779072" behindDoc="1" locked="0" layoutInCell="0" allowOverlap="1">
            <wp:simplePos x="0" y="0"/>
            <wp:positionH relativeFrom="column">
              <wp:posOffset>292100</wp:posOffset>
            </wp:positionH>
            <wp:positionV relativeFrom="paragraph">
              <wp:posOffset>-75565</wp:posOffset>
            </wp:positionV>
            <wp:extent cx="400050" cy="74295"/>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49" w:name="page50"/>
    <w:bookmarkEnd w:id="49"/>
    <w:p>
      <w:pPr>
        <w:spacing w:after="0" w:line="234" w:lineRule="auto"/>
        <w:ind w:right="140"/>
        <w:rPr>
          <w:color w:val="auto"/>
          <w:sz w:val="20"/>
          <w:szCs w:val="20"/>
        </w:rPr>
      </w:pPr>
      <w:r>
        <w:rPr>
          <w:rFonts w:ascii="Calibri" w:eastAsia="Calibri" w:hAnsi="Calibri" w:cs="Calibri"/>
          <w:color w:val="auto"/>
          <w:sz w:val="12"/>
          <w:szCs w:val="12"/>
        </w:rPr>
        <w:t>indefnite-lived intangible asset untl regulatory approval is obtained, at which tme it is accounted for as a defnite-lived asset and amortzed over its estmated useful life, or discontnuaton, at which point the intangible asset will be writen of. IPR&amp;D acquired in transactons that are not business combinatons is expensed immediately, unless deemed to have an alternatve future use. Payments made to third partes subsequent to regulatory approval are capitalized and amortzed over the remaining useful life.</w:t>
      </w:r>
    </w:p>
    <w:p>
      <w:pPr>
        <w:spacing w:after="0" w:line="94" w:lineRule="exact"/>
        <w:rPr>
          <w:color w:val="auto"/>
          <w:sz w:val="20"/>
          <w:szCs w:val="20"/>
        </w:rPr>
      </w:pPr>
    </w:p>
    <w:p>
      <w:pPr>
        <w:spacing w:after="0" w:line="234" w:lineRule="auto"/>
        <w:ind w:right="260" w:firstLine="297"/>
        <w:rPr>
          <w:color w:val="auto"/>
          <w:sz w:val="20"/>
          <w:szCs w:val="20"/>
        </w:rPr>
      </w:pPr>
      <w:r>
        <w:rPr>
          <w:rFonts w:ascii="Calibri" w:eastAsia="Calibri" w:hAnsi="Calibri" w:cs="Calibri"/>
          <w:color w:val="auto"/>
          <w:sz w:val="12"/>
          <w:szCs w:val="12"/>
        </w:rPr>
        <w:t>AbbVie reviews the recoverability of defnite-lived intangible assets whenever events or changes in circumstances indicate the carrying value of an asset may not be recoverable. Goodwill and indefnite-lived intangible assets are reviewed for impairment annually or when an event occurs that could result in an impairment. See Note 2 to the Consolidated Financial Statements for additonal informaton.</w:t>
      </w:r>
    </w:p>
    <w:p>
      <w:pPr>
        <w:spacing w:after="0" w:line="101" w:lineRule="exact"/>
        <w:rPr>
          <w:color w:val="auto"/>
          <w:sz w:val="20"/>
          <w:szCs w:val="20"/>
        </w:rPr>
      </w:pPr>
    </w:p>
    <w:p>
      <w:pPr>
        <w:spacing w:after="0" w:line="235" w:lineRule="auto"/>
        <w:ind w:right="200" w:firstLine="297"/>
        <w:rPr>
          <w:color w:val="auto"/>
          <w:sz w:val="20"/>
          <w:szCs w:val="20"/>
        </w:rPr>
      </w:pPr>
      <w:r>
        <w:rPr>
          <w:rFonts w:ascii="Calibri" w:eastAsia="Calibri" w:hAnsi="Calibri" w:cs="Calibri"/>
          <w:color w:val="auto"/>
          <w:sz w:val="12"/>
          <w:szCs w:val="12"/>
        </w:rPr>
        <w:t>Annually, the company tests its goodwill for impairment by frst assessing qualitatve factors to determine whether it is more likely than not that the fair value is less than its carrying amount. Some of the factors considered in the assessment include general macro-economic conditons, conditons specifc to the industry and market, cost factors, the overall fnancial performance and whether there have been sustained declines in the company's share price. If the company concludes it is more likely than not that the fair value of the reportng unit is less than its carrying amount, a quanttatve impairment test is performed. AbbVie tests indefnite-lived intangible assets for impairment by frst assessing qualitatve factors to determine whether it is more likely than not that the fair value is less than its carrying amount. If the company concludes it is more likely than not that the fair value is less than its carrying amount, a quanttatve impairment test is performed.</w:t>
      </w:r>
    </w:p>
    <w:p>
      <w:pPr>
        <w:spacing w:after="0" w:line="102"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For its quanttatve impairment tests, the company uses an estmated future cash fow approach that requires signifcant judgment with respect to future volume, revenue and expense growth rates, changes in working capital use, the selecton of an appropriate discount rate, asset groupings and other assumptons and estmates. The estmates and assumptons used are consistent with the company's business plans and a market partcipant's views. The use of alternatve estmates and assumptons could increase or decrease projected cash fows and the estmated fair value of the related intangible assets. Future changes to these estmates and assumptons could have a material impact on the company's results of operatons. Actual results may difer from the company's estmates.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Contngent Consideraton</w:t>
      </w:r>
    </w:p>
    <w:p>
      <w:pPr>
        <w:spacing w:after="0" w:line="101"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The fair value measurements of contngent consideraton liabilites are determined as of the acquisiton date based on signifcant unobservable inputs, including the discount rate, estmated probabilites and tming of achieving specifed development, regulatory and commercial milestones and the estmated amount of future sales of the acquired products. Contngent consideraton liabilites are revalued to fair value at each subsequent reportng date untl the related contngency is resolved. The potental contngent consideraton payments are estmated by applying a probability-weighted expected payment model for contngent milestone payments and a Monte Carlo simulaton model for contngent royalty payments, which are then discounted to present value. Changes to the fair value of the contngent consideraton liabilites can result from changes to one or a number of inputs, including discount rates, the probabilites of achieving the milestones, the tme required to achieve the milestones and estmated future sales. Signifcant judgment is employed in determining the appropriateness of certain of these inputs, which are disclosed in Note 11 to the Consolidated Financial Statements. Changes to the inputs described above could have a material impact on the company's fnancial positon and results of operatons in any given period.</w:t>
      </w:r>
    </w:p>
    <w:p>
      <w:pPr>
        <w:spacing w:after="0" w:line="20" w:lineRule="exact"/>
        <w:rPr>
          <w:color w:val="auto"/>
          <w:sz w:val="20"/>
          <w:szCs w:val="20"/>
        </w:rPr>
      </w:pPr>
      <w:r>
        <w:rPr>
          <w:color w:val="auto"/>
          <w:sz w:val="20"/>
          <w:szCs w:val="20"/>
        </w:rPr>
        <w:drawing>
          <wp:anchor simplePos="0" relativeHeight="251780096" behindDoc="1" locked="0" layoutInCell="0" allowOverlap="1">
            <wp:simplePos x="0" y="0"/>
            <wp:positionH relativeFrom="column">
              <wp:posOffset>6475730</wp:posOffset>
            </wp:positionH>
            <wp:positionV relativeFrom="paragraph">
              <wp:posOffset>417195</wp:posOffset>
            </wp:positionV>
            <wp:extent cx="400050" cy="7429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63"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48</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781120" behindDoc="1" locked="0" layoutInCell="0" allowOverlap="1">
            <wp:simplePos x="0" y="0"/>
            <wp:positionH relativeFrom="column">
              <wp:posOffset>7154545</wp:posOffset>
            </wp:positionH>
            <wp:positionV relativeFrom="paragraph">
              <wp:posOffset>-23495</wp:posOffset>
            </wp:positionV>
            <wp:extent cx="31115" cy="3683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82144" behindDoc="1" locked="0" layoutInCell="0" allowOverlap="1">
            <wp:simplePos x="0" y="0"/>
            <wp:positionH relativeFrom="column">
              <wp:posOffset>-17145</wp:posOffset>
            </wp:positionH>
            <wp:positionV relativeFrom="paragraph">
              <wp:posOffset>-23495</wp:posOffset>
            </wp:positionV>
            <wp:extent cx="31115" cy="3683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50" w:name="page51"/>
    <w:bookmarkEnd w:id="50"/>
    <w:p>
      <w:pPr>
        <w:spacing w:after="0"/>
        <w:rPr>
          <w:color w:val="auto"/>
          <w:sz w:val="20"/>
          <w:szCs w:val="20"/>
        </w:rPr>
      </w:pPr>
      <w:r>
        <w:rPr>
          <w:rFonts w:ascii="Calibri" w:eastAsia="Calibri" w:hAnsi="Calibri" w:cs="Calibri"/>
          <w:b/>
          <w:bCs/>
          <w:color w:val="444867"/>
          <w:sz w:val="14"/>
          <w:szCs w:val="14"/>
        </w:rPr>
        <w:t>ITEM 7A. QUANTITATIVE AND QUALITATIVE DISCLOSURES ABOUT MARKET RISK</w:t>
      </w:r>
    </w:p>
    <w:p>
      <w:pPr>
        <w:spacing w:after="0" w:line="20" w:lineRule="exact"/>
        <w:rPr>
          <w:color w:val="auto"/>
          <w:sz w:val="20"/>
          <w:szCs w:val="20"/>
        </w:rPr>
      </w:pPr>
      <w:r>
        <w:rPr>
          <w:color w:val="auto"/>
          <w:sz w:val="20"/>
          <w:szCs w:val="20"/>
        </w:rPr>
        <w:drawing>
          <wp:anchor simplePos="0" relativeHeight="251783168" behindDoc="1" locked="0" layoutInCell="0" allowOverlap="1">
            <wp:simplePos x="0" y="0"/>
            <wp:positionH relativeFrom="column">
              <wp:posOffset>-4445</wp:posOffset>
            </wp:positionH>
            <wp:positionV relativeFrom="paragraph">
              <wp:posOffset>46990</wp:posOffset>
            </wp:positionV>
            <wp:extent cx="7166610" cy="571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10"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The company is exposed to risk that its earnings, cash fows and equity could be adversely impacted by changes in foreign exchange rates and interest rates. Certain derivatve instruments are used when available on a cost-efectve basis to hedge the company's underlying economic exposures. See Note 11 to the Consolidated Financial Statements for additonal informaton regarding the company's fnancial instruments and hedging strategies.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Foreign Currency Risk</w:t>
      </w:r>
    </w:p>
    <w:p>
      <w:pPr>
        <w:spacing w:after="0" w:line="101"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AbbVie's primary net foreign currency exposures are the Euro, Japanese yen, Canadian dollar and Britsh pound. The following table refects the total foreign currency forward exchange contracts outstanding at December 31, 2024 and 2023:</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320"/>
        <w:gridCol w:w="180"/>
        <w:gridCol w:w="1120"/>
        <w:gridCol w:w="1060"/>
        <w:gridCol w:w="140"/>
        <w:gridCol w:w="940"/>
        <w:gridCol w:w="100"/>
        <w:gridCol w:w="160"/>
        <w:gridCol w:w="1120"/>
        <w:gridCol w:w="1080"/>
        <w:gridCol w:w="140"/>
        <w:gridCol w:w="940"/>
      </w:tblGrid>
      <w:tr>
        <w:tblPrEx>
          <w:tblInd w:w="0" w:type="dxa"/>
          <w:tblLayout w:type="fixed"/>
        </w:tblPrEx>
        <w:trPr>
          <w:trHeight w:val="122"/>
        </w:trPr>
        <w:tc>
          <w:tcPr>
            <w:tcW w:w="4320" w:type="dxa"/>
            <w:vAlign w:val="bottom"/>
          </w:tcPr>
          <w:p>
            <w:pPr>
              <w:spacing w:after="0"/>
              <w:rPr>
                <w:color w:val="auto"/>
                <w:sz w:val="10"/>
                <w:szCs w:val="10"/>
              </w:rPr>
            </w:pPr>
          </w:p>
        </w:tc>
        <w:tc>
          <w:tcPr>
            <w:tcW w:w="18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1060" w:type="dxa"/>
            <w:vAlign w:val="bottom"/>
          </w:tcPr>
          <w:p>
            <w:pPr>
              <w:spacing w:after="0"/>
              <w:ind w:right="486"/>
              <w:jc w:val="right"/>
              <w:rPr>
                <w:color w:val="auto"/>
                <w:sz w:val="20"/>
                <w:szCs w:val="20"/>
              </w:rPr>
            </w:pPr>
            <w:r>
              <w:rPr>
                <w:rFonts w:ascii="Calibri" w:eastAsia="Calibri" w:hAnsi="Calibri" w:cs="Calibri"/>
                <w:b/>
                <w:bCs/>
                <w:color w:val="auto"/>
                <w:sz w:val="10"/>
                <w:szCs w:val="10"/>
              </w:rPr>
              <w:t>2024</w:t>
            </w:r>
          </w:p>
        </w:tc>
        <w:tc>
          <w:tcPr>
            <w:tcW w:w="140" w:type="dxa"/>
            <w:vAlign w:val="bottom"/>
          </w:tcPr>
          <w:p>
            <w:pPr>
              <w:spacing w:after="0"/>
              <w:rPr>
                <w:color w:val="auto"/>
                <w:sz w:val="10"/>
                <w:szCs w:val="10"/>
              </w:rPr>
            </w:pPr>
          </w:p>
        </w:tc>
        <w:tc>
          <w:tcPr>
            <w:tcW w:w="94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16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1080" w:type="dxa"/>
            <w:vAlign w:val="bottom"/>
          </w:tcPr>
          <w:p>
            <w:pPr>
              <w:spacing w:after="0"/>
              <w:ind w:right="486"/>
              <w:jc w:val="right"/>
              <w:rPr>
                <w:color w:val="auto"/>
                <w:sz w:val="20"/>
                <w:szCs w:val="20"/>
              </w:rPr>
            </w:pPr>
            <w:r>
              <w:rPr>
                <w:rFonts w:ascii="Calibri" w:eastAsia="Calibri" w:hAnsi="Calibri" w:cs="Calibri"/>
                <w:b/>
                <w:bCs/>
                <w:color w:val="auto"/>
                <w:sz w:val="10"/>
                <w:szCs w:val="10"/>
              </w:rPr>
              <w:t>2023</w:t>
            </w:r>
          </w:p>
        </w:tc>
        <w:tc>
          <w:tcPr>
            <w:tcW w:w="140" w:type="dxa"/>
            <w:vAlign w:val="bottom"/>
          </w:tcPr>
          <w:p>
            <w:pPr>
              <w:spacing w:after="0"/>
              <w:rPr>
                <w:color w:val="auto"/>
                <w:sz w:val="10"/>
                <w:szCs w:val="10"/>
              </w:rPr>
            </w:pPr>
          </w:p>
        </w:tc>
        <w:tc>
          <w:tcPr>
            <w:tcW w:w="940" w:type="dxa"/>
            <w:vAlign w:val="bottom"/>
          </w:tcPr>
          <w:p>
            <w:pPr>
              <w:spacing w:after="0"/>
              <w:rPr>
                <w:color w:val="auto"/>
                <w:sz w:val="10"/>
                <w:szCs w:val="10"/>
              </w:rPr>
            </w:pPr>
          </w:p>
        </w:tc>
      </w:tr>
      <w:tr>
        <w:tblPrEx>
          <w:tblInd w:w="0" w:type="dxa"/>
          <w:tblLayout w:type="fixed"/>
        </w:tblPrEx>
        <w:trPr>
          <w:trHeight w:val="32"/>
        </w:trPr>
        <w:tc>
          <w:tcPr>
            <w:tcW w:w="4320" w:type="dxa"/>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1060" w:type="dxa"/>
            <w:tcBorders>
              <w:bottom w:val="single" w:sz="8" w:space="0" w:color="auto"/>
            </w:tcBorders>
            <w:vAlign w:val="bottom"/>
          </w:tcPr>
          <w:p>
            <w:pPr>
              <w:spacing w:after="0"/>
              <w:rPr>
                <w:color w:val="auto"/>
                <w:sz w:val="2"/>
                <w:szCs w:val="2"/>
              </w:rPr>
            </w:pPr>
          </w:p>
        </w:tc>
        <w:tc>
          <w:tcPr>
            <w:tcW w:w="1080" w:type="dxa"/>
            <w:gridSpan w:val="2"/>
            <w:tcBorders>
              <w:bottom w:val="single" w:sz="8" w:space="0" w:color="auto"/>
            </w:tcBorders>
            <w:vAlign w:val="bottom"/>
          </w:tcPr>
          <w:p>
            <w:pPr>
              <w:spacing w:after="0"/>
              <w:rPr>
                <w:color w:val="auto"/>
                <w:sz w:val="2"/>
                <w:szCs w:val="2"/>
              </w:rPr>
            </w:pPr>
          </w:p>
        </w:tc>
        <w:tc>
          <w:tcPr>
            <w:tcW w:w="100" w:type="dxa"/>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c>
          <w:tcPr>
            <w:tcW w:w="1080" w:type="dxa"/>
            <w:gridSpan w:val="2"/>
            <w:tcBorders>
              <w:bottom w:val="single" w:sz="8" w:space="0" w:color="auto"/>
            </w:tcBorders>
            <w:vAlign w:val="bottom"/>
          </w:tcPr>
          <w:p>
            <w:pPr>
              <w:spacing w:after="0"/>
              <w:rPr>
                <w:color w:val="auto"/>
                <w:sz w:val="2"/>
                <w:szCs w:val="2"/>
              </w:rPr>
            </w:pPr>
          </w:p>
        </w:tc>
      </w:tr>
      <w:tr>
        <w:tblPrEx>
          <w:tblInd w:w="0" w:type="dxa"/>
          <w:tblLayout w:type="fixed"/>
        </w:tblPrEx>
        <w:trPr>
          <w:trHeight w:val="70"/>
        </w:trPr>
        <w:tc>
          <w:tcPr>
            <w:tcW w:w="4320" w:type="dxa"/>
            <w:vAlign w:val="bottom"/>
          </w:tcPr>
          <w:p>
            <w:pPr>
              <w:spacing w:after="0"/>
              <w:rPr>
                <w:color w:val="auto"/>
                <w:sz w:val="6"/>
                <w:szCs w:val="6"/>
              </w:rPr>
            </w:pPr>
          </w:p>
        </w:tc>
        <w:tc>
          <w:tcPr>
            <w:tcW w:w="180" w:type="dxa"/>
            <w:vAlign w:val="bottom"/>
          </w:tcPr>
          <w:p>
            <w:pPr>
              <w:spacing w:after="0"/>
              <w:rPr>
                <w:color w:val="auto"/>
                <w:sz w:val="6"/>
                <w:szCs w:val="6"/>
              </w:rPr>
            </w:pPr>
          </w:p>
        </w:tc>
        <w:tc>
          <w:tcPr>
            <w:tcW w:w="1120" w:type="dxa"/>
            <w:vAlign w:val="bottom"/>
          </w:tcPr>
          <w:p>
            <w:pPr>
              <w:spacing w:after="0"/>
              <w:rPr>
                <w:color w:val="auto"/>
                <w:sz w:val="6"/>
                <w:szCs w:val="6"/>
              </w:rPr>
            </w:pPr>
          </w:p>
        </w:tc>
        <w:tc>
          <w:tcPr>
            <w:tcW w:w="1060" w:type="dxa"/>
            <w:vAlign w:val="bottom"/>
          </w:tcPr>
          <w:p>
            <w:pPr>
              <w:spacing w:after="0" w:line="70" w:lineRule="exact"/>
              <w:ind w:right="146"/>
              <w:jc w:val="right"/>
              <w:rPr>
                <w:color w:val="auto"/>
                <w:sz w:val="20"/>
                <w:szCs w:val="20"/>
              </w:rPr>
            </w:pPr>
            <w:r>
              <w:rPr>
                <w:rFonts w:ascii="Calibri" w:eastAsia="Calibri" w:hAnsi="Calibri" w:cs="Calibri"/>
                <w:b/>
                <w:bCs/>
                <w:color w:val="auto"/>
                <w:sz w:val="7"/>
                <w:szCs w:val="7"/>
              </w:rPr>
              <w:t>Weighted average</w:t>
            </w:r>
          </w:p>
        </w:tc>
        <w:tc>
          <w:tcPr>
            <w:tcW w:w="1080" w:type="dxa"/>
            <w:gridSpan w:val="2"/>
            <w:vAlign w:val="bottom"/>
          </w:tcPr>
          <w:p>
            <w:pPr>
              <w:spacing w:after="0" w:line="70" w:lineRule="exact"/>
              <w:ind w:left="8"/>
              <w:jc w:val="center"/>
              <w:rPr>
                <w:color w:val="auto"/>
                <w:sz w:val="20"/>
                <w:szCs w:val="20"/>
              </w:rPr>
            </w:pPr>
            <w:r>
              <w:rPr>
                <w:rFonts w:ascii="Calibri" w:eastAsia="Calibri" w:hAnsi="Calibri" w:cs="Calibri"/>
                <w:b/>
                <w:bCs/>
                <w:color w:val="auto"/>
                <w:sz w:val="7"/>
                <w:szCs w:val="7"/>
              </w:rPr>
              <w:t>Fair and carrying value</w:t>
            </w:r>
          </w:p>
        </w:tc>
        <w:tc>
          <w:tcPr>
            <w:tcW w:w="100" w:type="dxa"/>
            <w:vAlign w:val="bottom"/>
          </w:tcPr>
          <w:p>
            <w:pPr>
              <w:spacing w:after="0"/>
              <w:rPr>
                <w:color w:val="auto"/>
                <w:sz w:val="6"/>
                <w:szCs w:val="6"/>
              </w:rPr>
            </w:pPr>
          </w:p>
        </w:tc>
        <w:tc>
          <w:tcPr>
            <w:tcW w:w="160" w:type="dxa"/>
            <w:vAlign w:val="bottom"/>
          </w:tcPr>
          <w:p>
            <w:pPr>
              <w:spacing w:after="0"/>
              <w:rPr>
                <w:color w:val="auto"/>
                <w:sz w:val="6"/>
                <w:szCs w:val="6"/>
              </w:rPr>
            </w:pPr>
          </w:p>
        </w:tc>
        <w:tc>
          <w:tcPr>
            <w:tcW w:w="1120" w:type="dxa"/>
            <w:vAlign w:val="bottom"/>
          </w:tcPr>
          <w:p>
            <w:pPr>
              <w:spacing w:after="0"/>
              <w:rPr>
                <w:color w:val="auto"/>
                <w:sz w:val="6"/>
                <w:szCs w:val="6"/>
              </w:rPr>
            </w:pPr>
          </w:p>
        </w:tc>
        <w:tc>
          <w:tcPr>
            <w:tcW w:w="1080" w:type="dxa"/>
            <w:vAlign w:val="bottom"/>
          </w:tcPr>
          <w:p>
            <w:pPr>
              <w:spacing w:after="0" w:line="70" w:lineRule="exact"/>
              <w:ind w:right="146"/>
              <w:jc w:val="right"/>
              <w:rPr>
                <w:color w:val="auto"/>
                <w:sz w:val="20"/>
                <w:szCs w:val="20"/>
              </w:rPr>
            </w:pPr>
            <w:r>
              <w:rPr>
                <w:rFonts w:ascii="Calibri" w:eastAsia="Calibri" w:hAnsi="Calibri" w:cs="Calibri"/>
                <w:b/>
                <w:bCs/>
                <w:color w:val="auto"/>
                <w:sz w:val="7"/>
                <w:szCs w:val="7"/>
              </w:rPr>
              <w:t>Weighted average</w:t>
            </w:r>
          </w:p>
        </w:tc>
        <w:tc>
          <w:tcPr>
            <w:tcW w:w="1080" w:type="dxa"/>
            <w:gridSpan w:val="2"/>
            <w:vAlign w:val="bottom"/>
          </w:tcPr>
          <w:p>
            <w:pPr>
              <w:spacing w:after="0" w:line="70" w:lineRule="exact"/>
              <w:ind w:right="22"/>
              <w:jc w:val="right"/>
              <w:rPr>
                <w:color w:val="auto"/>
                <w:sz w:val="20"/>
                <w:szCs w:val="20"/>
              </w:rPr>
            </w:pPr>
            <w:r>
              <w:rPr>
                <w:rFonts w:ascii="Calibri" w:eastAsia="Calibri" w:hAnsi="Calibri" w:cs="Calibri"/>
                <w:b/>
                <w:bCs/>
                <w:color w:val="auto"/>
                <w:sz w:val="7"/>
                <w:szCs w:val="7"/>
              </w:rPr>
              <w:t>Fair and carrying value</w:t>
            </w:r>
          </w:p>
        </w:tc>
      </w:tr>
      <w:tr>
        <w:tblPrEx>
          <w:tblInd w:w="0" w:type="dxa"/>
          <w:tblLayout w:type="fixed"/>
        </w:tblPrEx>
        <w:trPr>
          <w:trHeight w:val="112"/>
        </w:trPr>
        <w:tc>
          <w:tcPr>
            <w:tcW w:w="4320" w:type="dxa"/>
            <w:vAlign w:val="bottom"/>
          </w:tcPr>
          <w:p>
            <w:pPr>
              <w:spacing w:after="0" w:line="112" w:lineRule="exact"/>
              <w:rPr>
                <w:color w:val="auto"/>
                <w:sz w:val="20"/>
                <w:szCs w:val="20"/>
              </w:rPr>
            </w:pPr>
            <w:r>
              <w:rPr>
                <w:rFonts w:ascii="Calibri" w:eastAsia="Calibri" w:hAnsi="Calibri" w:cs="Calibri"/>
                <w:b/>
                <w:bCs/>
                <w:color w:val="auto"/>
                <w:sz w:val="10"/>
                <w:szCs w:val="10"/>
              </w:rPr>
              <w:t>as of December 31 (in millions)</w:t>
            </w:r>
          </w:p>
        </w:tc>
        <w:tc>
          <w:tcPr>
            <w:tcW w:w="180" w:type="dxa"/>
            <w:vAlign w:val="bottom"/>
          </w:tcPr>
          <w:p>
            <w:pPr>
              <w:spacing w:after="0"/>
              <w:rPr>
                <w:color w:val="auto"/>
                <w:sz w:val="9"/>
                <w:szCs w:val="9"/>
              </w:rPr>
            </w:pPr>
          </w:p>
        </w:tc>
        <w:tc>
          <w:tcPr>
            <w:tcW w:w="1120" w:type="dxa"/>
            <w:vAlign w:val="bottom"/>
          </w:tcPr>
          <w:p>
            <w:pPr>
              <w:spacing w:after="0" w:line="112" w:lineRule="exact"/>
              <w:ind w:right="302"/>
              <w:jc w:val="right"/>
              <w:rPr>
                <w:color w:val="auto"/>
                <w:sz w:val="20"/>
                <w:szCs w:val="20"/>
              </w:rPr>
            </w:pPr>
            <w:r>
              <w:rPr>
                <w:rFonts w:ascii="Calibri" w:eastAsia="Calibri" w:hAnsi="Calibri" w:cs="Calibri"/>
                <w:b/>
                <w:bCs/>
                <w:color w:val="auto"/>
                <w:sz w:val="10"/>
                <w:szCs w:val="10"/>
              </w:rPr>
              <w:t>Contract amount</w:t>
            </w:r>
          </w:p>
        </w:tc>
        <w:tc>
          <w:tcPr>
            <w:tcW w:w="1060" w:type="dxa"/>
            <w:vAlign w:val="bottom"/>
          </w:tcPr>
          <w:p>
            <w:pPr>
              <w:spacing w:after="0" w:line="112" w:lineRule="exact"/>
              <w:ind w:right="226"/>
              <w:jc w:val="right"/>
              <w:rPr>
                <w:color w:val="auto"/>
                <w:sz w:val="20"/>
                <w:szCs w:val="20"/>
              </w:rPr>
            </w:pPr>
            <w:r>
              <w:rPr>
                <w:rFonts w:ascii="Calibri" w:eastAsia="Calibri" w:hAnsi="Calibri" w:cs="Calibri"/>
                <w:b/>
                <w:bCs/>
                <w:color w:val="auto"/>
                <w:sz w:val="10"/>
                <w:szCs w:val="10"/>
              </w:rPr>
              <w:t>exchange rate</w:t>
            </w:r>
          </w:p>
        </w:tc>
        <w:tc>
          <w:tcPr>
            <w:tcW w:w="140" w:type="dxa"/>
            <w:vAlign w:val="bottom"/>
          </w:tcPr>
          <w:p>
            <w:pPr>
              <w:spacing w:after="0"/>
              <w:rPr>
                <w:color w:val="auto"/>
                <w:sz w:val="9"/>
                <w:szCs w:val="9"/>
              </w:rPr>
            </w:pPr>
          </w:p>
        </w:tc>
        <w:tc>
          <w:tcPr>
            <w:tcW w:w="1040" w:type="dxa"/>
            <w:gridSpan w:val="2"/>
            <w:vAlign w:val="bottom"/>
          </w:tcPr>
          <w:p>
            <w:pPr>
              <w:spacing w:after="0" w:line="112" w:lineRule="exact"/>
              <w:ind w:right="180"/>
              <w:jc w:val="center"/>
              <w:rPr>
                <w:color w:val="auto"/>
                <w:sz w:val="20"/>
                <w:szCs w:val="20"/>
              </w:rPr>
            </w:pPr>
            <w:r>
              <w:rPr>
                <w:rFonts w:ascii="Calibri" w:eastAsia="Calibri" w:hAnsi="Calibri" w:cs="Calibri"/>
                <w:b/>
                <w:bCs/>
                <w:color w:val="auto"/>
                <w:w w:val="95"/>
                <w:sz w:val="10"/>
                <w:szCs w:val="10"/>
              </w:rPr>
              <w:t>receivable/(payable)</w:t>
            </w:r>
          </w:p>
        </w:tc>
        <w:tc>
          <w:tcPr>
            <w:tcW w:w="160" w:type="dxa"/>
            <w:vAlign w:val="bottom"/>
          </w:tcPr>
          <w:p>
            <w:pPr>
              <w:spacing w:after="0"/>
              <w:rPr>
                <w:color w:val="auto"/>
                <w:sz w:val="9"/>
                <w:szCs w:val="9"/>
              </w:rPr>
            </w:pPr>
          </w:p>
        </w:tc>
        <w:tc>
          <w:tcPr>
            <w:tcW w:w="1120" w:type="dxa"/>
            <w:vAlign w:val="bottom"/>
          </w:tcPr>
          <w:p>
            <w:pPr>
              <w:spacing w:after="0" w:line="112" w:lineRule="exact"/>
              <w:ind w:right="302"/>
              <w:jc w:val="right"/>
              <w:rPr>
                <w:color w:val="auto"/>
                <w:sz w:val="20"/>
                <w:szCs w:val="20"/>
              </w:rPr>
            </w:pPr>
            <w:r>
              <w:rPr>
                <w:rFonts w:ascii="Calibri" w:eastAsia="Calibri" w:hAnsi="Calibri" w:cs="Calibri"/>
                <w:b/>
                <w:bCs/>
                <w:color w:val="auto"/>
                <w:sz w:val="10"/>
                <w:szCs w:val="10"/>
              </w:rPr>
              <w:t>Contract amount</w:t>
            </w:r>
          </w:p>
        </w:tc>
        <w:tc>
          <w:tcPr>
            <w:tcW w:w="1080" w:type="dxa"/>
            <w:vAlign w:val="bottom"/>
          </w:tcPr>
          <w:p>
            <w:pPr>
              <w:spacing w:after="0" w:line="112" w:lineRule="exact"/>
              <w:ind w:right="246"/>
              <w:jc w:val="right"/>
              <w:rPr>
                <w:color w:val="auto"/>
                <w:sz w:val="20"/>
                <w:szCs w:val="20"/>
              </w:rPr>
            </w:pPr>
            <w:r>
              <w:rPr>
                <w:rFonts w:ascii="Calibri" w:eastAsia="Calibri" w:hAnsi="Calibri" w:cs="Calibri"/>
                <w:b/>
                <w:bCs/>
                <w:color w:val="auto"/>
                <w:sz w:val="10"/>
                <w:szCs w:val="10"/>
              </w:rPr>
              <w:t>exchange rate</w:t>
            </w:r>
          </w:p>
        </w:tc>
        <w:tc>
          <w:tcPr>
            <w:tcW w:w="140" w:type="dxa"/>
            <w:vAlign w:val="bottom"/>
          </w:tcPr>
          <w:p>
            <w:pPr>
              <w:spacing w:after="0"/>
              <w:rPr>
                <w:color w:val="auto"/>
                <w:sz w:val="9"/>
                <w:szCs w:val="9"/>
              </w:rPr>
            </w:pPr>
          </w:p>
        </w:tc>
        <w:tc>
          <w:tcPr>
            <w:tcW w:w="940" w:type="dxa"/>
            <w:vAlign w:val="bottom"/>
          </w:tcPr>
          <w:p>
            <w:pPr>
              <w:spacing w:after="0" w:line="112" w:lineRule="exact"/>
              <w:ind w:right="62"/>
              <w:jc w:val="right"/>
              <w:rPr>
                <w:color w:val="auto"/>
                <w:sz w:val="20"/>
                <w:szCs w:val="20"/>
              </w:rPr>
            </w:pPr>
            <w:r>
              <w:rPr>
                <w:rFonts w:ascii="Calibri" w:eastAsia="Calibri" w:hAnsi="Calibri" w:cs="Calibri"/>
                <w:b/>
                <w:bCs/>
                <w:color w:val="auto"/>
                <w:w w:val="92"/>
                <w:sz w:val="10"/>
                <w:szCs w:val="10"/>
              </w:rPr>
              <w:t>receivable/(payable)</w:t>
            </w:r>
          </w:p>
        </w:tc>
      </w:tr>
      <w:tr>
        <w:tblPrEx>
          <w:tblInd w:w="0" w:type="dxa"/>
          <w:tblLayout w:type="fixed"/>
        </w:tblPrEx>
        <w:trPr>
          <w:trHeight w:val="32"/>
        </w:trPr>
        <w:tc>
          <w:tcPr>
            <w:tcW w:w="432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106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4320" w:type="dxa"/>
            <w:vAlign w:val="bottom"/>
          </w:tcPr>
          <w:p>
            <w:pPr>
              <w:spacing w:after="0" w:line="137" w:lineRule="exact"/>
              <w:rPr>
                <w:color w:val="auto"/>
                <w:sz w:val="20"/>
                <w:szCs w:val="20"/>
              </w:rPr>
            </w:pPr>
            <w:r>
              <w:rPr>
                <w:rFonts w:ascii="Calibri" w:eastAsia="Calibri" w:hAnsi="Calibri" w:cs="Calibri"/>
                <w:color w:val="auto"/>
                <w:sz w:val="12"/>
                <w:szCs w:val="12"/>
              </w:rPr>
              <w:t>Receive primarily U.S. dollars in exchange for the following currencies:</w:t>
            </w:r>
          </w:p>
        </w:tc>
        <w:tc>
          <w:tcPr>
            <w:tcW w:w="18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106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94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108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940" w:type="dxa"/>
            <w:vAlign w:val="bottom"/>
          </w:tcPr>
          <w:p>
            <w:pPr>
              <w:spacing w:after="0"/>
              <w:rPr>
                <w:color w:val="auto"/>
                <w:sz w:val="11"/>
                <w:szCs w:val="11"/>
              </w:rPr>
            </w:pPr>
          </w:p>
        </w:tc>
      </w:tr>
      <w:tr>
        <w:tblPrEx>
          <w:tblInd w:w="0" w:type="dxa"/>
          <w:tblLayout w:type="fixed"/>
        </w:tblPrEx>
        <w:trPr>
          <w:trHeight w:val="159"/>
        </w:trPr>
        <w:tc>
          <w:tcPr>
            <w:tcW w:w="4320" w:type="dxa"/>
            <w:shd w:val="clear" w:color="auto" w:fill="CCEEFF"/>
            <w:vAlign w:val="bottom"/>
          </w:tcPr>
          <w:p>
            <w:pPr>
              <w:spacing w:after="0"/>
              <w:rPr>
                <w:color w:val="auto"/>
                <w:sz w:val="20"/>
                <w:szCs w:val="20"/>
              </w:rPr>
            </w:pPr>
            <w:r>
              <w:rPr>
                <w:rFonts w:ascii="Calibri" w:eastAsia="Calibri" w:hAnsi="Calibri" w:cs="Calibri"/>
                <w:color w:val="auto"/>
                <w:sz w:val="12"/>
                <w:szCs w:val="12"/>
              </w:rPr>
              <w:t>Euro</w:t>
            </w:r>
          </w:p>
        </w:tc>
        <w:tc>
          <w:tcPr>
            <w:tcW w:w="180" w:type="dxa"/>
            <w:shd w:val="clear" w:color="auto" w:fill="CCEEFF"/>
            <w:vAlign w:val="bottom"/>
          </w:tcPr>
          <w:p>
            <w:pPr>
              <w:spacing w:after="0"/>
              <w:ind w:right="40"/>
              <w:jc w:val="right"/>
              <w:rPr>
                <w:color w:val="auto"/>
                <w:sz w:val="20"/>
                <w:szCs w:val="20"/>
              </w:rPr>
            </w:pPr>
            <w:r>
              <w:rPr>
                <w:rFonts w:ascii="Calibri" w:eastAsia="Calibri" w:hAnsi="Calibri" w:cs="Calibri"/>
                <w:color w:val="auto"/>
                <w:w w:val="97"/>
                <w:sz w:val="12"/>
                <w:szCs w:val="12"/>
              </w:rPr>
              <w:t>$</w:t>
            </w:r>
          </w:p>
        </w:tc>
        <w:tc>
          <w:tcPr>
            <w:tcW w:w="1120" w:type="dxa"/>
            <w:shd w:val="clear" w:color="auto" w:fill="CCEEFF"/>
            <w:vAlign w:val="bottom"/>
          </w:tcPr>
          <w:p>
            <w:pPr>
              <w:spacing w:after="0"/>
              <w:ind w:right="82"/>
              <w:jc w:val="right"/>
              <w:rPr>
                <w:color w:val="auto"/>
                <w:sz w:val="20"/>
                <w:szCs w:val="20"/>
              </w:rPr>
            </w:pPr>
            <w:r>
              <w:rPr>
                <w:rFonts w:ascii="Calibri" w:eastAsia="Calibri" w:hAnsi="Calibri" w:cs="Calibri"/>
                <w:color w:val="auto"/>
                <w:sz w:val="12"/>
                <w:szCs w:val="12"/>
              </w:rPr>
              <w:t>10,590</w:t>
            </w:r>
          </w:p>
        </w:tc>
        <w:tc>
          <w:tcPr>
            <w:tcW w:w="1060" w:type="dxa"/>
            <w:shd w:val="clear" w:color="auto" w:fill="CCEEFF"/>
            <w:vAlign w:val="bottom"/>
          </w:tcPr>
          <w:p>
            <w:pPr>
              <w:spacing w:after="0"/>
              <w:ind w:right="26"/>
              <w:jc w:val="right"/>
              <w:rPr>
                <w:color w:val="auto"/>
                <w:sz w:val="20"/>
                <w:szCs w:val="20"/>
              </w:rPr>
            </w:pPr>
            <w:r>
              <w:rPr>
                <w:rFonts w:ascii="Calibri" w:eastAsia="Calibri" w:hAnsi="Calibri" w:cs="Calibri"/>
                <w:color w:val="auto"/>
                <w:sz w:val="12"/>
                <w:szCs w:val="12"/>
              </w:rPr>
              <w:t>1.094</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9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183</w:t>
            </w:r>
          </w:p>
        </w:tc>
        <w:tc>
          <w:tcPr>
            <w:tcW w:w="100" w:type="dxa"/>
            <w:shd w:val="clear" w:color="auto" w:fill="CCEEFF"/>
            <w:vAlign w:val="bottom"/>
          </w:tcPr>
          <w:p>
            <w:pPr>
              <w:spacing w:after="0"/>
              <w:rPr>
                <w:color w:val="auto"/>
                <w:sz w:val="13"/>
                <w:szCs w:val="13"/>
              </w:rPr>
            </w:pPr>
          </w:p>
        </w:tc>
        <w:tc>
          <w:tcPr>
            <w:tcW w:w="160" w:type="dxa"/>
            <w:shd w:val="clear" w:color="auto" w:fill="CCEEFF"/>
            <w:vAlign w:val="bottom"/>
          </w:tcPr>
          <w:p>
            <w:pPr>
              <w:spacing w:after="0"/>
              <w:ind w:right="20"/>
              <w:jc w:val="right"/>
              <w:rPr>
                <w:color w:val="auto"/>
                <w:sz w:val="20"/>
                <w:szCs w:val="20"/>
              </w:rPr>
            </w:pPr>
            <w:r>
              <w:rPr>
                <w:rFonts w:ascii="Calibri" w:eastAsia="Calibri" w:hAnsi="Calibri" w:cs="Calibri"/>
                <w:color w:val="auto"/>
                <w:w w:val="97"/>
                <w:sz w:val="12"/>
                <w:szCs w:val="12"/>
              </w:rPr>
              <w:t>$</w:t>
            </w:r>
          </w:p>
        </w:tc>
        <w:tc>
          <w:tcPr>
            <w:tcW w:w="1120" w:type="dxa"/>
            <w:shd w:val="clear" w:color="auto" w:fill="CCEEFF"/>
            <w:vAlign w:val="bottom"/>
          </w:tcPr>
          <w:p>
            <w:pPr>
              <w:spacing w:after="0"/>
              <w:ind w:right="82"/>
              <w:jc w:val="right"/>
              <w:rPr>
                <w:color w:val="auto"/>
                <w:sz w:val="20"/>
                <w:szCs w:val="20"/>
              </w:rPr>
            </w:pPr>
            <w:r>
              <w:rPr>
                <w:rFonts w:ascii="Calibri" w:eastAsia="Calibri" w:hAnsi="Calibri" w:cs="Calibri"/>
                <w:color w:val="auto"/>
                <w:sz w:val="12"/>
                <w:szCs w:val="12"/>
              </w:rPr>
              <w:t>10,707</w:t>
            </w:r>
          </w:p>
        </w:tc>
        <w:tc>
          <w:tcPr>
            <w:tcW w:w="1080" w:type="dxa"/>
            <w:shd w:val="clear" w:color="auto" w:fill="CCEEFF"/>
            <w:vAlign w:val="bottom"/>
          </w:tcPr>
          <w:p>
            <w:pPr>
              <w:spacing w:after="0"/>
              <w:ind w:right="46"/>
              <w:jc w:val="right"/>
              <w:rPr>
                <w:color w:val="auto"/>
                <w:sz w:val="20"/>
                <w:szCs w:val="20"/>
              </w:rPr>
            </w:pPr>
            <w:r>
              <w:rPr>
                <w:rFonts w:ascii="Calibri" w:eastAsia="Calibri" w:hAnsi="Calibri" w:cs="Calibri"/>
                <w:color w:val="auto"/>
                <w:sz w:val="12"/>
                <w:szCs w:val="12"/>
              </w:rPr>
              <w:t>1.107</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9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(99)</w:t>
            </w:r>
          </w:p>
        </w:tc>
      </w:tr>
      <w:tr>
        <w:tblPrEx>
          <w:tblInd w:w="0" w:type="dxa"/>
          <w:tblLayout w:type="fixed"/>
        </w:tblPrEx>
        <w:trPr>
          <w:trHeight w:val="147"/>
        </w:trPr>
        <w:tc>
          <w:tcPr>
            <w:tcW w:w="4320" w:type="dxa"/>
            <w:vAlign w:val="bottom"/>
          </w:tcPr>
          <w:p>
            <w:pPr>
              <w:spacing w:after="0" w:line="142" w:lineRule="exact"/>
              <w:rPr>
                <w:color w:val="auto"/>
                <w:sz w:val="20"/>
                <w:szCs w:val="20"/>
              </w:rPr>
            </w:pPr>
            <w:r>
              <w:rPr>
                <w:rFonts w:ascii="Calibri" w:eastAsia="Calibri" w:hAnsi="Calibri" w:cs="Calibri"/>
                <w:color w:val="auto"/>
                <w:sz w:val="12"/>
                <w:szCs w:val="12"/>
              </w:rPr>
              <w:t>Canadian dollar</w:t>
            </w:r>
          </w:p>
        </w:tc>
        <w:tc>
          <w:tcPr>
            <w:tcW w:w="180" w:type="dxa"/>
            <w:vAlign w:val="bottom"/>
          </w:tcPr>
          <w:p>
            <w:pPr>
              <w:spacing w:after="0"/>
              <w:rPr>
                <w:color w:val="auto"/>
                <w:sz w:val="12"/>
                <w:szCs w:val="12"/>
              </w:rPr>
            </w:pPr>
          </w:p>
        </w:tc>
        <w:tc>
          <w:tcPr>
            <w:tcW w:w="1120" w:type="dxa"/>
            <w:vAlign w:val="bottom"/>
          </w:tcPr>
          <w:p>
            <w:pPr>
              <w:spacing w:after="0" w:line="142" w:lineRule="exact"/>
              <w:ind w:right="82"/>
              <w:jc w:val="right"/>
              <w:rPr>
                <w:color w:val="auto"/>
                <w:sz w:val="20"/>
                <w:szCs w:val="20"/>
              </w:rPr>
            </w:pPr>
            <w:r>
              <w:rPr>
                <w:rFonts w:ascii="Calibri" w:eastAsia="Calibri" w:hAnsi="Calibri" w:cs="Calibri"/>
                <w:color w:val="auto"/>
                <w:sz w:val="12"/>
                <w:szCs w:val="12"/>
              </w:rPr>
              <w:t>1,042</w:t>
            </w:r>
          </w:p>
        </w:tc>
        <w:tc>
          <w:tcPr>
            <w:tcW w:w="1060" w:type="dxa"/>
            <w:vAlign w:val="bottom"/>
          </w:tcPr>
          <w:p>
            <w:pPr>
              <w:spacing w:after="0" w:line="142" w:lineRule="exact"/>
              <w:ind w:right="26"/>
              <w:jc w:val="right"/>
              <w:rPr>
                <w:color w:val="auto"/>
                <w:sz w:val="20"/>
                <w:szCs w:val="20"/>
              </w:rPr>
            </w:pPr>
            <w:r>
              <w:rPr>
                <w:rFonts w:ascii="Calibri" w:eastAsia="Calibri" w:hAnsi="Calibri" w:cs="Calibri"/>
                <w:color w:val="auto"/>
                <w:sz w:val="12"/>
                <w:szCs w:val="12"/>
              </w:rPr>
              <w:t>1.365</w:t>
            </w:r>
          </w:p>
        </w:tc>
        <w:tc>
          <w:tcPr>
            <w:tcW w:w="140" w:type="dxa"/>
            <w:vAlign w:val="bottom"/>
          </w:tcPr>
          <w:p>
            <w:pPr>
              <w:spacing w:after="0"/>
              <w:rPr>
                <w:color w:val="auto"/>
                <w:sz w:val="12"/>
                <w:szCs w:val="12"/>
              </w:rPr>
            </w:pPr>
          </w:p>
        </w:tc>
        <w:tc>
          <w:tcPr>
            <w:tcW w:w="940" w:type="dxa"/>
            <w:vAlign w:val="bottom"/>
          </w:tcPr>
          <w:p>
            <w:pPr>
              <w:spacing w:after="0" w:line="142" w:lineRule="exact"/>
              <w:jc w:val="right"/>
              <w:rPr>
                <w:color w:val="auto"/>
                <w:sz w:val="20"/>
                <w:szCs w:val="20"/>
              </w:rPr>
            </w:pPr>
            <w:r>
              <w:rPr>
                <w:rFonts w:ascii="Calibri" w:eastAsia="Calibri" w:hAnsi="Calibri" w:cs="Calibri"/>
                <w:color w:val="auto"/>
                <w:sz w:val="12"/>
                <w:szCs w:val="12"/>
              </w:rPr>
              <w:t>39</w:t>
            </w:r>
          </w:p>
        </w:tc>
        <w:tc>
          <w:tcPr>
            <w:tcW w:w="10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120" w:type="dxa"/>
            <w:vAlign w:val="bottom"/>
          </w:tcPr>
          <w:p>
            <w:pPr>
              <w:spacing w:after="0" w:line="142" w:lineRule="exact"/>
              <w:ind w:right="82"/>
              <w:jc w:val="right"/>
              <w:rPr>
                <w:color w:val="auto"/>
                <w:sz w:val="20"/>
                <w:szCs w:val="20"/>
              </w:rPr>
            </w:pPr>
            <w:r>
              <w:rPr>
                <w:rFonts w:ascii="Calibri" w:eastAsia="Calibri" w:hAnsi="Calibri" w:cs="Calibri"/>
                <w:color w:val="auto"/>
                <w:sz w:val="12"/>
                <w:szCs w:val="12"/>
              </w:rPr>
              <w:t>1,244</w:t>
            </w:r>
          </w:p>
        </w:tc>
        <w:tc>
          <w:tcPr>
            <w:tcW w:w="1080" w:type="dxa"/>
            <w:vAlign w:val="bottom"/>
          </w:tcPr>
          <w:p>
            <w:pPr>
              <w:spacing w:after="0" w:line="142" w:lineRule="exact"/>
              <w:ind w:right="46"/>
              <w:jc w:val="right"/>
              <w:rPr>
                <w:color w:val="auto"/>
                <w:sz w:val="20"/>
                <w:szCs w:val="20"/>
              </w:rPr>
            </w:pPr>
            <w:r>
              <w:rPr>
                <w:rFonts w:ascii="Calibri" w:eastAsia="Calibri" w:hAnsi="Calibri" w:cs="Calibri"/>
                <w:color w:val="auto"/>
                <w:sz w:val="12"/>
                <w:szCs w:val="12"/>
              </w:rPr>
              <w:t>1.329</w:t>
            </w:r>
          </w:p>
        </w:tc>
        <w:tc>
          <w:tcPr>
            <w:tcW w:w="140" w:type="dxa"/>
            <w:vAlign w:val="bottom"/>
          </w:tcPr>
          <w:p>
            <w:pPr>
              <w:spacing w:after="0"/>
              <w:rPr>
                <w:color w:val="auto"/>
                <w:sz w:val="12"/>
                <w:szCs w:val="12"/>
              </w:rPr>
            </w:pPr>
          </w:p>
        </w:tc>
        <w:tc>
          <w:tcPr>
            <w:tcW w:w="940" w:type="dxa"/>
            <w:vAlign w:val="bottom"/>
          </w:tcPr>
          <w:p>
            <w:pPr>
              <w:spacing w:after="0" w:line="142" w:lineRule="exact"/>
              <w:jc w:val="right"/>
              <w:rPr>
                <w:color w:val="auto"/>
                <w:sz w:val="20"/>
                <w:szCs w:val="20"/>
              </w:rPr>
            </w:pPr>
            <w:r>
              <w:rPr>
                <w:rFonts w:ascii="Calibri" w:eastAsia="Calibri" w:hAnsi="Calibri" w:cs="Calibri"/>
                <w:color w:val="auto"/>
                <w:sz w:val="12"/>
                <w:szCs w:val="12"/>
              </w:rPr>
              <w:t>(8)</w:t>
            </w:r>
          </w:p>
        </w:tc>
      </w:tr>
      <w:tr>
        <w:tblPrEx>
          <w:tblInd w:w="0" w:type="dxa"/>
          <w:tblLayout w:type="fixed"/>
        </w:tblPrEx>
        <w:trPr>
          <w:trHeight w:val="159"/>
        </w:trPr>
        <w:tc>
          <w:tcPr>
            <w:tcW w:w="4320" w:type="dxa"/>
            <w:shd w:val="clear" w:color="auto" w:fill="CCEEFF"/>
            <w:vAlign w:val="bottom"/>
          </w:tcPr>
          <w:p>
            <w:pPr>
              <w:spacing w:after="0"/>
              <w:rPr>
                <w:color w:val="auto"/>
                <w:sz w:val="20"/>
                <w:szCs w:val="20"/>
              </w:rPr>
            </w:pPr>
            <w:r>
              <w:rPr>
                <w:rFonts w:ascii="Calibri" w:eastAsia="Calibri" w:hAnsi="Calibri" w:cs="Calibri"/>
                <w:color w:val="auto"/>
                <w:sz w:val="12"/>
                <w:szCs w:val="12"/>
              </w:rPr>
              <w:t>Japanese yen</w:t>
            </w:r>
          </w:p>
        </w:tc>
        <w:tc>
          <w:tcPr>
            <w:tcW w:w="1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82"/>
              <w:jc w:val="right"/>
              <w:rPr>
                <w:color w:val="auto"/>
                <w:sz w:val="20"/>
                <w:szCs w:val="20"/>
              </w:rPr>
            </w:pPr>
            <w:r>
              <w:rPr>
                <w:rFonts w:ascii="Calibri" w:eastAsia="Calibri" w:hAnsi="Calibri" w:cs="Calibri"/>
                <w:color w:val="auto"/>
                <w:sz w:val="12"/>
                <w:szCs w:val="12"/>
              </w:rPr>
              <w:t>836</w:t>
            </w:r>
          </w:p>
        </w:tc>
        <w:tc>
          <w:tcPr>
            <w:tcW w:w="1060" w:type="dxa"/>
            <w:shd w:val="clear" w:color="auto" w:fill="CCEEFF"/>
            <w:vAlign w:val="bottom"/>
          </w:tcPr>
          <w:p>
            <w:pPr>
              <w:spacing w:after="0"/>
              <w:ind w:right="26"/>
              <w:jc w:val="right"/>
              <w:rPr>
                <w:color w:val="auto"/>
                <w:sz w:val="20"/>
                <w:szCs w:val="20"/>
              </w:rPr>
            </w:pPr>
            <w:r>
              <w:rPr>
                <w:rFonts w:ascii="Calibri" w:eastAsia="Calibri" w:hAnsi="Calibri" w:cs="Calibri"/>
                <w:color w:val="auto"/>
                <w:sz w:val="12"/>
                <w:szCs w:val="12"/>
              </w:rPr>
              <w:t>148.386</w:t>
            </w:r>
          </w:p>
        </w:tc>
        <w:tc>
          <w:tcPr>
            <w:tcW w:w="140" w:type="dxa"/>
            <w:shd w:val="clear" w:color="auto" w:fill="CCEEFF"/>
            <w:vAlign w:val="bottom"/>
          </w:tcPr>
          <w:p>
            <w:pPr>
              <w:spacing w:after="0"/>
              <w:rPr>
                <w:color w:val="auto"/>
                <w:sz w:val="13"/>
                <w:szCs w:val="13"/>
              </w:rPr>
            </w:pPr>
          </w:p>
        </w:tc>
        <w:tc>
          <w:tcPr>
            <w:tcW w:w="9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40</w:t>
            </w:r>
          </w:p>
        </w:tc>
        <w:tc>
          <w:tcPr>
            <w:tcW w:w="100" w:type="dxa"/>
            <w:shd w:val="clear" w:color="auto" w:fill="CCEEFF"/>
            <w:vAlign w:val="bottom"/>
          </w:tcPr>
          <w:p>
            <w:pPr>
              <w:spacing w:after="0"/>
              <w:rPr>
                <w:color w:val="auto"/>
                <w:sz w:val="13"/>
                <w:szCs w:val="13"/>
              </w:rPr>
            </w:pPr>
          </w:p>
        </w:tc>
        <w:tc>
          <w:tcPr>
            <w:tcW w:w="1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82"/>
              <w:jc w:val="right"/>
              <w:rPr>
                <w:color w:val="auto"/>
                <w:sz w:val="20"/>
                <w:szCs w:val="20"/>
              </w:rPr>
            </w:pPr>
            <w:r>
              <w:rPr>
                <w:rFonts w:ascii="Calibri" w:eastAsia="Calibri" w:hAnsi="Calibri" w:cs="Calibri"/>
                <w:color w:val="auto"/>
                <w:sz w:val="12"/>
                <w:szCs w:val="12"/>
              </w:rPr>
              <w:t>726</w:t>
            </w:r>
          </w:p>
        </w:tc>
        <w:tc>
          <w:tcPr>
            <w:tcW w:w="1080" w:type="dxa"/>
            <w:shd w:val="clear" w:color="auto" w:fill="CCEEFF"/>
            <w:vAlign w:val="bottom"/>
          </w:tcPr>
          <w:p>
            <w:pPr>
              <w:spacing w:after="0"/>
              <w:ind w:right="46"/>
              <w:jc w:val="right"/>
              <w:rPr>
                <w:color w:val="auto"/>
                <w:sz w:val="20"/>
                <w:szCs w:val="20"/>
              </w:rPr>
            </w:pPr>
            <w:r>
              <w:rPr>
                <w:rFonts w:ascii="Calibri" w:eastAsia="Calibri" w:hAnsi="Calibri" w:cs="Calibri"/>
                <w:color w:val="auto"/>
                <w:sz w:val="12"/>
                <w:szCs w:val="12"/>
              </w:rPr>
              <w:t>139.636</w:t>
            </w:r>
          </w:p>
        </w:tc>
        <w:tc>
          <w:tcPr>
            <w:tcW w:w="140" w:type="dxa"/>
            <w:shd w:val="clear" w:color="auto" w:fill="CCEEFF"/>
            <w:vAlign w:val="bottom"/>
          </w:tcPr>
          <w:p>
            <w:pPr>
              <w:spacing w:after="0"/>
              <w:rPr>
                <w:color w:val="auto"/>
                <w:sz w:val="13"/>
                <w:szCs w:val="13"/>
              </w:rPr>
            </w:pPr>
          </w:p>
        </w:tc>
        <w:tc>
          <w:tcPr>
            <w:tcW w:w="9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w:t>
            </w:r>
          </w:p>
        </w:tc>
      </w:tr>
      <w:tr>
        <w:tblPrEx>
          <w:tblInd w:w="0" w:type="dxa"/>
          <w:tblLayout w:type="fixed"/>
        </w:tblPrEx>
        <w:trPr>
          <w:trHeight w:val="147"/>
        </w:trPr>
        <w:tc>
          <w:tcPr>
            <w:tcW w:w="4320" w:type="dxa"/>
            <w:vAlign w:val="bottom"/>
          </w:tcPr>
          <w:p>
            <w:pPr>
              <w:spacing w:after="0" w:line="142" w:lineRule="exact"/>
              <w:rPr>
                <w:color w:val="auto"/>
                <w:sz w:val="20"/>
                <w:szCs w:val="20"/>
              </w:rPr>
            </w:pPr>
            <w:r>
              <w:rPr>
                <w:rFonts w:ascii="Calibri" w:eastAsia="Calibri" w:hAnsi="Calibri" w:cs="Calibri"/>
                <w:color w:val="auto"/>
                <w:sz w:val="12"/>
                <w:szCs w:val="12"/>
              </w:rPr>
              <w:t>Britsh pound</w:t>
            </w:r>
          </w:p>
        </w:tc>
        <w:tc>
          <w:tcPr>
            <w:tcW w:w="180" w:type="dxa"/>
            <w:vAlign w:val="bottom"/>
          </w:tcPr>
          <w:p>
            <w:pPr>
              <w:spacing w:after="0"/>
              <w:rPr>
                <w:color w:val="auto"/>
                <w:sz w:val="12"/>
                <w:szCs w:val="12"/>
              </w:rPr>
            </w:pPr>
          </w:p>
        </w:tc>
        <w:tc>
          <w:tcPr>
            <w:tcW w:w="1120" w:type="dxa"/>
            <w:vAlign w:val="bottom"/>
          </w:tcPr>
          <w:p>
            <w:pPr>
              <w:spacing w:after="0" w:line="142" w:lineRule="exact"/>
              <w:ind w:right="82"/>
              <w:jc w:val="right"/>
              <w:rPr>
                <w:color w:val="auto"/>
                <w:sz w:val="20"/>
                <w:szCs w:val="20"/>
              </w:rPr>
            </w:pPr>
            <w:r>
              <w:rPr>
                <w:rFonts w:ascii="Calibri" w:eastAsia="Calibri" w:hAnsi="Calibri" w:cs="Calibri"/>
                <w:color w:val="auto"/>
                <w:sz w:val="12"/>
                <w:szCs w:val="12"/>
              </w:rPr>
              <w:t>461</w:t>
            </w:r>
          </w:p>
        </w:tc>
        <w:tc>
          <w:tcPr>
            <w:tcW w:w="1060" w:type="dxa"/>
            <w:vAlign w:val="bottom"/>
          </w:tcPr>
          <w:p>
            <w:pPr>
              <w:spacing w:after="0" w:line="142" w:lineRule="exact"/>
              <w:ind w:right="26"/>
              <w:jc w:val="right"/>
              <w:rPr>
                <w:color w:val="auto"/>
                <w:sz w:val="20"/>
                <w:szCs w:val="20"/>
              </w:rPr>
            </w:pPr>
            <w:r>
              <w:rPr>
                <w:rFonts w:ascii="Calibri" w:eastAsia="Calibri" w:hAnsi="Calibri" w:cs="Calibri"/>
                <w:color w:val="auto"/>
                <w:sz w:val="12"/>
                <w:szCs w:val="12"/>
              </w:rPr>
              <w:t>1.271</w:t>
            </w:r>
          </w:p>
        </w:tc>
        <w:tc>
          <w:tcPr>
            <w:tcW w:w="140" w:type="dxa"/>
            <w:vAlign w:val="bottom"/>
          </w:tcPr>
          <w:p>
            <w:pPr>
              <w:spacing w:after="0"/>
              <w:rPr>
                <w:color w:val="auto"/>
                <w:sz w:val="12"/>
                <w:szCs w:val="12"/>
              </w:rPr>
            </w:pPr>
          </w:p>
        </w:tc>
        <w:tc>
          <w:tcPr>
            <w:tcW w:w="940" w:type="dxa"/>
            <w:vAlign w:val="bottom"/>
          </w:tcPr>
          <w:p>
            <w:pPr>
              <w:spacing w:after="0" w:line="142" w:lineRule="exact"/>
              <w:jc w:val="right"/>
              <w:rPr>
                <w:color w:val="auto"/>
                <w:sz w:val="20"/>
                <w:szCs w:val="20"/>
              </w:rPr>
            </w:pPr>
            <w:r>
              <w:rPr>
                <w:rFonts w:ascii="Calibri" w:eastAsia="Calibri" w:hAnsi="Calibri" w:cs="Calibri"/>
                <w:color w:val="auto"/>
                <w:sz w:val="12"/>
                <w:szCs w:val="12"/>
              </w:rPr>
              <w:t>(1)</w:t>
            </w:r>
          </w:p>
        </w:tc>
        <w:tc>
          <w:tcPr>
            <w:tcW w:w="10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120" w:type="dxa"/>
            <w:vAlign w:val="bottom"/>
          </w:tcPr>
          <w:p>
            <w:pPr>
              <w:spacing w:after="0" w:line="142" w:lineRule="exact"/>
              <w:ind w:right="82"/>
              <w:jc w:val="right"/>
              <w:rPr>
                <w:color w:val="auto"/>
                <w:sz w:val="20"/>
                <w:szCs w:val="20"/>
              </w:rPr>
            </w:pPr>
            <w:r>
              <w:rPr>
                <w:rFonts w:ascii="Calibri" w:eastAsia="Calibri" w:hAnsi="Calibri" w:cs="Calibri"/>
                <w:color w:val="auto"/>
                <w:sz w:val="12"/>
                <w:szCs w:val="12"/>
              </w:rPr>
              <w:t>505</w:t>
            </w:r>
          </w:p>
        </w:tc>
        <w:tc>
          <w:tcPr>
            <w:tcW w:w="1080" w:type="dxa"/>
            <w:vAlign w:val="bottom"/>
          </w:tcPr>
          <w:p>
            <w:pPr>
              <w:spacing w:after="0" w:line="142" w:lineRule="exact"/>
              <w:ind w:right="46"/>
              <w:jc w:val="right"/>
              <w:rPr>
                <w:color w:val="auto"/>
                <w:sz w:val="20"/>
                <w:szCs w:val="20"/>
              </w:rPr>
            </w:pPr>
            <w:r>
              <w:rPr>
                <w:rFonts w:ascii="Calibri" w:eastAsia="Calibri" w:hAnsi="Calibri" w:cs="Calibri"/>
                <w:color w:val="auto"/>
                <w:sz w:val="12"/>
                <w:szCs w:val="12"/>
              </w:rPr>
              <w:t>1.271</w:t>
            </w:r>
          </w:p>
        </w:tc>
        <w:tc>
          <w:tcPr>
            <w:tcW w:w="140" w:type="dxa"/>
            <w:vAlign w:val="bottom"/>
          </w:tcPr>
          <w:p>
            <w:pPr>
              <w:spacing w:after="0"/>
              <w:rPr>
                <w:color w:val="auto"/>
                <w:sz w:val="12"/>
                <w:szCs w:val="12"/>
              </w:rPr>
            </w:pPr>
          </w:p>
        </w:tc>
        <w:tc>
          <w:tcPr>
            <w:tcW w:w="940" w:type="dxa"/>
            <w:vAlign w:val="bottom"/>
          </w:tcPr>
          <w:p>
            <w:pPr>
              <w:spacing w:after="0" w:line="142" w:lineRule="exact"/>
              <w:jc w:val="right"/>
              <w:rPr>
                <w:color w:val="auto"/>
                <w:sz w:val="20"/>
                <w:szCs w:val="20"/>
              </w:rPr>
            </w:pPr>
            <w:r>
              <w:rPr>
                <w:rFonts w:ascii="Calibri" w:eastAsia="Calibri" w:hAnsi="Calibri" w:cs="Calibri"/>
                <w:color w:val="auto"/>
                <w:sz w:val="12"/>
                <w:szCs w:val="12"/>
              </w:rPr>
              <w:t>(1)</w:t>
            </w:r>
          </w:p>
        </w:tc>
      </w:tr>
      <w:tr>
        <w:tblPrEx>
          <w:tblInd w:w="0" w:type="dxa"/>
          <w:tblLayout w:type="fixed"/>
        </w:tblPrEx>
        <w:trPr>
          <w:trHeight w:val="153"/>
        </w:trPr>
        <w:tc>
          <w:tcPr>
            <w:tcW w:w="432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All other currencies</w:t>
            </w:r>
          </w:p>
        </w:tc>
        <w:tc>
          <w:tcPr>
            <w:tcW w:w="1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82"/>
              <w:jc w:val="right"/>
              <w:rPr>
                <w:color w:val="auto"/>
                <w:sz w:val="20"/>
                <w:szCs w:val="20"/>
              </w:rPr>
            </w:pPr>
            <w:r>
              <w:rPr>
                <w:rFonts w:ascii="Calibri" w:eastAsia="Calibri" w:hAnsi="Calibri" w:cs="Calibri"/>
                <w:color w:val="auto"/>
                <w:sz w:val="12"/>
                <w:szCs w:val="12"/>
              </w:rPr>
              <w:t>2,308</w:t>
            </w:r>
          </w:p>
        </w:tc>
        <w:tc>
          <w:tcPr>
            <w:tcW w:w="106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n/a</w:t>
            </w:r>
          </w:p>
        </w:tc>
        <w:tc>
          <w:tcPr>
            <w:tcW w:w="140" w:type="dxa"/>
            <w:tcBorders>
              <w:bottom w:val="single" w:sz="8" w:space="0" w:color="auto"/>
            </w:tcBorders>
            <w:shd w:val="clear" w:color="auto" w:fill="CCEEFF"/>
            <w:vAlign w:val="bottom"/>
          </w:tcPr>
          <w:p>
            <w:pPr>
              <w:spacing w:after="0"/>
              <w:rPr>
                <w:color w:val="auto"/>
                <w:sz w:val="13"/>
                <w:szCs w:val="13"/>
              </w:rPr>
            </w:pPr>
          </w:p>
        </w:tc>
        <w:tc>
          <w:tcPr>
            <w:tcW w:w="94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17</w:t>
            </w:r>
          </w:p>
        </w:tc>
        <w:tc>
          <w:tcPr>
            <w:tcW w:w="100" w:type="dxa"/>
            <w:tcBorders>
              <w:bottom w:val="single" w:sz="8" w:space="0" w:color="auto"/>
            </w:tcBorders>
            <w:shd w:val="clear" w:color="auto" w:fill="CCEEFF"/>
            <w:vAlign w:val="bottom"/>
          </w:tcPr>
          <w:p>
            <w:pPr>
              <w:spacing w:after="0"/>
              <w:rPr>
                <w:color w:val="auto"/>
                <w:sz w:val="13"/>
                <w:szCs w:val="13"/>
              </w:rPr>
            </w:pPr>
          </w:p>
        </w:tc>
        <w:tc>
          <w:tcPr>
            <w:tcW w:w="16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82"/>
              <w:jc w:val="right"/>
              <w:rPr>
                <w:color w:val="auto"/>
                <w:sz w:val="20"/>
                <w:szCs w:val="20"/>
              </w:rPr>
            </w:pPr>
            <w:r>
              <w:rPr>
                <w:rFonts w:ascii="Calibri" w:eastAsia="Calibri" w:hAnsi="Calibri" w:cs="Calibri"/>
                <w:color w:val="auto"/>
                <w:sz w:val="12"/>
                <w:szCs w:val="12"/>
              </w:rPr>
              <w:t>2,742</w:t>
            </w:r>
          </w:p>
        </w:tc>
        <w:tc>
          <w:tcPr>
            <w:tcW w:w="108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2"/>
                <w:szCs w:val="12"/>
              </w:rPr>
              <w:t>n/a</w:t>
            </w:r>
          </w:p>
        </w:tc>
        <w:tc>
          <w:tcPr>
            <w:tcW w:w="140" w:type="dxa"/>
            <w:tcBorders>
              <w:bottom w:val="single" w:sz="8" w:space="0" w:color="auto"/>
            </w:tcBorders>
            <w:shd w:val="clear" w:color="auto" w:fill="CCEEFF"/>
            <w:vAlign w:val="bottom"/>
          </w:tcPr>
          <w:p>
            <w:pPr>
              <w:spacing w:after="0"/>
              <w:rPr>
                <w:color w:val="auto"/>
                <w:sz w:val="13"/>
                <w:szCs w:val="13"/>
              </w:rPr>
            </w:pPr>
          </w:p>
        </w:tc>
        <w:tc>
          <w:tcPr>
            <w:tcW w:w="94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(31)</w:t>
            </w:r>
          </w:p>
        </w:tc>
      </w:tr>
      <w:tr>
        <w:tblPrEx>
          <w:tblInd w:w="0" w:type="dxa"/>
          <w:tblLayout w:type="fixed"/>
        </w:tblPrEx>
        <w:trPr>
          <w:trHeight w:val="142"/>
        </w:trPr>
        <w:tc>
          <w:tcPr>
            <w:tcW w:w="43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w:t>
            </w:r>
          </w:p>
        </w:tc>
        <w:tc>
          <w:tcPr>
            <w:tcW w:w="180" w:type="dxa"/>
            <w:tcBorders>
              <w:bottom w:val="single" w:sz="8" w:space="0" w:color="auto"/>
            </w:tcBorders>
            <w:vAlign w:val="bottom"/>
          </w:tcPr>
          <w:p>
            <w:pPr>
              <w:spacing w:after="0" w:line="142" w:lineRule="exact"/>
              <w:ind w:right="40"/>
              <w:jc w:val="right"/>
              <w:rPr>
                <w:color w:val="auto"/>
                <w:sz w:val="20"/>
                <w:szCs w:val="20"/>
              </w:rPr>
            </w:pPr>
            <w:r>
              <w:rPr>
                <w:rFonts w:ascii="Calibri" w:eastAsia="Calibri" w:hAnsi="Calibri" w:cs="Calibri"/>
                <w:color w:val="auto"/>
                <w:w w:val="97"/>
                <w:sz w:val="12"/>
                <w:szCs w:val="12"/>
              </w:rPr>
              <w:t>$</w:t>
            </w:r>
          </w:p>
        </w:tc>
        <w:tc>
          <w:tcPr>
            <w:tcW w:w="1120" w:type="dxa"/>
            <w:tcBorders>
              <w:bottom w:val="single" w:sz="8" w:space="0" w:color="auto"/>
            </w:tcBorders>
            <w:vAlign w:val="bottom"/>
          </w:tcPr>
          <w:p>
            <w:pPr>
              <w:spacing w:after="0" w:line="142" w:lineRule="exact"/>
              <w:ind w:right="82"/>
              <w:jc w:val="right"/>
              <w:rPr>
                <w:color w:val="auto"/>
                <w:sz w:val="20"/>
                <w:szCs w:val="20"/>
              </w:rPr>
            </w:pPr>
            <w:r>
              <w:rPr>
                <w:rFonts w:ascii="Calibri" w:eastAsia="Calibri" w:hAnsi="Calibri" w:cs="Calibri"/>
                <w:color w:val="auto"/>
                <w:sz w:val="12"/>
                <w:szCs w:val="12"/>
              </w:rPr>
              <w:t>15,237</w:t>
            </w:r>
          </w:p>
        </w:tc>
        <w:tc>
          <w:tcPr>
            <w:tcW w:w="1060" w:type="dxa"/>
            <w:tcBorders>
              <w:bottom w:val="single" w:sz="8" w:space="0" w:color="auto"/>
            </w:tcBorders>
            <w:vAlign w:val="bottom"/>
          </w:tcPr>
          <w:p>
            <w:pPr>
              <w:spacing w:after="0"/>
              <w:rPr>
                <w:color w:val="auto"/>
                <w:sz w:val="12"/>
                <w:szCs w:val="12"/>
              </w:rPr>
            </w:pPr>
          </w:p>
        </w:tc>
        <w:tc>
          <w:tcPr>
            <w:tcW w:w="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9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278</w:t>
            </w:r>
          </w:p>
        </w:tc>
        <w:tc>
          <w:tcPr>
            <w:tcW w:w="100" w:type="dxa"/>
            <w:tcBorders>
              <w:bottom w:val="single" w:sz="8" w:space="0" w:color="auto"/>
            </w:tcBorders>
            <w:vAlign w:val="bottom"/>
          </w:tcPr>
          <w:p>
            <w:pPr>
              <w:spacing w:after="0"/>
              <w:rPr>
                <w:color w:val="auto"/>
                <w:sz w:val="12"/>
                <w:szCs w:val="12"/>
              </w:rPr>
            </w:pPr>
          </w:p>
        </w:tc>
        <w:tc>
          <w:tcPr>
            <w:tcW w:w="16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w w:val="97"/>
                <w:sz w:val="12"/>
                <w:szCs w:val="12"/>
              </w:rPr>
              <w:t>$</w:t>
            </w:r>
          </w:p>
        </w:tc>
        <w:tc>
          <w:tcPr>
            <w:tcW w:w="1120" w:type="dxa"/>
            <w:tcBorders>
              <w:bottom w:val="single" w:sz="8" w:space="0" w:color="auto"/>
            </w:tcBorders>
            <w:vAlign w:val="bottom"/>
          </w:tcPr>
          <w:p>
            <w:pPr>
              <w:spacing w:after="0" w:line="142" w:lineRule="exact"/>
              <w:ind w:right="82"/>
              <w:jc w:val="right"/>
              <w:rPr>
                <w:color w:val="auto"/>
                <w:sz w:val="20"/>
                <w:szCs w:val="20"/>
              </w:rPr>
            </w:pPr>
            <w:r>
              <w:rPr>
                <w:rFonts w:ascii="Calibri" w:eastAsia="Calibri" w:hAnsi="Calibri" w:cs="Calibri"/>
                <w:color w:val="auto"/>
                <w:sz w:val="12"/>
                <w:szCs w:val="12"/>
              </w:rPr>
              <w:t>15,924</w:t>
            </w:r>
          </w:p>
        </w:tc>
        <w:tc>
          <w:tcPr>
            <w:tcW w:w="1080" w:type="dxa"/>
            <w:tcBorders>
              <w:bottom w:val="single" w:sz="8" w:space="0" w:color="auto"/>
            </w:tcBorders>
            <w:vAlign w:val="bottom"/>
          </w:tcPr>
          <w:p>
            <w:pPr>
              <w:spacing w:after="0"/>
              <w:rPr>
                <w:color w:val="auto"/>
                <w:sz w:val="12"/>
                <w:szCs w:val="12"/>
              </w:rPr>
            </w:pPr>
          </w:p>
        </w:tc>
        <w:tc>
          <w:tcPr>
            <w:tcW w:w="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9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(137)</w:t>
            </w:r>
          </w:p>
        </w:tc>
      </w:tr>
      <w:tr>
        <w:tblPrEx>
          <w:tblInd w:w="0" w:type="dxa"/>
          <w:tblLayout w:type="fixed"/>
        </w:tblPrEx>
        <w:trPr>
          <w:trHeight w:val="20"/>
        </w:trPr>
        <w:tc>
          <w:tcPr>
            <w:tcW w:w="4320" w:type="dxa"/>
            <w:tcBorders>
              <w:bottom w:val="single" w:sz="8" w:space="0" w:color="auto"/>
            </w:tcBorders>
            <w:vAlign w:val="bottom"/>
          </w:tcPr>
          <w:p>
            <w:pPr>
              <w:spacing w:after="0" w:line="20" w:lineRule="exact"/>
              <w:rPr>
                <w:color w:val="auto"/>
                <w:sz w:val="1"/>
                <w:szCs w:val="1"/>
              </w:rPr>
            </w:pPr>
          </w:p>
        </w:tc>
        <w:tc>
          <w:tcPr>
            <w:tcW w:w="18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1060" w:type="dxa"/>
            <w:tcBorders>
              <w:bottom w:val="single" w:sz="8" w:space="0" w:color="auto"/>
            </w:tcBorders>
            <w:vAlign w:val="bottom"/>
          </w:tcPr>
          <w:p>
            <w:pPr>
              <w:spacing w:after="0" w:line="20" w:lineRule="exact"/>
              <w:rPr>
                <w:color w:val="auto"/>
                <w:sz w:val="1"/>
                <w:szCs w:val="1"/>
              </w:rPr>
            </w:pPr>
          </w:p>
        </w:tc>
        <w:tc>
          <w:tcPr>
            <w:tcW w:w="140" w:type="dxa"/>
            <w:tcBorders>
              <w:bottom w:val="single" w:sz="8" w:space="0" w:color="auto"/>
            </w:tcBorders>
            <w:vAlign w:val="bottom"/>
          </w:tcPr>
          <w:p>
            <w:pPr>
              <w:spacing w:after="0" w:line="20" w:lineRule="exact"/>
              <w:rPr>
                <w:color w:val="auto"/>
                <w:sz w:val="1"/>
                <w:szCs w:val="1"/>
              </w:rPr>
            </w:pPr>
          </w:p>
        </w:tc>
        <w:tc>
          <w:tcPr>
            <w:tcW w:w="940" w:type="dxa"/>
            <w:tcBorders>
              <w:bottom w:val="single" w:sz="8" w:space="0" w:color="auto"/>
            </w:tcBorders>
            <w:vAlign w:val="bottom"/>
          </w:tcPr>
          <w:p>
            <w:pPr>
              <w:spacing w:after="0" w:line="20" w:lineRule="exact"/>
              <w:rPr>
                <w:color w:val="auto"/>
                <w:sz w:val="1"/>
                <w:szCs w:val="1"/>
              </w:rPr>
            </w:pPr>
          </w:p>
        </w:tc>
        <w:tc>
          <w:tcPr>
            <w:tcW w:w="100" w:type="dxa"/>
            <w:tcBorders>
              <w:bottom w:val="single" w:sz="8" w:space="0" w:color="auto"/>
            </w:tcBorders>
            <w:vAlign w:val="bottom"/>
          </w:tcPr>
          <w:p>
            <w:pPr>
              <w:spacing w:after="0" w:line="20" w:lineRule="exact"/>
              <w:rPr>
                <w:color w:val="auto"/>
                <w:sz w:val="1"/>
                <w:szCs w:val="1"/>
              </w:rPr>
            </w:pPr>
          </w:p>
        </w:tc>
        <w:tc>
          <w:tcPr>
            <w:tcW w:w="16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1080" w:type="dxa"/>
            <w:tcBorders>
              <w:bottom w:val="single" w:sz="8" w:space="0" w:color="auto"/>
            </w:tcBorders>
            <w:vAlign w:val="bottom"/>
          </w:tcPr>
          <w:p>
            <w:pPr>
              <w:spacing w:after="0" w:line="20" w:lineRule="exact"/>
              <w:rPr>
                <w:color w:val="auto"/>
                <w:sz w:val="1"/>
                <w:szCs w:val="1"/>
              </w:rPr>
            </w:pPr>
          </w:p>
        </w:tc>
        <w:tc>
          <w:tcPr>
            <w:tcW w:w="140" w:type="dxa"/>
            <w:tcBorders>
              <w:bottom w:val="single" w:sz="8" w:space="0" w:color="auto"/>
            </w:tcBorders>
            <w:vAlign w:val="bottom"/>
          </w:tcPr>
          <w:p>
            <w:pPr>
              <w:spacing w:after="0" w:line="20" w:lineRule="exact"/>
              <w:rPr>
                <w:color w:val="auto"/>
                <w:sz w:val="1"/>
                <w:szCs w:val="1"/>
              </w:rPr>
            </w:pPr>
          </w:p>
        </w:tc>
        <w:tc>
          <w:tcPr>
            <w:tcW w:w="940" w:type="dxa"/>
            <w:tcBorders>
              <w:bottom w:val="single" w:sz="8" w:space="0" w:color="auto"/>
            </w:tcBorders>
            <w:vAlign w:val="bottom"/>
          </w:tcPr>
          <w:p>
            <w:pPr>
              <w:spacing w:after="0" w:line="20" w:lineRule="exact"/>
              <w:rPr>
                <w:color w:val="auto"/>
                <w:sz w:val="1"/>
                <w:szCs w:val="1"/>
              </w:rPr>
            </w:pPr>
          </w:p>
        </w:tc>
      </w:tr>
    </w:tbl>
    <w:p>
      <w:pPr>
        <w:spacing w:after="0" w:line="165" w:lineRule="exact"/>
        <w:rPr>
          <w:color w:val="auto"/>
          <w:sz w:val="20"/>
          <w:szCs w:val="20"/>
        </w:rPr>
      </w:pPr>
    </w:p>
    <w:p>
      <w:pPr>
        <w:spacing w:after="0" w:line="234" w:lineRule="auto"/>
        <w:ind w:right="240" w:firstLine="297"/>
        <w:jc w:val="both"/>
        <w:rPr>
          <w:color w:val="auto"/>
          <w:sz w:val="20"/>
          <w:szCs w:val="20"/>
        </w:rPr>
      </w:pPr>
      <w:r>
        <w:rPr>
          <w:rFonts w:ascii="Calibri" w:eastAsia="Calibri" w:hAnsi="Calibri" w:cs="Calibri"/>
          <w:color w:val="auto"/>
          <w:sz w:val="12"/>
          <w:szCs w:val="12"/>
        </w:rPr>
        <w:t>The company estmates that a 10% appreciaton in the underlying currencies being hedged from their levels against the U.S. dollar, with all other variables held constant, would decrease the fair value of foreign exchange forward contracts by $1.5 billion at December 31, 2024. If realized, this appreciaton would negatvely afect earnings over the remaining life of the contracts. However, gains and losses on the hedging instruments ofset losses and gains on the hedged transactons and reduce the earnings and stockholders' equity volatlity relatng to foreign exchange. A 10% appreciaton is believed to be a reasonably possible near-term change in foreign currencies.</w:t>
      </w:r>
    </w:p>
    <w:p>
      <w:pPr>
        <w:spacing w:after="0" w:line="94"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As of December 31, 2024, the company has unsecured senior Euro notes outstanding, which are exposed to foreign currency risk. The company designated €3.1 billion aggregate principal amount of these foreign currency denominated notes as hedges of its net investments in certain foreign subsidiaries and afliates. As a result, any foreign currency translaton gains or losses related to the Euro notes will be included in accumulated other comprehensive loss. See Note 10 to the Consolidated Financial Statements for additonal informaton regarding the senior Euro notes and Note 11 to the Consolidated Financial Statements for additonal informaton regarding the net investment hedging program.</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Interest Rate Risk</w:t>
      </w:r>
    </w:p>
    <w:p>
      <w:pPr>
        <w:spacing w:after="0" w:line="101" w:lineRule="exact"/>
        <w:rPr>
          <w:color w:val="auto"/>
          <w:sz w:val="20"/>
          <w:szCs w:val="20"/>
        </w:rPr>
      </w:pPr>
    </w:p>
    <w:p>
      <w:pPr>
        <w:spacing w:after="0" w:line="234" w:lineRule="auto"/>
        <w:ind w:right="260" w:firstLine="297"/>
        <w:rPr>
          <w:color w:val="auto"/>
          <w:sz w:val="20"/>
          <w:szCs w:val="20"/>
        </w:rPr>
      </w:pPr>
      <w:r>
        <w:rPr>
          <w:rFonts w:ascii="Calibri" w:eastAsia="Calibri" w:hAnsi="Calibri" w:cs="Calibri"/>
          <w:color w:val="auto"/>
          <w:sz w:val="12"/>
          <w:szCs w:val="12"/>
        </w:rPr>
        <w:t>The company estmates that an increase in interest rates of 100 basis points would adversely impact the fair value of AbbVie's interest rate swap contracts by approximately $140 million at December 31, 2024. If realized, the fair value reducton would afect earnings over the remaining life of the contracts. The company estmates that an increase of 100 basis points in long-term interest rates would decrease the fair value of long-term debt by $4.6 billion at December 31, 2024. A 100 basis point change is believed to be a reasonably possible near-term change in interest rates.</w:t>
      </w:r>
    </w:p>
    <w:p>
      <w:pPr>
        <w:spacing w:after="0" w:line="206"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49</w:t>
      </w:r>
      <w:r>
        <w:rPr>
          <w:color w:val="auto"/>
          <w:sz w:val="20"/>
          <w:szCs w:val="20"/>
        </w:rPr>
        <w:tab/>
      </w:r>
      <w:r>
        <w:rPr>
          <w:color w:val="auto"/>
          <w:sz w:val="1"/>
          <w:szCs w:val="1"/>
        </w:rPr>
        <w:drawing>
          <wp:inline distT="0" distB="0" distL="0" distR="0">
            <wp:extent cx="400050" cy="7429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84192" behindDoc="1" locked="0" layoutInCell="0" allowOverlap="1">
            <wp:simplePos x="0" y="0"/>
            <wp:positionH relativeFrom="column">
              <wp:posOffset>-17145</wp:posOffset>
            </wp:positionH>
            <wp:positionV relativeFrom="paragraph">
              <wp:posOffset>128270</wp:posOffset>
            </wp:positionV>
            <wp:extent cx="7203440" cy="3683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51" w:name="page52"/>
    <w:bookmarkEnd w:id="51"/>
    <w:p>
      <w:pPr>
        <w:spacing w:after="0"/>
        <w:rPr>
          <w:color w:val="auto"/>
          <w:sz w:val="20"/>
          <w:szCs w:val="20"/>
        </w:rPr>
      </w:pPr>
      <w:r>
        <w:rPr>
          <w:rFonts w:ascii="Calibri" w:eastAsia="Calibri" w:hAnsi="Calibri" w:cs="Calibri"/>
          <w:b/>
          <w:bCs/>
          <w:color w:val="444867"/>
          <w:sz w:val="14"/>
          <w:szCs w:val="14"/>
        </w:rPr>
        <w:t>ITEM 8. FINANCIAL STATEMENTS AND SUPPLEMENTARY DATA</w:t>
      </w:r>
    </w:p>
    <w:p>
      <w:pPr>
        <w:spacing w:after="0" w:line="20" w:lineRule="exact"/>
        <w:rPr>
          <w:color w:val="auto"/>
          <w:sz w:val="20"/>
          <w:szCs w:val="20"/>
        </w:rPr>
      </w:pPr>
      <w:r>
        <w:rPr>
          <w:color w:val="auto"/>
          <w:sz w:val="20"/>
          <w:szCs w:val="20"/>
        </w:rPr>
        <w:drawing>
          <wp:anchor simplePos="0" relativeHeight="251785216" behindDoc="1" locked="0" layoutInCell="0" allowOverlap="1">
            <wp:simplePos x="0" y="0"/>
            <wp:positionH relativeFrom="column">
              <wp:posOffset>-4445</wp:posOffset>
            </wp:positionH>
            <wp:positionV relativeFrom="paragraph">
              <wp:posOffset>46990</wp:posOffset>
            </wp:positionV>
            <wp:extent cx="7166610" cy="5715"/>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79" w:lineRule="exact"/>
        <w:rPr>
          <w:color w:val="auto"/>
          <w:sz w:val="20"/>
          <w:szCs w:val="20"/>
        </w:rPr>
      </w:pPr>
    </w:p>
    <w:tbl>
      <w:tblPr>
        <w:tblInd w:w="0" w:type="dxa"/>
        <w:tblLayout w:type="fixed"/>
        <w:tblCellMar>
          <w:top w:w="0" w:type="dxa"/>
          <w:left w:w="0" w:type="dxa"/>
          <w:bottom w:w="0" w:type="dxa"/>
          <w:right w:w="0" w:type="dxa"/>
        </w:tblCellMar>
      </w:tblPr>
      <w:tblGrid>
        <w:gridCol w:w="320"/>
        <w:gridCol w:w="1040"/>
        <w:gridCol w:w="100"/>
        <w:gridCol w:w="180"/>
        <w:gridCol w:w="100"/>
        <w:gridCol w:w="30"/>
        <w:gridCol w:w="100"/>
        <w:gridCol w:w="160"/>
        <w:gridCol w:w="80"/>
        <w:gridCol w:w="240"/>
        <w:gridCol w:w="40"/>
        <w:gridCol w:w="80"/>
        <w:gridCol w:w="260"/>
        <w:gridCol w:w="200"/>
        <w:gridCol w:w="240"/>
        <w:gridCol w:w="300"/>
        <w:gridCol w:w="120"/>
        <w:gridCol w:w="80"/>
        <w:gridCol w:w="80"/>
        <w:gridCol w:w="540"/>
        <w:gridCol w:w="6000"/>
        <w:gridCol w:w="880"/>
        <w:gridCol w:w="100"/>
        <w:gridCol w:w="40"/>
        <w:gridCol w:w="20"/>
      </w:tblGrid>
      <w:tr>
        <w:tblPrEx>
          <w:tblInd w:w="0" w:type="dxa"/>
          <w:tblLayout w:type="fixed"/>
        </w:tblPrEx>
        <w:trPr>
          <w:trHeight w:val="122"/>
        </w:trPr>
        <w:tc>
          <w:tcPr>
            <w:tcW w:w="320" w:type="dxa"/>
            <w:vAlign w:val="bottom"/>
          </w:tcPr>
          <w:p>
            <w:pPr>
              <w:spacing w:after="0"/>
              <w:rPr>
                <w:color w:val="auto"/>
                <w:sz w:val="10"/>
                <w:szCs w:val="10"/>
              </w:rPr>
            </w:pPr>
          </w:p>
        </w:tc>
        <w:tc>
          <w:tcPr>
            <w:tcW w:w="104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18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2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160" w:type="dxa"/>
            <w:vAlign w:val="bottom"/>
          </w:tcPr>
          <w:p>
            <w:pPr>
              <w:spacing w:after="0"/>
              <w:rPr>
                <w:color w:val="auto"/>
                <w:sz w:val="10"/>
                <w:szCs w:val="10"/>
              </w:rPr>
            </w:pPr>
          </w:p>
        </w:tc>
        <w:tc>
          <w:tcPr>
            <w:tcW w:w="80" w:type="dxa"/>
            <w:vAlign w:val="bottom"/>
          </w:tcPr>
          <w:p>
            <w:pPr>
              <w:spacing w:after="0"/>
              <w:rPr>
                <w:color w:val="auto"/>
                <w:sz w:val="10"/>
                <w:szCs w:val="10"/>
              </w:rPr>
            </w:pPr>
          </w:p>
        </w:tc>
        <w:tc>
          <w:tcPr>
            <w:tcW w:w="240" w:type="dxa"/>
            <w:vAlign w:val="bottom"/>
          </w:tcPr>
          <w:p>
            <w:pPr>
              <w:spacing w:after="0"/>
              <w:rPr>
                <w:color w:val="auto"/>
                <w:sz w:val="10"/>
                <w:szCs w:val="10"/>
              </w:rPr>
            </w:pPr>
          </w:p>
        </w:tc>
        <w:tc>
          <w:tcPr>
            <w:tcW w:w="40" w:type="dxa"/>
            <w:vAlign w:val="bottom"/>
          </w:tcPr>
          <w:p>
            <w:pPr>
              <w:spacing w:after="0"/>
              <w:rPr>
                <w:color w:val="auto"/>
                <w:sz w:val="10"/>
                <w:szCs w:val="10"/>
              </w:rPr>
            </w:pPr>
          </w:p>
        </w:tc>
        <w:tc>
          <w:tcPr>
            <w:tcW w:w="80" w:type="dxa"/>
            <w:vAlign w:val="bottom"/>
          </w:tcPr>
          <w:p>
            <w:pPr>
              <w:spacing w:after="0"/>
              <w:rPr>
                <w:color w:val="auto"/>
                <w:sz w:val="10"/>
                <w:szCs w:val="10"/>
              </w:rPr>
            </w:pPr>
          </w:p>
        </w:tc>
        <w:tc>
          <w:tcPr>
            <w:tcW w:w="260" w:type="dxa"/>
            <w:vAlign w:val="bottom"/>
          </w:tcPr>
          <w:p>
            <w:pPr>
              <w:spacing w:after="0"/>
              <w:rPr>
                <w:color w:val="auto"/>
                <w:sz w:val="10"/>
                <w:szCs w:val="10"/>
              </w:rPr>
            </w:pPr>
          </w:p>
        </w:tc>
        <w:tc>
          <w:tcPr>
            <w:tcW w:w="200" w:type="dxa"/>
            <w:vAlign w:val="bottom"/>
          </w:tcPr>
          <w:p>
            <w:pPr>
              <w:spacing w:after="0"/>
              <w:rPr>
                <w:color w:val="auto"/>
                <w:sz w:val="10"/>
                <w:szCs w:val="10"/>
              </w:rPr>
            </w:pPr>
          </w:p>
        </w:tc>
        <w:tc>
          <w:tcPr>
            <w:tcW w:w="240" w:type="dxa"/>
            <w:vAlign w:val="bottom"/>
          </w:tcPr>
          <w:p>
            <w:pPr>
              <w:spacing w:after="0"/>
              <w:rPr>
                <w:color w:val="auto"/>
                <w:sz w:val="10"/>
                <w:szCs w:val="10"/>
              </w:rPr>
            </w:pPr>
          </w:p>
        </w:tc>
        <w:tc>
          <w:tcPr>
            <w:tcW w:w="300" w:type="dxa"/>
            <w:vAlign w:val="bottom"/>
          </w:tcPr>
          <w:p>
            <w:pPr>
              <w:spacing w:after="0"/>
              <w:rPr>
                <w:color w:val="auto"/>
                <w:sz w:val="10"/>
                <w:szCs w:val="10"/>
              </w:rPr>
            </w:pPr>
          </w:p>
        </w:tc>
        <w:tc>
          <w:tcPr>
            <w:tcW w:w="120" w:type="dxa"/>
            <w:vAlign w:val="bottom"/>
          </w:tcPr>
          <w:p>
            <w:pPr>
              <w:spacing w:after="0"/>
              <w:rPr>
                <w:color w:val="auto"/>
                <w:sz w:val="10"/>
                <w:szCs w:val="10"/>
              </w:rPr>
            </w:pPr>
          </w:p>
        </w:tc>
        <w:tc>
          <w:tcPr>
            <w:tcW w:w="80" w:type="dxa"/>
            <w:vAlign w:val="bottom"/>
          </w:tcPr>
          <w:p>
            <w:pPr>
              <w:spacing w:after="0"/>
              <w:rPr>
                <w:color w:val="auto"/>
                <w:sz w:val="10"/>
                <w:szCs w:val="10"/>
              </w:rPr>
            </w:pPr>
          </w:p>
        </w:tc>
        <w:tc>
          <w:tcPr>
            <w:tcW w:w="80" w:type="dxa"/>
            <w:vAlign w:val="bottom"/>
          </w:tcPr>
          <w:p>
            <w:pPr>
              <w:spacing w:after="0"/>
              <w:rPr>
                <w:color w:val="auto"/>
                <w:sz w:val="10"/>
                <w:szCs w:val="10"/>
              </w:rPr>
            </w:pPr>
          </w:p>
        </w:tc>
        <w:tc>
          <w:tcPr>
            <w:tcW w:w="540" w:type="dxa"/>
            <w:vAlign w:val="bottom"/>
          </w:tcPr>
          <w:p>
            <w:pPr>
              <w:spacing w:after="0"/>
              <w:rPr>
                <w:color w:val="auto"/>
                <w:sz w:val="10"/>
                <w:szCs w:val="10"/>
              </w:rPr>
            </w:pPr>
          </w:p>
        </w:tc>
        <w:tc>
          <w:tcPr>
            <w:tcW w:w="6000" w:type="dxa"/>
            <w:vAlign w:val="bottom"/>
          </w:tcPr>
          <w:p>
            <w:pPr>
              <w:spacing w:after="0"/>
              <w:rPr>
                <w:color w:val="auto"/>
                <w:sz w:val="10"/>
                <w:szCs w:val="10"/>
              </w:rPr>
            </w:pPr>
          </w:p>
        </w:tc>
        <w:tc>
          <w:tcPr>
            <w:tcW w:w="1020" w:type="dxa"/>
            <w:gridSpan w:val="3"/>
            <w:vAlign w:val="bottom"/>
          </w:tcPr>
          <w:p>
            <w:pPr>
              <w:spacing w:after="0"/>
              <w:ind w:right="420"/>
              <w:jc w:val="right"/>
              <w:rPr>
                <w:color w:val="auto"/>
                <w:sz w:val="20"/>
                <w:szCs w:val="20"/>
              </w:rPr>
            </w:pPr>
            <w:r>
              <w:rPr>
                <w:rFonts w:ascii="Calibri" w:eastAsia="Calibri" w:hAnsi="Calibri" w:cs="Calibri"/>
                <w:b/>
                <w:bCs/>
                <w:color w:val="auto"/>
                <w:sz w:val="10"/>
                <w:szCs w:val="10"/>
              </w:rPr>
              <w:t>Page</w:t>
            </w:r>
          </w:p>
        </w:tc>
        <w:tc>
          <w:tcPr>
            <w:tcW w:w="1" w:type="dxa"/>
            <w:vAlign w:val="bottom"/>
          </w:tcPr>
          <w:p>
            <w:pPr>
              <w:spacing w:after="0"/>
              <w:rPr>
                <w:color w:val="auto"/>
                <w:sz w:val="1"/>
                <w:szCs w:val="1"/>
              </w:rPr>
            </w:pPr>
          </w:p>
        </w:tc>
      </w:tr>
      <w:tr>
        <w:tblPrEx>
          <w:tblInd w:w="0" w:type="dxa"/>
          <w:tblLayout w:type="fixed"/>
        </w:tblPrEx>
        <w:trPr>
          <w:trHeight w:val="32"/>
        </w:trPr>
        <w:tc>
          <w:tcPr>
            <w:tcW w:w="10280" w:type="dxa"/>
            <w:gridSpan w:val="21"/>
            <w:vMerge w:val="restart"/>
            <w:vAlign w:val="bottom"/>
          </w:tcPr>
          <w:p>
            <w:pPr>
              <w:spacing w:after="0"/>
              <w:rPr>
                <w:color w:val="auto"/>
                <w:sz w:val="20"/>
                <w:szCs w:val="20"/>
              </w:rPr>
            </w:pPr>
            <w:r>
              <w:rPr>
                <w:rFonts w:ascii="Calibri" w:eastAsia="Calibri" w:hAnsi="Calibri" w:cs="Calibri"/>
                <w:b/>
                <w:bCs/>
                <w:color w:val="auto"/>
                <w:sz w:val="12"/>
                <w:szCs w:val="12"/>
              </w:rPr>
              <w:t>Consolidated Financial Statements</w:t>
            </w:r>
          </w:p>
        </w:tc>
        <w:tc>
          <w:tcPr>
            <w:tcW w:w="88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40" w:type="dxa"/>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16"/>
        </w:trPr>
        <w:tc>
          <w:tcPr>
            <w:tcW w:w="10280" w:type="dxa"/>
            <w:gridSpan w:val="21"/>
            <w:vMerge/>
            <w:vAlign w:val="bottom"/>
          </w:tcPr>
          <w:p>
            <w:pPr>
              <w:spacing w:after="0"/>
              <w:rPr>
                <w:color w:val="auto"/>
                <w:sz w:val="10"/>
                <w:szCs w:val="10"/>
              </w:rPr>
            </w:pPr>
          </w:p>
        </w:tc>
        <w:tc>
          <w:tcPr>
            <w:tcW w:w="88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4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143"/>
        </w:trPr>
        <w:tc>
          <w:tcPr>
            <w:tcW w:w="10280" w:type="dxa"/>
            <w:gridSpan w:val="21"/>
            <w:vAlign w:val="bottom"/>
          </w:tcPr>
          <w:p>
            <w:pPr>
              <w:spacing w:after="0" w:line="143" w:lineRule="exact"/>
              <w:rPr>
                <w:color w:val="auto"/>
                <w:sz w:val="20"/>
                <w:szCs w:val="20"/>
              </w:rPr>
            </w:pPr>
            <w:r>
              <w:rPr>
                <w:rFonts w:ascii="Calibri" w:eastAsia="Calibri" w:hAnsi="Calibri" w:cs="Calibri"/>
                <w:color w:val="0000FF"/>
                <w:sz w:val="12"/>
                <w:szCs w:val="12"/>
              </w:rPr>
              <w:t>Consolidated Statements of Earnings</w:t>
            </w:r>
          </w:p>
        </w:tc>
        <w:tc>
          <w:tcPr>
            <w:tcW w:w="980" w:type="dxa"/>
            <w:gridSpan w:val="2"/>
            <w:vAlign w:val="bottom"/>
          </w:tcPr>
          <w:p>
            <w:pPr>
              <w:spacing w:after="0" w:line="143" w:lineRule="exact"/>
              <w:jc w:val="right"/>
              <w:rPr>
                <w:color w:val="auto"/>
                <w:sz w:val="20"/>
                <w:szCs w:val="20"/>
              </w:rPr>
            </w:pPr>
            <w:r>
              <w:rPr>
                <w:rFonts w:ascii="Calibri" w:eastAsia="Calibri" w:hAnsi="Calibri" w:cs="Calibri"/>
                <w:color w:val="0000FF"/>
                <w:sz w:val="12"/>
                <w:szCs w:val="12"/>
              </w:rPr>
              <w:t>51</w:t>
            </w:r>
          </w:p>
        </w:tc>
        <w:tc>
          <w:tcPr>
            <w:tcW w:w="4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140" w:type="dxa"/>
            <w:gridSpan w:val="2"/>
            <w:tcBorders>
              <w:left w:val="single" w:sz="8" w:space="0" w:color="0000FF"/>
            </w:tcBorders>
            <w:shd w:val="clear" w:color="auto" w:fill="0000FF"/>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2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tcBorders>
              <w:right w:val="single" w:sz="8" w:space="0" w:color="0000FF"/>
            </w:tcBorders>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0280" w:type="dxa"/>
            <w:gridSpan w:val="21"/>
            <w:vAlign w:val="bottom"/>
          </w:tcPr>
          <w:p>
            <w:pPr>
              <w:spacing w:after="0" w:line="133" w:lineRule="exact"/>
              <w:rPr>
                <w:color w:val="auto"/>
                <w:sz w:val="20"/>
                <w:szCs w:val="20"/>
              </w:rPr>
            </w:pPr>
            <w:r>
              <w:rPr>
                <w:rFonts w:ascii="Calibri" w:eastAsia="Calibri" w:hAnsi="Calibri" w:cs="Calibri"/>
                <w:color w:val="0000FF"/>
                <w:sz w:val="12"/>
                <w:szCs w:val="12"/>
              </w:rPr>
              <w:t>Consolidated Statements of Comprehensive Income</w:t>
            </w:r>
          </w:p>
        </w:tc>
        <w:tc>
          <w:tcPr>
            <w:tcW w:w="980" w:type="dxa"/>
            <w:gridSpan w:val="2"/>
            <w:vAlign w:val="bottom"/>
          </w:tcPr>
          <w:p>
            <w:pPr>
              <w:spacing w:after="0" w:line="133" w:lineRule="exact"/>
              <w:jc w:val="right"/>
              <w:rPr>
                <w:color w:val="auto"/>
                <w:sz w:val="20"/>
                <w:szCs w:val="20"/>
              </w:rPr>
            </w:pPr>
            <w:r>
              <w:rPr>
                <w:rFonts w:ascii="Calibri" w:eastAsia="Calibri" w:hAnsi="Calibri" w:cs="Calibri"/>
                <w:color w:val="0000FF"/>
                <w:sz w:val="12"/>
                <w:szCs w:val="12"/>
              </w:rPr>
              <w:t>52</w:t>
            </w:r>
          </w:p>
        </w:tc>
        <w:tc>
          <w:tcPr>
            <w:tcW w:w="4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tcBorders>
              <w:right w:val="single" w:sz="8" w:space="0" w:color="0000FF"/>
            </w:tcBorders>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w w:val="95"/>
                <w:sz w:val="12"/>
                <w:szCs w:val="12"/>
              </w:rPr>
              <w:t>Consolidated Balance Sheets</w:t>
            </w:r>
          </w:p>
        </w:tc>
        <w:tc>
          <w:tcPr>
            <w:tcW w:w="100" w:type="dxa"/>
            <w:vAlign w:val="bottom"/>
          </w:tcPr>
          <w:p>
            <w:pPr>
              <w:spacing w:after="0"/>
              <w:rPr>
                <w:color w:val="auto"/>
                <w:sz w:val="11"/>
                <w:szCs w:val="11"/>
              </w:rPr>
            </w:pPr>
          </w:p>
        </w:tc>
        <w:tc>
          <w:tcPr>
            <w:tcW w:w="18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2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80" w:type="dxa"/>
            <w:vAlign w:val="bottom"/>
          </w:tcPr>
          <w:p>
            <w:pPr>
              <w:spacing w:after="0"/>
              <w:rPr>
                <w:color w:val="auto"/>
                <w:sz w:val="11"/>
                <w:szCs w:val="11"/>
              </w:rPr>
            </w:pPr>
          </w:p>
        </w:tc>
        <w:tc>
          <w:tcPr>
            <w:tcW w:w="240" w:type="dxa"/>
            <w:vAlign w:val="bottom"/>
          </w:tcPr>
          <w:p>
            <w:pPr>
              <w:spacing w:after="0"/>
              <w:rPr>
                <w:color w:val="auto"/>
                <w:sz w:val="11"/>
                <w:szCs w:val="11"/>
              </w:rPr>
            </w:pPr>
          </w:p>
        </w:tc>
        <w:tc>
          <w:tcPr>
            <w:tcW w:w="40" w:type="dxa"/>
            <w:vAlign w:val="bottom"/>
          </w:tcPr>
          <w:p>
            <w:pPr>
              <w:spacing w:after="0"/>
              <w:rPr>
                <w:color w:val="auto"/>
                <w:sz w:val="11"/>
                <w:szCs w:val="11"/>
              </w:rPr>
            </w:pPr>
          </w:p>
        </w:tc>
        <w:tc>
          <w:tcPr>
            <w:tcW w:w="80" w:type="dxa"/>
            <w:vAlign w:val="bottom"/>
          </w:tcPr>
          <w:p>
            <w:pPr>
              <w:spacing w:after="0"/>
              <w:rPr>
                <w:color w:val="auto"/>
                <w:sz w:val="11"/>
                <w:szCs w:val="11"/>
              </w:rPr>
            </w:pPr>
          </w:p>
        </w:tc>
        <w:tc>
          <w:tcPr>
            <w:tcW w:w="260" w:type="dxa"/>
            <w:vAlign w:val="bottom"/>
          </w:tcPr>
          <w:p>
            <w:pPr>
              <w:spacing w:after="0"/>
              <w:rPr>
                <w:color w:val="auto"/>
                <w:sz w:val="11"/>
                <w:szCs w:val="11"/>
              </w:rPr>
            </w:pPr>
          </w:p>
        </w:tc>
        <w:tc>
          <w:tcPr>
            <w:tcW w:w="200" w:type="dxa"/>
            <w:vAlign w:val="bottom"/>
          </w:tcPr>
          <w:p>
            <w:pPr>
              <w:spacing w:after="0"/>
              <w:rPr>
                <w:color w:val="auto"/>
                <w:sz w:val="11"/>
                <w:szCs w:val="11"/>
              </w:rPr>
            </w:pPr>
          </w:p>
        </w:tc>
        <w:tc>
          <w:tcPr>
            <w:tcW w:w="240" w:type="dxa"/>
            <w:vAlign w:val="bottom"/>
          </w:tcPr>
          <w:p>
            <w:pPr>
              <w:spacing w:after="0"/>
              <w:rPr>
                <w:color w:val="auto"/>
                <w:sz w:val="11"/>
                <w:szCs w:val="11"/>
              </w:rPr>
            </w:pPr>
          </w:p>
        </w:tc>
        <w:tc>
          <w:tcPr>
            <w:tcW w:w="300" w:type="dxa"/>
            <w:vAlign w:val="bottom"/>
          </w:tcPr>
          <w:p>
            <w:pPr>
              <w:spacing w:after="0"/>
              <w:rPr>
                <w:color w:val="auto"/>
                <w:sz w:val="11"/>
                <w:szCs w:val="11"/>
              </w:rPr>
            </w:pPr>
          </w:p>
        </w:tc>
        <w:tc>
          <w:tcPr>
            <w:tcW w:w="120" w:type="dxa"/>
            <w:vAlign w:val="bottom"/>
          </w:tcPr>
          <w:p>
            <w:pPr>
              <w:spacing w:after="0"/>
              <w:rPr>
                <w:color w:val="auto"/>
                <w:sz w:val="11"/>
                <w:szCs w:val="11"/>
              </w:rPr>
            </w:pPr>
          </w:p>
        </w:tc>
        <w:tc>
          <w:tcPr>
            <w:tcW w:w="80" w:type="dxa"/>
            <w:vAlign w:val="bottom"/>
          </w:tcPr>
          <w:p>
            <w:pPr>
              <w:spacing w:after="0"/>
              <w:rPr>
                <w:color w:val="auto"/>
                <w:sz w:val="11"/>
                <w:szCs w:val="11"/>
              </w:rPr>
            </w:pPr>
          </w:p>
        </w:tc>
        <w:tc>
          <w:tcPr>
            <w:tcW w:w="80" w:type="dxa"/>
            <w:vAlign w:val="bottom"/>
          </w:tcPr>
          <w:p>
            <w:pPr>
              <w:spacing w:after="0"/>
              <w:rPr>
                <w:color w:val="auto"/>
                <w:sz w:val="11"/>
                <w:szCs w:val="11"/>
              </w:rPr>
            </w:pPr>
          </w:p>
        </w:tc>
        <w:tc>
          <w:tcPr>
            <w:tcW w:w="540" w:type="dxa"/>
            <w:vAlign w:val="bottom"/>
          </w:tcPr>
          <w:p>
            <w:pPr>
              <w:spacing w:after="0"/>
              <w:rPr>
                <w:color w:val="auto"/>
                <w:sz w:val="11"/>
                <w:szCs w:val="11"/>
              </w:rPr>
            </w:pPr>
          </w:p>
        </w:tc>
        <w:tc>
          <w:tcPr>
            <w:tcW w:w="6000" w:type="dxa"/>
            <w:vAlign w:val="bottom"/>
          </w:tcPr>
          <w:p>
            <w:pPr>
              <w:spacing w:after="0"/>
              <w:rPr>
                <w:color w:val="auto"/>
                <w:sz w:val="11"/>
                <w:szCs w:val="11"/>
              </w:rPr>
            </w:pPr>
          </w:p>
        </w:tc>
        <w:tc>
          <w:tcPr>
            <w:tcW w:w="880" w:type="dxa"/>
            <w:vAlign w:val="bottom"/>
          </w:tcPr>
          <w:p>
            <w:pPr>
              <w:spacing w:after="0"/>
              <w:rPr>
                <w:color w:val="auto"/>
                <w:sz w:val="11"/>
                <w:szCs w:val="11"/>
              </w:rPr>
            </w:pPr>
          </w:p>
        </w:tc>
        <w:tc>
          <w:tcPr>
            <w:tcW w:w="100" w:type="dxa"/>
            <w:vAlign w:val="bottom"/>
          </w:tcPr>
          <w:p>
            <w:pPr>
              <w:spacing w:after="0" w:line="133" w:lineRule="exact"/>
              <w:jc w:val="right"/>
              <w:rPr>
                <w:color w:val="auto"/>
                <w:sz w:val="20"/>
                <w:szCs w:val="20"/>
              </w:rPr>
            </w:pPr>
            <w:r>
              <w:rPr>
                <w:rFonts w:ascii="Calibri" w:eastAsia="Calibri" w:hAnsi="Calibri" w:cs="Calibri"/>
                <w:color w:val="0000FF"/>
                <w:w w:val="71"/>
                <w:sz w:val="11"/>
                <w:szCs w:val="11"/>
              </w:rPr>
              <w:t>53</w:t>
            </w:r>
          </w:p>
        </w:tc>
        <w:tc>
          <w:tcPr>
            <w:tcW w:w="4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vAlign w:val="bottom"/>
          </w:tcPr>
          <w:p>
            <w:pPr>
              <w:spacing w:after="0" w:line="20" w:lineRule="exact"/>
              <w:rPr>
                <w:color w:val="auto"/>
                <w:sz w:val="1"/>
                <w:szCs w:val="1"/>
              </w:rPr>
            </w:pPr>
          </w:p>
        </w:tc>
        <w:tc>
          <w:tcPr>
            <w:tcW w:w="120" w:type="dxa"/>
            <w:gridSpan w:val="2"/>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340" w:type="dxa"/>
            <w:gridSpan w:val="2"/>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tcBorders>
              <w:right w:val="single" w:sz="8" w:space="0" w:color="0000FF"/>
            </w:tcBorders>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760" w:type="dxa"/>
            <w:gridSpan w:val="6"/>
            <w:vAlign w:val="bottom"/>
          </w:tcPr>
          <w:p>
            <w:pPr>
              <w:spacing w:after="0" w:line="133" w:lineRule="exact"/>
              <w:rPr>
                <w:color w:val="auto"/>
                <w:sz w:val="20"/>
                <w:szCs w:val="20"/>
              </w:rPr>
            </w:pPr>
            <w:r>
              <w:rPr>
                <w:rFonts w:ascii="Calibri" w:eastAsia="Calibri" w:hAnsi="Calibri" w:cs="Calibri"/>
                <w:color w:val="0000FF"/>
                <w:sz w:val="12"/>
                <w:szCs w:val="12"/>
              </w:rPr>
              <w:t>Consolidated Statements of Equity</w:t>
            </w:r>
          </w:p>
        </w:tc>
        <w:tc>
          <w:tcPr>
            <w:tcW w:w="8520" w:type="dxa"/>
            <w:gridSpan w:val="15"/>
            <w:vAlign w:val="bottom"/>
          </w:tcPr>
          <w:p>
            <w:pPr>
              <w:spacing w:after="0"/>
              <w:rPr>
                <w:color w:val="auto"/>
                <w:sz w:val="11"/>
                <w:szCs w:val="11"/>
              </w:rPr>
            </w:pPr>
          </w:p>
        </w:tc>
        <w:tc>
          <w:tcPr>
            <w:tcW w:w="880" w:type="dxa"/>
            <w:vAlign w:val="bottom"/>
          </w:tcPr>
          <w:p>
            <w:pPr>
              <w:spacing w:after="0"/>
              <w:rPr>
                <w:color w:val="auto"/>
                <w:sz w:val="11"/>
                <w:szCs w:val="11"/>
              </w:rPr>
            </w:pPr>
          </w:p>
        </w:tc>
        <w:tc>
          <w:tcPr>
            <w:tcW w:w="100" w:type="dxa"/>
            <w:vAlign w:val="bottom"/>
          </w:tcPr>
          <w:p>
            <w:pPr>
              <w:spacing w:after="0" w:line="133" w:lineRule="exact"/>
              <w:jc w:val="right"/>
              <w:rPr>
                <w:color w:val="auto"/>
                <w:sz w:val="20"/>
                <w:szCs w:val="20"/>
              </w:rPr>
            </w:pPr>
            <w:r>
              <w:rPr>
                <w:rFonts w:ascii="Calibri" w:eastAsia="Calibri" w:hAnsi="Calibri" w:cs="Calibri"/>
                <w:color w:val="0000FF"/>
                <w:w w:val="71"/>
                <w:sz w:val="11"/>
                <w:szCs w:val="11"/>
              </w:rPr>
              <w:t>54</w:t>
            </w:r>
          </w:p>
        </w:tc>
        <w:tc>
          <w:tcPr>
            <w:tcW w:w="4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140" w:type="dxa"/>
            <w:gridSpan w:val="2"/>
            <w:tcBorders>
              <w:left w:val="single" w:sz="8" w:space="0" w:color="0000FF"/>
            </w:tcBorders>
            <w:shd w:val="clear" w:color="auto" w:fill="0000FF"/>
            <w:vAlign w:val="bottom"/>
          </w:tcPr>
          <w:p>
            <w:pPr>
              <w:spacing w:after="0" w:line="20" w:lineRule="exact"/>
              <w:rPr>
                <w:color w:val="auto"/>
                <w:sz w:val="1"/>
                <w:szCs w:val="1"/>
              </w:rPr>
            </w:pPr>
          </w:p>
        </w:tc>
        <w:tc>
          <w:tcPr>
            <w:tcW w:w="300" w:type="dxa"/>
            <w:gridSpan w:val="3"/>
            <w:shd w:val="clear" w:color="auto" w:fill="0000FF"/>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340" w:type="dxa"/>
            <w:gridSpan w:val="2"/>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tcBorders>
              <w:right w:val="single" w:sz="8" w:space="0" w:color="0000FF"/>
            </w:tcBorders>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0280" w:type="dxa"/>
            <w:gridSpan w:val="21"/>
            <w:vAlign w:val="bottom"/>
          </w:tcPr>
          <w:p>
            <w:pPr>
              <w:spacing w:after="0" w:line="133" w:lineRule="exact"/>
              <w:rPr>
                <w:color w:val="auto"/>
                <w:sz w:val="20"/>
                <w:szCs w:val="20"/>
              </w:rPr>
            </w:pPr>
            <w:r>
              <w:rPr>
                <w:rFonts w:ascii="Calibri" w:eastAsia="Calibri" w:hAnsi="Calibri" w:cs="Calibri"/>
                <w:color w:val="0000FF"/>
                <w:sz w:val="12"/>
                <w:szCs w:val="12"/>
              </w:rPr>
              <w:t>Consolidated Statements of Cash Flows</w:t>
            </w:r>
          </w:p>
        </w:tc>
        <w:tc>
          <w:tcPr>
            <w:tcW w:w="980" w:type="dxa"/>
            <w:gridSpan w:val="2"/>
            <w:vAlign w:val="bottom"/>
          </w:tcPr>
          <w:p>
            <w:pPr>
              <w:spacing w:after="0" w:line="133" w:lineRule="exact"/>
              <w:jc w:val="right"/>
              <w:rPr>
                <w:color w:val="auto"/>
                <w:sz w:val="20"/>
                <w:szCs w:val="20"/>
              </w:rPr>
            </w:pPr>
            <w:r>
              <w:rPr>
                <w:rFonts w:ascii="Calibri" w:eastAsia="Calibri" w:hAnsi="Calibri" w:cs="Calibri"/>
                <w:color w:val="0000FF"/>
                <w:sz w:val="12"/>
                <w:szCs w:val="12"/>
              </w:rPr>
              <w:t>55</w:t>
            </w:r>
          </w:p>
        </w:tc>
        <w:tc>
          <w:tcPr>
            <w:tcW w:w="4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140" w:type="dxa"/>
            <w:gridSpan w:val="2"/>
            <w:tcBorders>
              <w:left w:val="single" w:sz="8" w:space="0" w:color="0000FF"/>
            </w:tcBorders>
            <w:shd w:val="clear" w:color="auto" w:fill="0000FF"/>
            <w:vAlign w:val="bottom"/>
          </w:tcPr>
          <w:p>
            <w:pPr>
              <w:spacing w:after="0" w:line="20" w:lineRule="exact"/>
              <w:rPr>
                <w:color w:val="auto"/>
                <w:sz w:val="1"/>
                <w:szCs w:val="1"/>
              </w:rPr>
            </w:pPr>
          </w:p>
        </w:tc>
        <w:tc>
          <w:tcPr>
            <w:tcW w:w="300" w:type="dxa"/>
            <w:gridSpan w:val="3"/>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340" w:type="dxa"/>
            <w:gridSpan w:val="2"/>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tcBorders>
              <w:right w:val="single" w:sz="8" w:space="0" w:color="0000FF"/>
            </w:tcBorders>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233"/>
        </w:trPr>
        <w:tc>
          <w:tcPr>
            <w:tcW w:w="10280" w:type="dxa"/>
            <w:gridSpan w:val="21"/>
            <w:vAlign w:val="bottom"/>
          </w:tcPr>
          <w:p>
            <w:pPr>
              <w:spacing w:after="0"/>
              <w:rPr>
                <w:color w:val="auto"/>
                <w:sz w:val="20"/>
                <w:szCs w:val="20"/>
              </w:rPr>
            </w:pPr>
            <w:r>
              <w:rPr>
                <w:rFonts w:ascii="Calibri" w:eastAsia="Calibri" w:hAnsi="Calibri" w:cs="Calibri"/>
                <w:b/>
                <w:bCs/>
                <w:color w:val="auto"/>
                <w:sz w:val="12"/>
                <w:szCs w:val="12"/>
              </w:rPr>
              <w:t>Notes to Consolidated Financial Statements</w:t>
            </w:r>
          </w:p>
        </w:tc>
        <w:tc>
          <w:tcPr>
            <w:tcW w:w="880" w:type="dxa"/>
            <w:vAlign w:val="bottom"/>
          </w:tcPr>
          <w:p>
            <w:pPr>
              <w:spacing w:after="0"/>
              <w:rPr>
                <w:color w:val="auto"/>
                <w:sz w:val="20"/>
                <w:szCs w:val="20"/>
              </w:rPr>
            </w:pPr>
          </w:p>
        </w:tc>
        <w:tc>
          <w:tcPr>
            <w:tcW w:w="100" w:type="dxa"/>
            <w:vAlign w:val="bottom"/>
          </w:tcPr>
          <w:p>
            <w:pPr>
              <w:spacing w:after="0"/>
              <w:rPr>
                <w:color w:val="auto"/>
                <w:sz w:val="20"/>
                <w:szCs w:val="20"/>
              </w:rPr>
            </w:pPr>
          </w:p>
        </w:tc>
        <w:tc>
          <w:tcPr>
            <w:tcW w:w="40" w:type="dxa"/>
            <w:vAlign w:val="bottom"/>
          </w:tcPr>
          <w:p>
            <w:pPr>
              <w:spacing w:after="0"/>
              <w:rPr>
                <w:color w:val="auto"/>
                <w:sz w:val="20"/>
                <w:szCs w:val="20"/>
              </w:rPr>
            </w:pPr>
          </w:p>
        </w:tc>
        <w:tc>
          <w:tcPr>
            <w:tcW w:w="1" w:type="dxa"/>
            <w:vAlign w:val="bottom"/>
          </w:tcPr>
          <w:p>
            <w:pPr>
              <w:spacing w:after="0"/>
              <w:rPr>
                <w:color w:val="auto"/>
                <w:sz w:val="1"/>
                <w:szCs w:val="1"/>
              </w:rPr>
            </w:pPr>
          </w:p>
        </w:tc>
      </w:tr>
      <w:tr>
        <w:tblPrEx>
          <w:tblInd w:w="0" w:type="dxa"/>
          <w:tblLayout w:type="fixed"/>
        </w:tblPrEx>
        <w:trPr>
          <w:trHeight w:val="206"/>
        </w:trPr>
        <w:tc>
          <w:tcPr>
            <w:tcW w:w="1360" w:type="dxa"/>
            <w:gridSpan w:val="2"/>
            <w:vAlign w:val="bottom"/>
          </w:tcPr>
          <w:p>
            <w:pPr>
              <w:spacing w:after="0"/>
              <w:rPr>
                <w:color w:val="auto"/>
                <w:sz w:val="20"/>
                <w:szCs w:val="20"/>
              </w:rPr>
            </w:pPr>
            <w:r>
              <w:rPr>
                <w:rFonts w:ascii="Calibri" w:eastAsia="Calibri" w:hAnsi="Calibri" w:cs="Calibri"/>
                <w:color w:val="0000FF"/>
                <w:sz w:val="12"/>
                <w:szCs w:val="12"/>
              </w:rPr>
              <w:t>Note 1</w:t>
            </w:r>
          </w:p>
        </w:tc>
        <w:tc>
          <w:tcPr>
            <w:tcW w:w="100" w:type="dxa"/>
            <w:vAlign w:val="bottom"/>
          </w:tcPr>
          <w:p>
            <w:pPr>
              <w:spacing w:after="0"/>
              <w:rPr>
                <w:color w:val="auto"/>
                <w:sz w:val="17"/>
                <w:szCs w:val="17"/>
              </w:rPr>
            </w:pPr>
          </w:p>
        </w:tc>
        <w:tc>
          <w:tcPr>
            <w:tcW w:w="8820" w:type="dxa"/>
            <w:gridSpan w:val="18"/>
            <w:vAlign w:val="bottom"/>
          </w:tcPr>
          <w:p>
            <w:pPr>
              <w:spacing w:after="0"/>
              <w:rPr>
                <w:color w:val="auto"/>
                <w:sz w:val="20"/>
                <w:szCs w:val="20"/>
              </w:rPr>
            </w:pPr>
            <w:r>
              <w:rPr>
                <w:rFonts w:ascii="Calibri" w:eastAsia="Calibri" w:hAnsi="Calibri" w:cs="Calibri"/>
                <w:color w:val="0000FF"/>
                <w:sz w:val="12"/>
                <w:szCs w:val="12"/>
              </w:rPr>
              <w:t>Background</w:t>
            </w:r>
          </w:p>
        </w:tc>
        <w:tc>
          <w:tcPr>
            <w:tcW w:w="1020" w:type="dxa"/>
            <w:gridSpan w:val="3"/>
            <w:vAlign w:val="bottom"/>
          </w:tcPr>
          <w:p>
            <w:pPr>
              <w:spacing w:after="0"/>
              <w:ind w:right="20"/>
              <w:jc w:val="right"/>
              <w:rPr>
                <w:color w:val="auto"/>
                <w:sz w:val="20"/>
                <w:szCs w:val="20"/>
              </w:rPr>
            </w:pPr>
            <w:r>
              <w:rPr>
                <w:rFonts w:ascii="Calibri" w:eastAsia="Calibri" w:hAnsi="Calibri" w:cs="Calibri"/>
                <w:color w:val="0000FF"/>
                <w:sz w:val="12"/>
                <w:szCs w:val="12"/>
              </w:rPr>
              <w:t>56</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2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2</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Summary of Signifcant Accountng Policies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56</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300" w:type="dxa"/>
            <w:tcBorders>
              <w:left w:val="single" w:sz="8" w:space="0" w:color="0000FF"/>
            </w:tcBorders>
            <w:shd w:val="clear" w:color="auto" w:fill="0000FF"/>
            <w:vAlign w:val="bottom"/>
          </w:tcPr>
          <w:p>
            <w:pPr>
              <w:spacing w:after="0" w:line="20" w:lineRule="exact"/>
              <w:rPr>
                <w:color w:val="auto"/>
                <w:sz w:val="1"/>
                <w:szCs w:val="1"/>
              </w:rPr>
            </w:pPr>
          </w:p>
        </w:tc>
        <w:tc>
          <w:tcPr>
            <w:tcW w:w="120" w:type="dxa"/>
            <w:tcBorders>
              <w:left w:val="single" w:sz="8" w:space="0" w:color="0000FF"/>
            </w:tcBorders>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3</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Supplemental Financial Informaton</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62</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300" w:type="dxa"/>
            <w:gridSpan w:val="3"/>
            <w:shd w:val="clear" w:color="auto" w:fill="0000FF"/>
            <w:vAlign w:val="bottom"/>
          </w:tcPr>
          <w:p>
            <w:pPr>
              <w:spacing w:after="0" w:line="20" w:lineRule="exact"/>
              <w:rPr>
                <w:color w:val="auto"/>
                <w:sz w:val="1"/>
                <w:szCs w:val="1"/>
              </w:rPr>
            </w:pPr>
          </w:p>
        </w:tc>
        <w:tc>
          <w:tcPr>
            <w:tcW w:w="340" w:type="dxa"/>
            <w:gridSpan w:val="3"/>
            <w:tcBorders>
              <w:left w:val="single" w:sz="8" w:space="0" w:color="0000FF"/>
            </w:tcBorders>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340" w:type="dxa"/>
            <w:gridSpan w:val="2"/>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4</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Earnings Per Share</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63</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260" w:type="dxa"/>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5</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Licensing, Acquisitons and Other Arrangements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63</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300" w:type="dxa"/>
            <w:tcBorders>
              <w:left w:val="single" w:sz="8" w:space="0" w:color="0000FF"/>
            </w:tcBorders>
            <w:shd w:val="clear" w:color="auto" w:fill="0000FF"/>
            <w:vAlign w:val="bottom"/>
          </w:tcPr>
          <w:p>
            <w:pPr>
              <w:spacing w:after="0" w:line="20" w:lineRule="exact"/>
              <w:rPr>
                <w:color w:val="auto"/>
                <w:sz w:val="1"/>
                <w:szCs w:val="1"/>
              </w:rPr>
            </w:pPr>
          </w:p>
        </w:tc>
        <w:tc>
          <w:tcPr>
            <w:tcW w:w="120" w:type="dxa"/>
            <w:tcBorders>
              <w:left w:val="single" w:sz="8" w:space="0" w:color="0000FF"/>
            </w:tcBorders>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6</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Collaboratons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68</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300" w:type="dxa"/>
            <w:gridSpan w:val="3"/>
            <w:shd w:val="clear" w:color="auto" w:fill="0000FF"/>
            <w:vAlign w:val="bottom"/>
          </w:tcPr>
          <w:p>
            <w:pPr>
              <w:spacing w:after="0" w:line="20" w:lineRule="exact"/>
              <w:rPr>
                <w:color w:val="auto"/>
                <w:sz w:val="1"/>
                <w:szCs w:val="1"/>
              </w:rPr>
            </w:pPr>
          </w:p>
        </w:tc>
        <w:tc>
          <w:tcPr>
            <w:tcW w:w="340" w:type="dxa"/>
            <w:gridSpan w:val="3"/>
            <w:tcBorders>
              <w:left w:val="single" w:sz="8" w:space="0" w:color="0000FF"/>
            </w:tcBorders>
            <w:shd w:val="clear" w:color="auto" w:fill="0000FF"/>
            <w:vAlign w:val="bottom"/>
          </w:tcPr>
          <w:p>
            <w:pPr>
              <w:spacing w:after="0" w:line="20" w:lineRule="exact"/>
              <w:rPr>
                <w:color w:val="auto"/>
                <w:sz w:val="1"/>
                <w:szCs w:val="1"/>
              </w:rPr>
            </w:pPr>
          </w:p>
        </w:tc>
        <w:tc>
          <w:tcPr>
            <w:tcW w:w="280" w:type="dxa"/>
            <w:gridSpan w:val="2"/>
            <w:tcBorders>
              <w:left w:val="single" w:sz="8" w:space="0" w:color="0000FF"/>
            </w:tcBorders>
            <w:vAlign w:val="bottom"/>
          </w:tcPr>
          <w:p>
            <w:pPr>
              <w:spacing w:after="0" w:line="20" w:lineRule="exact"/>
              <w:rPr>
                <w:color w:val="auto"/>
                <w:sz w:val="1"/>
                <w:szCs w:val="1"/>
              </w:rPr>
            </w:pPr>
          </w:p>
        </w:tc>
        <w:tc>
          <w:tcPr>
            <w:tcW w:w="340" w:type="dxa"/>
            <w:gridSpan w:val="2"/>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20" w:type="dxa"/>
            <w:gridSpan w:val="2"/>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7</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Goodwill and Intangible Assets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69</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8</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Restructuring Plans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71</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300" w:type="dxa"/>
            <w:gridSpan w:val="3"/>
            <w:shd w:val="clear" w:color="auto" w:fill="0000FF"/>
            <w:vAlign w:val="bottom"/>
          </w:tcPr>
          <w:p>
            <w:pPr>
              <w:spacing w:after="0" w:line="20" w:lineRule="exact"/>
              <w:rPr>
                <w:color w:val="auto"/>
                <w:sz w:val="1"/>
                <w:szCs w:val="1"/>
              </w:rPr>
            </w:pPr>
          </w:p>
        </w:tc>
        <w:tc>
          <w:tcPr>
            <w:tcW w:w="340" w:type="dxa"/>
            <w:gridSpan w:val="3"/>
            <w:tcBorders>
              <w:left w:val="single" w:sz="8" w:space="0" w:color="0000FF"/>
            </w:tcBorders>
            <w:shd w:val="clear" w:color="auto" w:fill="0000FF"/>
            <w:vAlign w:val="bottom"/>
          </w:tcPr>
          <w:p>
            <w:pPr>
              <w:spacing w:after="0" w:line="20" w:lineRule="exact"/>
              <w:rPr>
                <w:color w:val="auto"/>
                <w:sz w:val="1"/>
                <w:szCs w:val="1"/>
              </w:rPr>
            </w:pPr>
          </w:p>
        </w:tc>
        <w:tc>
          <w:tcPr>
            <w:tcW w:w="280" w:type="dxa"/>
            <w:gridSpan w:val="2"/>
            <w:tcBorders>
              <w:left w:val="single" w:sz="8" w:space="0" w:color="0000FF"/>
            </w:tcBorders>
            <w:shd w:val="clear" w:color="auto" w:fill="0000FF"/>
            <w:vAlign w:val="bottom"/>
          </w:tcPr>
          <w:p>
            <w:pPr>
              <w:spacing w:after="0" w:line="20" w:lineRule="exact"/>
              <w:rPr>
                <w:color w:val="auto"/>
                <w:sz w:val="1"/>
                <w:szCs w:val="1"/>
              </w:rPr>
            </w:pPr>
          </w:p>
        </w:tc>
        <w:tc>
          <w:tcPr>
            <w:tcW w:w="340" w:type="dxa"/>
            <w:gridSpan w:val="2"/>
            <w:vAlign w:val="bottom"/>
          </w:tcPr>
          <w:p>
            <w:pPr>
              <w:spacing w:after="0" w:line="20" w:lineRule="exact"/>
              <w:rPr>
                <w:color w:val="auto"/>
                <w:sz w:val="1"/>
                <w:szCs w:val="1"/>
              </w:rPr>
            </w:pPr>
          </w:p>
        </w:tc>
        <w:tc>
          <w:tcPr>
            <w:tcW w:w="440" w:type="dxa"/>
            <w:gridSpan w:val="2"/>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20" w:type="dxa"/>
            <w:gridSpan w:val="2"/>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9</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Leases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73</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300" w:type="dxa"/>
            <w:gridSpan w:val="3"/>
            <w:shd w:val="clear" w:color="auto" w:fill="0000FF"/>
            <w:vAlign w:val="bottom"/>
          </w:tcPr>
          <w:p>
            <w:pPr>
              <w:spacing w:after="0" w:line="20" w:lineRule="exact"/>
              <w:rPr>
                <w:color w:val="auto"/>
                <w:sz w:val="1"/>
                <w:szCs w:val="1"/>
              </w:rPr>
            </w:pPr>
          </w:p>
        </w:tc>
        <w:tc>
          <w:tcPr>
            <w:tcW w:w="340" w:type="dxa"/>
            <w:gridSpan w:val="3"/>
            <w:tcBorders>
              <w:left w:val="single" w:sz="8" w:space="0" w:color="0000FF"/>
            </w:tcBorders>
            <w:vAlign w:val="bottom"/>
          </w:tcPr>
          <w:p>
            <w:pPr>
              <w:spacing w:after="0" w:line="20" w:lineRule="exact"/>
              <w:rPr>
                <w:color w:val="auto"/>
                <w:sz w:val="1"/>
                <w:szCs w:val="1"/>
              </w:rPr>
            </w:pPr>
          </w:p>
        </w:tc>
        <w:tc>
          <w:tcPr>
            <w:tcW w:w="620" w:type="dxa"/>
            <w:gridSpan w:val="4"/>
            <w:vAlign w:val="bottom"/>
          </w:tcPr>
          <w:p>
            <w:pPr>
              <w:spacing w:after="0" w:line="20" w:lineRule="exact"/>
              <w:rPr>
                <w:color w:val="auto"/>
                <w:sz w:val="1"/>
                <w:szCs w:val="1"/>
              </w:rPr>
            </w:pPr>
          </w:p>
        </w:tc>
        <w:tc>
          <w:tcPr>
            <w:tcW w:w="440" w:type="dxa"/>
            <w:gridSpan w:val="2"/>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620" w:type="dxa"/>
            <w:gridSpan w:val="2"/>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10</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Debt, Credit Facilites and Commitments and Contngencies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75</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300" w:type="dxa"/>
            <w:tcBorders>
              <w:left w:val="single" w:sz="8" w:space="0" w:color="0000FF"/>
            </w:tcBorders>
            <w:shd w:val="clear" w:color="auto" w:fill="0000FF"/>
            <w:vAlign w:val="bottom"/>
          </w:tcPr>
          <w:p>
            <w:pPr>
              <w:spacing w:after="0" w:line="20" w:lineRule="exact"/>
              <w:rPr>
                <w:color w:val="auto"/>
                <w:sz w:val="1"/>
                <w:szCs w:val="1"/>
              </w:rPr>
            </w:pPr>
          </w:p>
        </w:tc>
        <w:tc>
          <w:tcPr>
            <w:tcW w:w="120" w:type="dxa"/>
            <w:tcBorders>
              <w:left w:val="single" w:sz="8" w:space="0" w:color="0000FF"/>
            </w:tcBorders>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540" w:type="dxa"/>
            <w:shd w:val="clear" w:color="auto" w:fill="0000FF"/>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11</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Financial Instruments and Fair Value Measures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77</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300" w:type="dxa"/>
            <w:gridSpan w:val="3"/>
            <w:shd w:val="clear" w:color="auto" w:fill="0000FF"/>
            <w:vAlign w:val="bottom"/>
          </w:tcPr>
          <w:p>
            <w:pPr>
              <w:spacing w:after="0" w:line="20" w:lineRule="exact"/>
              <w:rPr>
                <w:color w:val="auto"/>
                <w:sz w:val="1"/>
                <w:szCs w:val="1"/>
              </w:rPr>
            </w:pPr>
          </w:p>
        </w:tc>
        <w:tc>
          <w:tcPr>
            <w:tcW w:w="340" w:type="dxa"/>
            <w:gridSpan w:val="3"/>
            <w:tcBorders>
              <w:left w:val="single" w:sz="8" w:space="0" w:color="0000FF"/>
            </w:tcBorders>
            <w:shd w:val="clear" w:color="auto" w:fill="0000FF"/>
            <w:vAlign w:val="bottom"/>
          </w:tcPr>
          <w:p>
            <w:pPr>
              <w:spacing w:after="0" w:line="20" w:lineRule="exact"/>
              <w:rPr>
                <w:color w:val="auto"/>
                <w:sz w:val="1"/>
                <w:szCs w:val="1"/>
              </w:rPr>
            </w:pPr>
          </w:p>
        </w:tc>
        <w:tc>
          <w:tcPr>
            <w:tcW w:w="620" w:type="dxa"/>
            <w:gridSpan w:val="4"/>
            <w:tcBorders>
              <w:left w:val="single" w:sz="8" w:space="0" w:color="0000FF"/>
            </w:tcBorders>
            <w:shd w:val="clear" w:color="auto" w:fill="0000FF"/>
            <w:vAlign w:val="bottom"/>
          </w:tcPr>
          <w:p>
            <w:pPr>
              <w:spacing w:after="0" w:line="20" w:lineRule="exact"/>
              <w:rPr>
                <w:color w:val="auto"/>
                <w:sz w:val="1"/>
                <w:szCs w:val="1"/>
              </w:rPr>
            </w:pPr>
          </w:p>
        </w:tc>
        <w:tc>
          <w:tcPr>
            <w:tcW w:w="440" w:type="dxa"/>
            <w:gridSpan w:val="2"/>
            <w:shd w:val="clear" w:color="auto" w:fill="0000FF"/>
            <w:vAlign w:val="bottom"/>
          </w:tcPr>
          <w:p>
            <w:pPr>
              <w:spacing w:after="0" w:line="20" w:lineRule="exact"/>
              <w:rPr>
                <w:color w:val="auto"/>
                <w:sz w:val="1"/>
                <w:szCs w:val="1"/>
              </w:rPr>
            </w:pPr>
          </w:p>
        </w:tc>
        <w:tc>
          <w:tcPr>
            <w:tcW w:w="300" w:type="dxa"/>
            <w:tcBorders>
              <w:left w:val="single" w:sz="8" w:space="0" w:color="0000FF"/>
            </w:tcBorders>
            <w:shd w:val="clear" w:color="auto" w:fill="0000FF"/>
            <w:vAlign w:val="bottom"/>
          </w:tcPr>
          <w:p>
            <w:pPr>
              <w:spacing w:after="0" w:line="20" w:lineRule="exact"/>
              <w:rPr>
                <w:color w:val="auto"/>
                <w:sz w:val="1"/>
                <w:szCs w:val="1"/>
              </w:rPr>
            </w:pPr>
          </w:p>
        </w:tc>
        <w:tc>
          <w:tcPr>
            <w:tcW w:w="120" w:type="dxa"/>
            <w:tcBorders>
              <w:left w:val="single" w:sz="8" w:space="0" w:color="0000FF"/>
            </w:tcBorders>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6620" w:type="dxa"/>
            <w:gridSpan w:val="3"/>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12</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Post-Employment Benefts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84</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vAlign w:val="bottom"/>
          </w:tcPr>
          <w:p>
            <w:pPr>
              <w:spacing w:after="0" w:line="20" w:lineRule="exact"/>
              <w:rPr>
                <w:color w:val="auto"/>
                <w:sz w:val="1"/>
                <w:szCs w:val="1"/>
              </w:rPr>
            </w:pPr>
          </w:p>
        </w:tc>
        <w:tc>
          <w:tcPr>
            <w:tcW w:w="240" w:type="dxa"/>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13</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Equity</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88</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300" w:type="dxa"/>
            <w:gridSpan w:val="3"/>
            <w:shd w:val="clear" w:color="auto" w:fill="0000FF"/>
            <w:vAlign w:val="bottom"/>
          </w:tcPr>
          <w:p>
            <w:pPr>
              <w:spacing w:after="0" w:line="20" w:lineRule="exact"/>
              <w:rPr>
                <w:color w:val="auto"/>
                <w:sz w:val="1"/>
                <w:szCs w:val="1"/>
              </w:rPr>
            </w:pPr>
          </w:p>
        </w:tc>
        <w:tc>
          <w:tcPr>
            <w:tcW w:w="340" w:type="dxa"/>
            <w:gridSpan w:val="3"/>
            <w:vAlign w:val="bottom"/>
          </w:tcPr>
          <w:p>
            <w:pPr>
              <w:spacing w:after="0" w:line="20" w:lineRule="exact"/>
              <w:rPr>
                <w:color w:val="auto"/>
                <w:sz w:val="1"/>
                <w:szCs w:val="1"/>
              </w:rPr>
            </w:pPr>
          </w:p>
        </w:tc>
        <w:tc>
          <w:tcPr>
            <w:tcW w:w="620" w:type="dxa"/>
            <w:gridSpan w:val="4"/>
            <w:vAlign w:val="bottom"/>
          </w:tcPr>
          <w:p>
            <w:pPr>
              <w:spacing w:after="0" w:line="20" w:lineRule="exact"/>
              <w:rPr>
                <w:color w:val="auto"/>
                <w:sz w:val="1"/>
                <w:szCs w:val="1"/>
              </w:rPr>
            </w:pPr>
          </w:p>
        </w:tc>
        <w:tc>
          <w:tcPr>
            <w:tcW w:w="440" w:type="dxa"/>
            <w:gridSpan w:val="2"/>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6700" w:type="dxa"/>
            <w:gridSpan w:val="4"/>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14</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Income Taxes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93</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640" w:type="dxa"/>
            <w:gridSpan w:val="6"/>
            <w:shd w:val="clear" w:color="auto" w:fill="0000FF"/>
            <w:vAlign w:val="bottom"/>
          </w:tcPr>
          <w:p>
            <w:pPr>
              <w:spacing w:after="0" w:line="20" w:lineRule="exact"/>
              <w:rPr>
                <w:color w:val="auto"/>
                <w:sz w:val="1"/>
                <w:szCs w:val="1"/>
              </w:rPr>
            </w:pPr>
          </w:p>
        </w:tc>
        <w:tc>
          <w:tcPr>
            <w:tcW w:w="620" w:type="dxa"/>
            <w:gridSpan w:val="4"/>
            <w:vAlign w:val="bottom"/>
          </w:tcPr>
          <w:p>
            <w:pPr>
              <w:spacing w:after="0" w:line="20" w:lineRule="exact"/>
              <w:rPr>
                <w:color w:val="auto"/>
                <w:sz w:val="1"/>
                <w:szCs w:val="1"/>
              </w:rPr>
            </w:pPr>
          </w:p>
        </w:tc>
        <w:tc>
          <w:tcPr>
            <w:tcW w:w="440" w:type="dxa"/>
            <w:gridSpan w:val="2"/>
            <w:vAlign w:val="bottom"/>
          </w:tcPr>
          <w:p>
            <w:pPr>
              <w:spacing w:after="0" w:line="20" w:lineRule="exact"/>
              <w:rPr>
                <w:color w:val="auto"/>
                <w:sz w:val="1"/>
                <w:szCs w:val="1"/>
              </w:rPr>
            </w:pPr>
          </w:p>
        </w:tc>
        <w:tc>
          <w:tcPr>
            <w:tcW w:w="300" w:type="dxa"/>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6700" w:type="dxa"/>
            <w:gridSpan w:val="4"/>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15</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Legal Proceedings and Contngencies</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95</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300" w:type="dxa"/>
            <w:tcBorders>
              <w:left w:val="single" w:sz="8" w:space="0" w:color="0000FF"/>
            </w:tcBorders>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16</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Segment and Geographic Area Informaton</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97</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300" w:type="dxa"/>
            <w:tcBorders>
              <w:left w:val="single" w:sz="8" w:space="0" w:color="0000FF"/>
            </w:tcBorders>
            <w:shd w:val="clear" w:color="auto" w:fill="0000FF"/>
            <w:vAlign w:val="bottom"/>
          </w:tcPr>
          <w:p>
            <w:pPr>
              <w:spacing w:after="0" w:line="20" w:lineRule="exact"/>
              <w:rPr>
                <w:color w:val="auto"/>
                <w:sz w:val="1"/>
                <w:szCs w:val="1"/>
              </w:rPr>
            </w:pPr>
          </w:p>
        </w:tc>
        <w:tc>
          <w:tcPr>
            <w:tcW w:w="120" w:type="dxa"/>
            <w:tcBorders>
              <w:left w:val="single" w:sz="8" w:space="0" w:color="0000FF"/>
            </w:tcBorders>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133"/>
        </w:trPr>
        <w:tc>
          <w:tcPr>
            <w:tcW w:w="1360" w:type="dxa"/>
            <w:gridSpan w:val="2"/>
            <w:vAlign w:val="bottom"/>
          </w:tcPr>
          <w:p>
            <w:pPr>
              <w:spacing w:after="0" w:line="133" w:lineRule="exact"/>
              <w:rPr>
                <w:color w:val="auto"/>
                <w:sz w:val="20"/>
                <w:szCs w:val="20"/>
              </w:rPr>
            </w:pPr>
            <w:r>
              <w:rPr>
                <w:rFonts w:ascii="Calibri" w:eastAsia="Calibri" w:hAnsi="Calibri" w:cs="Calibri"/>
                <w:color w:val="0000FF"/>
                <w:sz w:val="12"/>
                <w:szCs w:val="12"/>
              </w:rPr>
              <w:t>Note 17</w:t>
            </w:r>
          </w:p>
        </w:tc>
        <w:tc>
          <w:tcPr>
            <w:tcW w:w="100" w:type="dxa"/>
            <w:vAlign w:val="bottom"/>
          </w:tcPr>
          <w:p>
            <w:pPr>
              <w:spacing w:after="0"/>
              <w:rPr>
                <w:color w:val="auto"/>
                <w:sz w:val="11"/>
                <w:szCs w:val="11"/>
              </w:rPr>
            </w:pPr>
          </w:p>
        </w:tc>
        <w:tc>
          <w:tcPr>
            <w:tcW w:w="8820" w:type="dxa"/>
            <w:gridSpan w:val="18"/>
            <w:vAlign w:val="bottom"/>
          </w:tcPr>
          <w:p>
            <w:pPr>
              <w:spacing w:after="0" w:line="133" w:lineRule="exact"/>
              <w:rPr>
                <w:color w:val="auto"/>
                <w:sz w:val="20"/>
                <w:szCs w:val="20"/>
              </w:rPr>
            </w:pPr>
            <w:r>
              <w:rPr>
                <w:rFonts w:ascii="Calibri" w:eastAsia="Calibri" w:hAnsi="Calibri" w:cs="Calibri"/>
                <w:color w:val="0000FF"/>
                <w:sz w:val="12"/>
                <w:szCs w:val="12"/>
              </w:rPr>
              <w:t>Fourth Quarter Financial Results (unaudited)</w:t>
            </w:r>
          </w:p>
        </w:tc>
        <w:tc>
          <w:tcPr>
            <w:tcW w:w="1020" w:type="dxa"/>
            <w:gridSpan w:val="3"/>
            <w:vAlign w:val="bottom"/>
          </w:tcPr>
          <w:p>
            <w:pPr>
              <w:spacing w:after="0" w:line="133" w:lineRule="exact"/>
              <w:ind w:right="20"/>
              <w:jc w:val="right"/>
              <w:rPr>
                <w:color w:val="auto"/>
                <w:sz w:val="20"/>
                <w:szCs w:val="20"/>
              </w:rPr>
            </w:pPr>
            <w:r>
              <w:rPr>
                <w:rFonts w:ascii="Calibri" w:eastAsia="Calibri" w:hAnsi="Calibri" w:cs="Calibri"/>
                <w:color w:val="0000FF"/>
                <w:sz w:val="12"/>
                <w:szCs w:val="12"/>
              </w:rPr>
              <w:t>100</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vAlign w:val="bottom"/>
          </w:tcPr>
          <w:p>
            <w:pPr>
              <w:spacing w:after="0" w:line="20" w:lineRule="exact"/>
              <w:rPr>
                <w:color w:val="auto"/>
                <w:sz w:val="1"/>
                <w:szCs w:val="1"/>
              </w:rPr>
            </w:pPr>
          </w:p>
        </w:tc>
        <w:tc>
          <w:tcPr>
            <w:tcW w:w="100" w:type="dxa"/>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shd w:val="clear" w:color="auto" w:fill="0000FF"/>
            <w:vAlign w:val="bottom"/>
          </w:tcPr>
          <w:p>
            <w:pPr>
              <w:spacing w:after="0" w:line="20" w:lineRule="exact"/>
              <w:rPr>
                <w:color w:val="auto"/>
                <w:sz w:val="1"/>
                <w:szCs w:val="1"/>
              </w:rPr>
            </w:pPr>
          </w:p>
        </w:tc>
        <w:tc>
          <w:tcPr>
            <w:tcW w:w="240" w:type="dxa"/>
            <w:shd w:val="clear" w:color="auto" w:fill="0000FF"/>
            <w:vAlign w:val="bottom"/>
          </w:tcPr>
          <w:p>
            <w:pPr>
              <w:spacing w:after="0" w:line="20" w:lineRule="exact"/>
              <w:rPr>
                <w:color w:val="auto"/>
                <w:sz w:val="1"/>
                <w:szCs w:val="1"/>
              </w:rPr>
            </w:pPr>
          </w:p>
        </w:tc>
        <w:tc>
          <w:tcPr>
            <w:tcW w:w="300" w:type="dxa"/>
            <w:tcBorders>
              <w:left w:val="single" w:sz="8" w:space="0" w:color="0000FF"/>
            </w:tcBorders>
            <w:shd w:val="clear" w:color="auto" w:fill="0000FF"/>
            <w:vAlign w:val="bottom"/>
          </w:tcPr>
          <w:p>
            <w:pPr>
              <w:spacing w:after="0" w:line="20" w:lineRule="exact"/>
              <w:rPr>
                <w:color w:val="auto"/>
                <w:sz w:val="1"/>
                <w:szCs w:val="1"/>
              </w:rPr>
            </w:pPr>
          </w:p>
        </w:tc>
        <w:tc>
          <w:tcPr>
            <w:tcW w:w="120" w:type="dxa"/>
            <w:tcBorders>
              <w:left w:val="single" w:sz="8" w:space="0" w:color="0000FF"/>
            </w:tcBorders>
            <w:shd w:val="clear" w:color="auto" w:fill="0000FF"/>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Align w:val="bottom"/>
          </w:tcPr>
          <w:p>
            <w:pPr>
              <w:spacing w:after="0" w:line="20" w:lineRule="exact"/>
              <w:rPr>
                <w:color w:val="auto"/>
                <w:sz w:val="1"/>
                <w:szCs w:val="1"/>
              </w:rPr>
            </w:pPr>
          </w:p>
        </w:tc>
        <w:tc>
          <w:tcPr>
            <w:tcW w:w="880" w:type="dxa"/>
            <w:tcBorders>
              <w:right w:val="single" w:sz="8" w:space="0" w:color="0000FF"/>
            </w:tcBorders>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214"/>
        </w:trPr>
        <w:tc>
          <w:tcPr>
            <w:tcW w:w="10280" w:type="dxa"/>
            <w:gridSpan w:val="21"/>
            <w:vAlign w:val="bottom"/>
          </w:tcPr>
          <w:p>
            <w:pPr>
              <w:spacing w:after="0"/>
              <w:rPr>
                <w:color w:val="auto"/>
                <w:sz w:val="20"/>
                <w:szCs w:val="20"/>
              </w:rPr>
            </w:pPr>
            <w:r>
              <w:rPr>
                <w:rFonts w:ascii="Calibri" w:eastAsia="Calibri" w:hAnsi="Calibri" w:cs="Calibri"/>
                <w:color w:val="0000FF"/>
                <w:sz w:val="12"/>
                <w:szCs w:val="12"/>
              </w:rPr>
              <w:t xml:space="preserve">Report of Independent Registered Public Accountng Firm </w:t>
            </w:r>
            <w:r>
              <w:rPr>
                <w:rFonts w:ascii="Calibri" w:eastAsia="Calibri" w:hAnsi="Calibri" w:cs="Calibri"/>
                <w:color w:val="0E32E1"/>
                <w:sz w:val="12"/>
                <w:szCs w:val="12"/>
              </w:rPr>
              <w:t>(PCAOB ID: 42)</w:t>
            </w:r>
          </w:p>
        </w:tc>
        <w:tc>
          <w:tcPr>
            <w:tcW w:w="1020" w:type="dxa"/>
            <w:gridSpan w:val="3"/>
            <w:vAlign w:val="bottom"/>
          </w:tcPr>
          <w:p>
            <w:pPr>
              <w:spacing w:after="0"/>
              <w:ind w:right="20"/>
              <w:jc w:val="right"/>
              <w:rPr>
                <w:color w:val="auto"/>
                <w:sz w:val="20"/>
                <w:szCs w:val="20"/>
              </w:rPr>
            </w:pPr>
            <w:r>
              <w:rPr>
                <w:rFonts w:ascii="Calibri" w:eastAsia="Calibri" w:hAnsi="Calibri" w:cs="Calibri"/>
                <w:color w:val="0000FF"/>
                <w:sz w:val="12"/>
                <w:szCs w:val="12"/>
              </w:rPr>
              <w:t>101</w:t>
            </w:r>
          </w:p>
        </w:tc>
        <w:tc>
          <w:tcPr>
            <w:tcW w:w="1" w:type="dxa"/>
            <w:vAlign w:val="bottom"/>
          </w:tcPr>
          <w:p>
            <w:pPr>
              <w:spacing w:after="0"/>
              <w:rPr>
                <w:color w:val="auto"/>
                <w:sz w:val="1"/>
                <w:szCs w:val="1"/>
              </w:rPr>
            </w:pPr>
          </w:p>
        </w:tc>
      </w:tr>
      <w:tr>
        <w:tblPrEx>
          <w:tblInd w:w="0" w:type="dxa"/>
          <w:tblLayout w:type="fixed"/>
        </w:tblPrEx>
        <w:trPr>
          <w:trHeight w:val="20"/>
        </w:trPr>
        <w:tc>
          <w:tcPr>
            <w:tcW w:w="320" w:type="dxa"/>
            <w:shd w:val="clear" w:color="auto" w:fill="0000FF"/>
            <w:vAlign w:val="bottom"/>
          </w:tcPr>
          <w:p>
            <w:pPr>
              <w:spacing w:after="0" w:line="20" w:lineRule="exact"/>
              <w:rPr>
                <w:color w:val="auto"/>
                <w:sz w:val="1"/>
                <w:szCs w:val="1"/>
              </w:rPr>
            </w:pPr>
          </w:p>
        </w:tc>
        <w:tc>
          <w:tcPr>
            <w:tcW w:w="1040" w:type="dxa"/>
            <w:tcBorders>
              <w:left w:val="single" w:sz="8" w:space="0" w:color="0000FF"/>
            </w:tcBorders>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180" w:type="dxa"/>
            <w:shd w:val="clear" w:color="auto" w:fill="0000FF"/>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20" w:type="dxa"/>
            <w:shd w:val="clear" w:color="auto" w:fill="0000FF"/>
            <w:vAlign w:val="bottom"/>
          </w:tcPr>
          <w:p>
            <w:pPr>
              <w:spacing w:after="0" w:line="20" w:lineRule="exact"/>
              <w:rPr>
                <w:color w:val="auto"/>
                <w:sz w:val="1"/>
                <w:szCs w:val="1"/>
              </w:rPr>
            </w:pPr>
          </w:p>
        </w:tc>
        <w:tc>
          <w:tcPr>
            <w:tcW w:w="100" w:type="dxa"/>
            <w:tcBorders>
              <w:left w:val="single" w:sz="8" w:space="0" w:color="0000FF"/>
            </w:tcBorders>
            <w:shd w:val="clear" w:color="auto" w:fill="0000FF"/>
            <w:vAlign w:val="bottom"/>
          </w:tcPr>
          <w:p>
            <w:pPr>
              <w:spacing w:after="0" w:line="20" w:lineRule="exact"/>
              <w:rPr>
                <w:color w:val="auto"/>
                <w:sz w:val="1"/>
                <w:szCs w:val="1"/>
              </w:rPr>
            </w:pPr>
          </w:p>
        </w:tc>
        <w:tc>
          <w:tcPr>
            <w:tcW w:w="16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40" w:type="dxa"/>
            <w:tcBorders>
              <w:left w:val="single" w:sz="8" w:space="0" w:color="0000FF"/>
            </w:tcBorders>
            <w:shd w:val="clear" w:color="auto" w:fill="0000FF"/>
            <w:vAlign w:val="bottom"/>
          </w:tcPr>
          <w:p>
            <w:pPr>
              <w:spacing w:after="0" w:line="20" w:lineRule="exact"/>
              <w:rPr>
                <w:color w:val="auto"/>
                <w:sz w:val="1"/>
                <w:szCs w:val="1"/>
              </w:rPr>
            </w:pPr>
          </w:p>
        </w:tc>
        <w:tc>
          <w:tcPr>
            <w:tcW w:w="40" w:type="dxa"/>
            <w:shd w:val="clear" w:color="auto" w:fill="0000FF"/>
            <w:vAlign w:val="bottom"/>
          </w:tcPr>
          <w:p>
            <w:pPr>
              <w:spacing w:after="0" w:line="20" w:lineRule="exact"/>
              <w:rPr>
                <w:color w:val="auto"/>
                <w:sz w:val="1"/>
                <w:szCs w:val="1"/>
              </w:rPr>
            </w:pPr>
          </w:p>
        </w:tc>
        <w:tc>
          <w:tcPr>
            <w:tcW w:w="80" w:type="dxa"/>
            <w:shd w:val="clear" w:color="auto" w:fill="0000FF"/>
            <w:vAlign w:val="bottom"/>
          </w:tcPr>
          <w:p>
            <w:pPr>
              <w:spacing w:after="0" w:line="20" w:lineRule="exact"/>
              <w:rPr>
                <w:color w:val="auto"/>
                <w:sz w:val="1"/>
                <w:szCs w:val="1"/>
              </w:rPr>
            </w:pPr>
          </w:p>
        </w:tc>
        <w:tc>
          <w:tcPr>
            <w:tcW w:w="260" w:type="dxa"/>
            <w:shd w:val="clear" w:color="auto" w:fill="0000FF"/>
            <w:vAlign w:val="bottom"/>
          </w:tcPr>
          <w:p>
            <w:pPr>
              <w:spacing w:after="0" w:line="20" w:lineRule="exact"/>
              <w:rPr>
                <w:color w:val="auto"/>
                <w:sz w:val="1"/>
                <w:szCs w:val="1"/>
              </w:rPr>
            </w:pPr>
          </w:p>
        </w:tc>
        <w:tc>
          <w:tcPr>
            <w:tcW w:w="200" w:type="dxa"/>
            <w:shd w:val="clear" w:color="auto" w:fill="0E32E1"/>
            <w:vAlign w:val="bottom"/>
          </w:tcPr>
          <w:p>
            <w:pPr>
              <w:spacing w:after="0" w:line="20" w:lineRule="exact"/>
              <w:rPr>
                <w:color w:val="auto"/>
                <w:sz w:val="1"/>
                <w:szCs w:val="1"/>
              </w:rPr>
            </w:pPr>
          </w:p>
        </w:tc>
        <w:tc>
          <w:tcPr>
            <w:tcW w:w="240" w:type="dxa"/>
            <w:shd w:val="clear" w:color="auto" w:fill="0E32E1"/>
            <w:vAlign w:val="bottom"/>
          </w:tcPr>
          <w:p>
            <w:pPr>
              <w:spacing w:after="0" w:line="20" w:lineRule="exact"/>
              <w:rPr>
                <w:color w:val="auto"/>
                <w:sz w:val="1"/>
                <w:szCs w:val="1"/>
              </w:rPr>
            </w:pPr>
          </w:p>
        </w:tc>
        <w:tc>
          <w:tcPr>
            <w:tcW w:w="300" w:type="dxa"/>
            <w:tcBorders>
              <w:left w:val="single" w:sz="8" w:space="0" w:color="0E32E1"/>
            </w:tcBorders>
            <w:shd w:val="clear" w:color="auto" w:fill="0E32E1"/>
            <w:vAlign w:val="bottom"/>
          </w:tcPr>
          <w:p>
            <w:pPr>
              <w:spacing w:after="0" w:line="20" w:lineRule="exact"/>
              <w:rPr>
                <w:color w:val="auto"/>
                <w:sz w:val="1"/>
                <w:szCs w:val="1"/>
              </w:rPr>
            </w:pPr>
          </w:p>
        </w:tc>
        <w:tc>
          <w:tcPr>
            <w:tcW w:w="12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80" w:type="dxa"/>
            <w:vAlign w:val="bottom"/>
          </w:tcPr>
          <w:p>
            <w:pPr>
              <w:spacing w:after="0" w:line="20" w:lineRule="exact"/>
              <w:rPr>
                <w:color w:val="auto"/>
                <w:sz w:val="1"/>
                <w:szCs w:val="1"/>
              </w:rPr>
            </w:pPr>
          </w:p>
        </w:tc>
        <w:tc>
          <w:tcPr>
            <w:tcW w:w="540" w:type="dxa"/>
            <w:vAlign w:val="bottom"/>
          </w:tcPr>
          <w:p>
            <w:pPr>
              <w:spacing w:after="0" w:line="20" w:lineRule="exact"/>
              <w:rPr>
                <w:color w:val="auto"/>
                <w:sz w:val="1"/>
                <w:szCs w:val="1"/>
              </w:rPr>
            </w:pPr>
          </w:p>
        </w:tc>
        <w:tc>
          <w:tcPr>
            <w:tcW w:w="6000" w:type="dxa"/>
            <w:vMerge w:val="restart"/>
            <w:vAlign w:val="bottom"/>
          </w:tcPr>
          <w:p>
            <w:pPr>
              <w:spacing w:after="0"/>
              <w:ind w:left="506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880" w:type="dxa"/>
            <w:tcBorders>
              <w:right w:val="single" w:sz="8" w:space="0" w:color="0000FF"/>
            </w:tcBorders>
            <w:vAlign w:val="bottom"/>
          </w:tcPr>
          <w:p>
            <w:pPr>
              <w:spacing w:after="0" w:line="20" w:lineRule="exact"/>
              <w:rPr>
                <w:color w:val="auto"/>
                <w:sz w:val="1"/>
                <w:szCs w:val="1"/>
              </w:rPr>
            </w:pPr>
          </w:p>
        </w:tc>
        <w:tc>
          <w:tcPr>
            <w:tcW w:w="100" w:type="dxa"/>
            <w:shd w:val="clear" w:color="auto" w:fill="0000FF"/>
            <w:vAlign w:val="bottom"/>
          </w:tcPr>
          <w:p>
            <w:pPr>
              <w:spacing w:after="0" w:line="20" w:lineRule="exact"/>
              <w:rPr>
                <w:color w:val="auto"/>
                <w:sz w:val="1"/>
                <w:szCs w:val="1"/>
              </w:rPr>
            </w:pPr>
          </w:p>
        </w:tc>
        <w:tc>
          <w:tcPr>
            <w:tcW w:w="40" w:type="dxa"/>
            <w:tcBorders>
              <w:left w:val="single" w:sz="8" w:space="0" w:color="0000FF"/>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r>
        <w:tblPrEx>
          <w:tblInd w:w="0" w:type="dxa"/>
          <w:tblLayout w:type="fixed"/>
        </w:tblPrEx>
        <w:trPr>
          <w:trHeight w:val="863"/>
        </w:trPr>
        <w:tc>
          <w:tcPr>
            <w:tcW w:w="320" w:type="dxa"/>
            <w:vAlign w:val="bottom"/>
          </w:tcPr>
          <w:p>
            <w:pPr>
              <w:spacing w:after="0"/>
              <w:rPr>
                <w:color w:val="auto"/>
                <w:sz w:val="24"/>
                <w:szCs w:val="24"/>
              </w:rPr>
            </w:pPr>
          </w:p>
        </w:tc>
        <w:tc>
          <w:tcPr>
            <w:tcW w:w="1040" w:type="dxa"/>
            <w:vAlign w:val="bottom"/>
          </w:tcPr>
          <w:p>
            <w:pPr>
              <w:spacing w:after="0"/>
              <w:rPr>
                <w:color w:val="auto"/>
                <w:sz w:val="24"/>
                <w:szCs w:val="24"/>
              </w:rPr>
            </w:pPr>
          </w:p>
        </w:tc>
        <w:tc>
          <w:tcPr>
            <w:tcW w:w="100" w:type="dxa"/>
            <w:vAlign w:val="bottom"/>
          </w:tcPr>
          <w:p>
            <w:pPr>
              <w:spacing w:after="0"/>
              <w:rPr>
                <w:color w:val="auto"/>
                <w:sz w:val="24"/>
                <w:szCs w:val="24"/>
              </w:rPr>
            </w:pPr>
          </w:p>
        </w:tc>
        <w:tc>
          <w:tcPr>
            <w:tcW w:w="180" w:type="dxa"/>
            <w:vAlign w:val="bottom"/>
          </w:tcPr>
          <w:p>
            <w:pPr>
              <w:spacing w:after="0"/>
              <w:rPr>
                <w:color w:val="auto"/>
                <w:sz w:val="24"/>
                <w:szCs w:val="24"/>
              </w:rPr>
            </w:pPr>
          </w:p>
        </w:tc>
        <w:tc>
          <w:tcPr>
            <w:tcW w:w="100" w:type="dxa"/>
            <w:vAlign w:val="bottom"/>
          </w:tcPr>
          <w:p>
            <w:pPr>
              <w:spacing w:after="0"/>
              <w:rPr>
                <w:color w:val="auto"/>
                <w:sz w:val="24"/>
                <w:szCs w:val="24"/>
              </w:rPr>
            </w:pPr>
          </w:p>
        </w:tc>
        <w:tc>
          <w:tcPr>
            <w:tcW w:w="20" w:type="dxa"/>
            <w:vAlign w:val="bottom"/>
          </w:tcPr>
          <w:p>
            <w:pPr>
              <w:spacing w:after="0"/>
              <w:rPr>
                <w:color w:val="auto"/>
                <w:sz w:val="24"/>
                <w:szCs w:val="24"/>
              </w:rPr>
            </w:pPr>
          </w:p>
        </w:tc>
        <w:tc>
          <w:tcPr>
            <w:tcW w:w="100" w:type="dxa"/>
            <w:vAlign w:val="bottom"/>
          </w:tcPr>
          <w:p>
            <w:pPr>
              <w:spacing w:after="0"/>
              <w:rPr>
                <w:color w:val="auto"/>
                <w:sz w:val="24"/>
                <w:szCs w:val="24"/>
              </w:rPr>
            </w:pPr>
          </w:p>
        </w:tc>
        <w:tc>
          <w:tcPr>
            <w:tcW w:w="160" w:type="dxa"/>
            <w:vAlign w:val="bottom"/>
          </w:tcPr>
          <w:p>
            <w:pPr>
              <w:spacing w:after="0"/>
              <w:rPr>
                <w:color w:val="auto"/>
                <w:sz w:val="24"/>
                <w:szCs w:val="24"/>
              </w:rPr>
            </w:pPr>
          </w:p>
        </w:tc>
        <w:tc>
          <w:tcPr>
            <w:tcW w:w="80" w:type="dxa"/>
            <w:vAlign w:val="bottom"/>
          </w:tcPr>
          <w:p>
            <w:pPr>
              <w:spacing w:after="0"/>
              <w:rPr>
                <w:color w:val="auto"/>
                <w:sz w:val="24"/>
                <w:szCs w:val="24"/>
              </w:rPr>
            </w:pPr>
          </w:p>
        </w:tc>
        <w:tc>
          <w:tcPr>
            <w:tcW w:w="240" w:type="dxa"/>
            <w:vAlign w:val="bottom"/>
          </w:tcPr>
          <w:p>
            <w:pPr>
              <w:spacing w:after="0"/>
              <w:rPr>
                <w:color w:val="auto"/>
                <w:sz w:val="24"/>
                <w:szCs w:val="24"/>
              </w:rPr>
            </w:pPr>
          </w:p>
        </w:tc>
        <w:tc>
          <w:tcPr>
            <w:tcW w:w="40" w:type="dxa"/>
            <w:vAlign w:val="bottom"/>
          </w:tcPr>
          <w:p>
            <w:pPr>
              <w:spacing w:after="0"/>
              <w:rPr>
                <w:color w:val="auto"/>
                <w:sz w:val="24"/>
                <w:szCs w:val="24"/>
              </w:rPr>
            </w:pPr>
          </w:p>
        </w:tc>
        <w:tc>
          <w:tcPr>
            <w:tcW w:w="80" w:type="dxa"/>
            <w:vAlign w:val="bottom"/>
          </w:tcPr>
          <w:p>
            <w:pPr>
              <w:spacing w:after="0"/>
              <w:rPr>
                <w:color w:val="auto"/>
                <w:sz w:val="24"/>
                <w:szCs w:val="24"/>
              </w:rPr>
            </w:pPr>
          </w:p>
        </w:tc>
        <w:tc>
          <w:tcPr>
            <w:tcW w:w="260" w:type="dxa"/>
            <w:vAlign w:val="bottom"/>
          </w:tcPr>
          <w:p>
            <w:pPr>
              <w:spacing w:after="0"/>
              <w:rPr>
                <w:color w:val="auto"/>
                <w:sz w:val="24"/>
                <w:szCs w:val="24"/>
              </w:rPr>
            </w:pPr>
          </w:p>
        </w:tc>
        <w:tc>
          <w:tcPr>
            <w:tcW w:w="200" w:type="dxa"/>
            <w:vAlign w:val="bottom"/>
          </w:tcPr>
          <w:p>
            <w:pPr>
              <w:spacing w:after="0"/>
              <w:rPr>
                <w:color w:val="auto"/>
                <w:sz w:val="24"/>
                <w:szCs w:val="24"/>
              </w:rPr>
            </w:pPr>
          </w:p>
        </w:tc>
        <w:tc>
          <w:tcPr>
            <w:tcW w:w="240" w:type="dxa"/>
            <w:vAlign w:val="bottom"/>
          </w:tcPr>
          <w:p>
            <w:pPr>
              <w:spacing w:after="0"/>
              <w:rPr>
                <w:color w:val="auto"/>
                <w:sz w:val="24"/>
                <w:szCs w:val="24"/>
              </w:rPr>
            </w:pPr>
          </w:p>
        </w:tc>
        <w:tc>
          <w:tcPr>
            <w:tcW w:w="300" w:type="dxa"/>
            <w:vAlign w:val="bottom"/>
          </w:tcPr>
          <w:p>
            <w:pPr>
              <w:spacing w:after="0"/>
              <w:rPr>
                <w:color w:val="auto"/>
                <w:sz w:val="24"/>
                <w:szCs w:val="24"/>
              </w:rPr>
            </w:pPr>
          </w:p>
        </w:tc>
        <w:tc>
          <w:tcPr>
            <w:tcW w:w="120" w:type="dxa"/>
            <w:vAlign w:val="bottom"/>
          </w:tcPr>
          <w:p>
            <w:pPr>
              <w:spacing w:after="0"/>
              <w:rPr>
                <w:color w:val="auto"/>
                <w:sz w:val="24"/>
                <w:szCs w:val="24"/>
              </w:rPr>
            </w:pPr>
          </w:p>
        </w:tc>
        <w:tc>
          <w:tcPr>
            <w:tcW w:w="80" w:type="dxa"/>
            <w:vAlign w:val="bottom"/>
          </w:tcPr>
          <w:p>
            <w:pPr>
              <w:spacing w:after="0"/>
              <w:rPr>
                <w:color w:val="auto"/>
                <w:sz w:val="24"/>
                <w:szCs w:val="24"/>
              </w:rPr>
            </w:pPr>
          </w:p>
        </w:tc>
        <w:tc>
          <w:tcPr>
            <w:tcW w:w="80" w:type="dxa"/>
            <w:vAlign w:val="bottom"/>
          </w:tcPr>
          <w:p>
            <w:pPr>
              <w:spacing w:after="0"/>
              <w:rPr>
                <w:color w:val="auto"/>
                <w:sz w:val="24"/>
                <w:szCs w:val="24"/>
              </w:rPr>
            </w:pPr>
          </w:p>
        </w:tc>
        <w:tc>
          <w:tcPr>
            <w:tcW w:w="540" w:type="dxa"/>
            <w:vAlign w:val="bottom"/>
          </w:tcPr>
          <w:p>
            <w:pPr>
              <w:spacing w:after="0"/>
              <w:rPr>
                <w:color w:val="auto"/>
                <w:sz w:val="24"/>
                <w:szCs w:val="24"/>
              </w:rPr>
            </w:pPr>
          </w:p>
        </w:tc>
        <w:tc>
          <w:tcPr>
            <w:tcW w:w="6000" w:type="dxa"/>
            <w:vMerge/>
            <w:vAlign w:val="bottom"/>
          </w:tcPr>
          <w:p>
            <w:pPr>
              <w:spacing w:after="0"/>
              <w:rPr>
                <w:color w:val="auto"/>
                <w:sz w:val="24"/>
                <w:szCs w:val="24"/>
              </w:rPr>
            </w:pPr>
          </w:p>
        </w:tc>
        <w:tc>
          <w:tcPr>
            <w:tcW w:w="880" w:type="dxa"/>
            <w:vAlign w:val="bottom"/>
          </w:tcPr>
          <w:p>
            <w:pPr>
              <w:spacing w:after="0"/>
              <w:rPr>
                <w:color w:val="auto"/>
                <w:sz w:val="24"/>
                <w:szCs w:val="24"/>
              </w:rPr>
            </w:pPr>
          </w:p>
        </w:tc>
        <w:tc>
          <w:tcPr>
            <w:tcW w:w="140" w:type="dxa"/>
            <w:gridSpan w:val="2"/>
            <w:vAlign w:val="bottom"/>
          </w:tcPr>
          <w:p>
            <w:pPr>
              <w:spacing w:after="0"/>
              <w:ind w:right="20"/>
              <w:jc w:val="right"/>
              <w:rPr>
                <w:color w:val="auto"/>
                <w:sz w:val="20"/>
                <w:szCs w:val="20"/>
              </w:rPr>
            </w:pPr>
            <w:r>
              <w:rPr>
                <w:rFonts w:ascii="Calibri" w:eastAsia="Calibri" w:hAnsi="Calibri" w:cs="Calibri"/>
                <w:b/>
                <w:bCs/>
                <w:i/>
                <w:iCs/>
                <w:color w:val="auto"/>
                <w:w w:val="81"/>
                <w:sz w:val="12"/>
                <w:szCs w:val="12"/>
              </w:rPr>
              <w:t>50</w:t>
            </w:r>
          </w:p>
        </w:tc>
        <w:tc>
          <w:tcPr>
            <w:tcW w:w="1" w:type="dxa"/>
            <w:vAlign w:val="bottom"/>
          </w:tcPr>
          <w:p>
            <w:pPr>
              <w:spacing w:after="0"/>
              <w:rPr>
                <w:color w:val="auto"/>
                <w:sz w:val="1"/>
                <w:szCs w:val="1"/>
              </w:rPr>
            </w:pPr>
          </w:p>
        </w:tc>
      </w:tr>
      <w:tr>
        <w:tblPrEx>
          <w:tblInd w:w="0" w:type="dxa"/>
          <w:tblLayout w:type="fixed"/>
        </w:tblPrEx>
        <w:trPr>
          <w:trHeight w:val="143"/>
        </w:trPr>
        <w:tc>
          <w:tcPr>
            <w:tcW w:w="320" w:type="dxa"/>
            <w:tcBorders>
              <w:bottom w:val="single" w:sz="8" w:space="0" w:color="9A9A9A"/>
            </w:tcBorders>
            <w:vAlign w:val="bottom"/>
          </w:tcPr>
          <w:p>
            <w:pPr>
              <w:spacing w:after="0"/>
              <w:rPr>
                <w:color w:val="auto"/>
                <w:sz w:val="12"/>
                <w:szCs w:val="12"/>
              </w:rPr>
            </w:pPr>
          </w:p>
        </w:tc>
        <w:tc>
          <w:tcPr>
            <w:tcW w:w="1040" w:type="dxa"/>
            <w:tcBorders>
              <w:bottom w:val="single" w:sz="8" w:space="0" w:color="9A9A9A"/>
            </w:tcBorders>
            <w:vAlign w:val="bottom"/>
          </w:tcPr>
          <w:p>
            <w:pPr>
              <w:spacing w:after="0"/>
              <w:rPr>
                <w:color w:val="auto"/>
                <w:sz w:val="12"/>
                <w:szCs w:val="12"/>
              </w:rPr>
            </w:pPr>
          </w:p>
        </w:tc>
        <w:tc>
          <w:tcPr>
            <w:tcW w:w="100" w:type="dxa"/>
            <w:tcBorders>
              <w:bottom w:val="single" w:sz="8" w:space="0" w:color="9A9A9A"/>
            </w:tcBorders>
            <w:vAlign w:val="bottom"/>
          </w:tcPr>
          <w:p>
            <w:pPr>
              <w:spacing w:after="0"/>
              <w:rPr>
                <w:color w:val="auto"/>
                <w:sz w:val="12"/>
                <w:szCs w:val="12"/>
              </w:rPr>
            </w:pPr>
          </w:p>
        </w:tc>
        <w:tc>
          <w:tcPr>
            <w:tcW w:w="180" w:type="dxa"/>
            <w:tcBorders>
              <w:bottom w:val="single" w:sz="8" w:space="0" w:color="9A9A9A"/>
            </w:tcBorders>
            <w:vAlign w:val="bottom"/>
          </w:tcPr>
          <w:p>
            <w:pPr>
              <w:spacing w:after="0"/>
              <w:rPr>
                <w:color w:val="auto"/>
                <w:sz w:val="12"/>
                <w:szCs w:val="12"/>
              </w:rPr>
            </w:pPr>
          </w:p>
        </w:tc>
        <w:tc>
          <w:tcPr>
            <w:tcW w:w="100" w:type="dxa"/>
            <w:tcBorders>
              <w:bottom w:val="single" w:sz="8" w:space="0" w:color="9A9A9A"/>
            </w:tcBorders>
            <w:vAlign w:val="bottom"/>
          </w:tcPr>
          <w:p>
            <w:pPr>
              <w:spacing w:after="0"/>
              <w:rPr>
                <w:color w:val="auto"/>
                <w:sz w:val="12"/>
                <w:szCs w:val="12"/>
              </w:rPr>
            </w:pPr>
          </w:p>
        </w:tc>
        <w:tc>
          <w:tcPr>
            <w:tcW w:w="20" w:type="dxa"/>
            <w:tcBorders>
              <w:bottom w:val="single" w:sz="8" w:space="0" w:color="9A9A9A"/>
            </w:tcBorders>
            <w:vAlign w:val="bottom"/>
          </w:tcPr>
          <w:p>
            <w:pPr>
              <w:spacing w:after="0"/>
              <w:rPr>
                <w:color w:val="auto"/>
                <w:sz w:val="12"/>
                <w:szCs w:val="12"/>
              </w:rPr>
            </w:pPr>
          </w:p>
        </w:tc>
        <w:tc>
          <w:tcPr>
            <w:tcW w:w="100" w:type="dxa"/>
            <w:tcBorders>
              <w:bottom w:val="single" w:sz="8" w:space="0" w:color="9A9A9A"/>
            </w:tcBorders>
            <w:vAlign w:val="bottom"/>
          </w:tcPr>
          <w:p>
            <w:pPr>
              <w:spacing w:after="0"/>
              <w:rPr>
                <w:color w:val="auto"/>
                <w:sz w:val="12"/>
                <w:szCs w:val="12"/>
              </w:rPr>
            </w:pPr>
          </w:p>
        </w:tc>
        <w:tc>
          <w:tcPr>
            <w:tcW w:w="160" w:type="dxa"/>
            <w:tcBorders>
              <w:bottom w:val="single" w:sz="8" w:space="0" w:color="9A9A9A"/>
            </w:tcBorders>
            <w:vAlign w:val="bottom"/>
          </w:tcPr>
          <w:p>
            <w:pPr>
              <w:spacing w:after="0"/>
              <w:rPr>
                <w:color w:val="auto"/>
                <w:sz w:val="12"/>
                <w:szCs w:val="12"/>
              </w:rPr>
            </w:pPr>
          </w:p>
        </w:tc>
        <w:tc>
          <w:tcPr>
            <w:tcW w:w="80" w:type="dxa"/>
            <w:tcBorders>
              <w:bottom w:val="single" w:sz="8" w:space="0" w:color="9A9A9A"/>
            </w:tcBorders>
            <w:vAlign w:val="bottom"/>
          </w:tcPr>
          <w:p>
            <w:pPr>
              <w:spacing w:after="0"/>
              <w:rPr>
                <w:color w:val="auto"/>
                <w:sz w:val="12"/>
                <w:szCs w:val="12"/>
              </w:rPr>
            </w:pPr>
          </w:p>
        </w:tc>
        <w:tc>
          <w:tcPr>
            <w:tcW w:w="240" w:type="dxa"/>
            <w:tcBorders>
              <w:bottom w:val="single" w:sz="8" w:space="0" w:color="9A9A9A"/>
            </w:tcBorders>
            <w:vAlign w:val="bottom"/>
          </w:tcPr>
          <w:p>
            <w:pPr>
              <w:spacing w:after="0"/>
              <w:rPr>
                <w:color w:val="auto"/>
                <w:sz w:val="12"/>
                <w:szCs w:val="12"/>
              </w:rPr>
            </w:pPr>
          </w:p>
        </w:tc>
        <w:tc>
          <w:tcPr>
            <w:tcW w:w="40" w:type="dxa"/>
            <w:tcBorders>
              <w:bottom w:val="single" w:sz="8" w:space="0" w:color="9A9A9A"/>
            </w:tcBorders>
            <w:vAlign w:val="bottom"/>
          </w:tcPr>
          <w:p>
            <w:pPr>
              <w:spacing w:after="0"/>
              <w:rPr>
                <w:color w:val="auto"/>
                <w:sz w:val="12"/>
                <w:szCs w:val="12"/>
              </w:rPr>
            </w:pPr>
          </w:p>
        </w:tc>
        <w:tc>
          <w:tcPr>
            <w:tcW w:w="80" w:type="dxa"/>
            <w:tcBorders>
              <w:bottom w:val="single" w:sz="8" w:space="0" w:color="9A9A9A"/>
            </w:tcBorders>
            <w:vAlign w:val="bottom"/>
          </w:tcPr>
          <w:p>
            <w:pPr>
              <w:spacing w:after="0"/>
              <w:rPr>
                <w:color w:val="auto"/>
                <w:sz w:val="12"/>
                <w:szCs w:val="12"/>
              </w:rPr>
            </w:pPr>
          </w:p>
        </w:tc>
        <w:tc>
          <w:tcPr>
            <w:tcW w:w="260" w:type="dxa"/>
            <w:tcBorders>
              <w:bottom w:val="single" w:sz="8" w:space="0" w:color="9A9A9A"/>
            </w:tcBorders>
            <w:vAlign w:val="bottom"/>
          </w:tcPr>
          <w:p>
            <w:pPr>
              <w:spacing w:after="0"/>
              <w:rPr>
                <w:color w:val="auto"/>
                <w:sz w:val="12"/>
                <w:szCs w:val="12"/>
              </w:rPr>
            </w:pPr>
          </w:p>
        </w:tc>
        <w:tc>
          <w:tcPr>
            <w:tcW w:w="200" w:type="dxa"/>
            <w:tcBorders>
              <w:bottom w:val="single" w:sz="8" w:space="0" w:color="9A9A9A"/>
            </w:tcBorders>
            <w:vAlign w:val="bottom"/>
          </w:tcPr>
          <w:p>
            <w:pPr>
              <w:spacing w:after="0"/>
              <w:rPr>
                <w:color w:val="auto"/>
                <w:sz w:val="12"/>
                <w:szCs w:val="12"/>
              </w:rPr>
            </w:pPr>
          </w:p>
        </w:tc>
        <w:tc>
          <w:tcPr>
            <w:tcW w:w="240" w:type="dxa"/>
            <w:tcBorders>
              <w:bottom w:val="single" w:sz="8" w:space="0" w:color="9A9A9A"/>
            </w:tcBorders>
            <w:vAlign w:val="bottom"/>
          </w:tcPr>
          <w:p>
            <w:pPr>
              <w:spacing w:after="0"/>
              <w:rPr>
                <w:color w:val="auto"/>
                <w:sz w:val="12"/>
                <w:szCs w:val="12"/>
              </w:rPr>
            </w:pPr>
          </w:p>
        </w:tc>
        <w:tc>
          <w:tcPr>
            <w:tcW w:w="300" w:type="dxa"/>
            <w:tcBorders>
              <w:bottom w:val="single" w:sz="8" w:space="0" w:color="9A9A9A"/>
            </w:tcBorders>
            <w:vAlign w:val="bottom"/>
          </w:tcPr>
          <w:p>
            <w:pPr>
              <w:spacing w:after="0"/>
              <w:rPr>
                <w:color w:val="auto"/>
                <w:sz w:val="12"/>
                <w:szCs w:val="12"/>
              </w:rPr>
            </w:pPr>
          </w:p>
        </w:tc>
        <w:tc>
          <w:tcPr>
            <w:tcW w:w="120" w:type="dxa"/>
            <w:tcBorders>
              <w:bottom w:val="single" w:sz="8" w:space="0" w:color="9A9A9A"/>
            </w:tcBorders>
            <w:vAlign w:val="bottom"/>
          </w:tcPr>
          <w:p>
            <w:pPr>
              <w:spacing w:after="0"/>
              <w:rPr>
                <w:color w:val="auto"/>
                <w:sz w:val="12"/>
                <w:szCs w:val="12"/>
              </w:rPr>
            </w:pPr>
          </w:p>
        </w:tc>
        <w:tc>
          <w:tcPr>
            <w:tcW w:w="80" w:type="dxa"/>
            <w:tcBorders>
              <w:bottom w:val="single" w:sz="8" w:space="0" w:color="9A9A9A"/>
            </w:tcBorders>
            <w:vAlign w:val="bottom"/>
          </w:tcPr>
          <w:p>
            <w:pPr>
              <w:spacing w:after="0"/>
              <w:rPr>
                <w:color w:val="auto"/>
                <w:sz w:val="12"/>
                <w:szCs w:val="12"/>
              </w:rPr>
            </w:pPr>
          </w:p>
        </w:tc>
        <w:tc>
          <w:tcPr>
            <w:tcW w:w="80" w:type="dxa"/>
            <w:tcBorders>
              <w:bottom w:val="single" w:sz="8" w:space="0" w:color="9A9A9A"/>
            </w:tcBorders>
            <w:vAlign w:val="bottom"/>
          </w:tcPr>
          <w:p>
            <w:pPr>
              <w:spacing w:after="0"/>
              <w:rPr>
                <w:color w:val="auto"/>
                <w:sz w:val="12"/>
                <w:szCs w:val="12"/>
              </w:rPr>
            </w:pPr>
          </w:p>
        </w:tc>
        <w:tc>
          <w:tcPr>
            <w:tcW w:w="540" w:type="dxa"/>
            <w:tcBorders>
              <w:bottom w:val="single" w:sz="8" w:space="0" w:color="9A9A9A"/>
            </w:tcBorders>
            <w:vAlign w:val="bottom"/>
          </w:tcPr>
          <w:p>
            <w:pPr>
              <w:spacing w:after="0"/>
              <w:rPr>
                <w:color w:val="auto"/>
                <w:sz w:val="12"/>
                <w:szCs w:val="12"/>
              </w:rPr>
            </w:pPr>
          </w:p>
        </w:tc>
        <w:tc>
          <w:tcPr>
            <w:tcW w:w="6000" w:type="dxa"/>
            <w:tcBorders>
              <w:bottom w:val="single" w:sz="8" w:space="0" w:color="9A9A9A"/>
            </w:tcBorders>
            <w:vAlign w:val="bottom"/>
          </w:tcPr>
          <w:p>
            <w:pPr>
              <w:spacing w:after="0"/>
              <w:rPr>
                <w:color w:val="auto"/>
                <w:sz w:val="12"/>
                <w:szCs w:val="12"/>
              </w:rPr>
            </w:pPr>
          </w:p>
        </w:tc>
        <w:tc>
          <w:tcPr>
            <w:tcW w:w="880" w:type="dxa"/>
            <w:tcBorders>
              <w:bottom w:val="single" w:sz="8" w:space="0" w:color="9A9A9A"/>
            </w:tcBorders>
            <w:vAlign w:val="bottom"/>
          </w:tcPr>
          <w:p>
            <w:pPr>
              <w:spacing w:after="0"/>
              <w:rPr>
                <w:color w:val="auto"/>
                <w:sz w:val="12"/>
                <w:szCs w:val="12"/>
              </w:rPr>
            </w:pPr>
          </w:p>
        </w:tc>
        <w:tc>
          <w:tcPr>
            <w:tcW w:w="100" w:type="dxa"/>
            <w:tcBorders>
              <w:bottom w:val="single" w:sz="8" w:space="0" w:color="9A9A9A"/>
            </w:tcBorders>
            <w:vAlign w:val="bottom"/>
          </w:tcPr>
          <w:p>
            <w:pPr>
              <w:spacing w:after="0"/>
              <w:rPr>
                <w:color w:val="auto"/>
                <w:sz w:val="12"/>
                <w:szCs w:val="12"/>
              </w:rPr>
            </w:pPr>
          </w:p>
        </w:tc>
        <w:tc>
          <w:tcPr>
            <w:tcW w:w="40" w:type="dxa"/>
            <w:tcBorders>
              <w:bottom w:val="single" w:sz="8" w:space="0" w:color="9A9A9A"/>
            </w:tcBorders>
            <w:vAlign w:val="bottom"/>
          </w:tcPr>
          <w:p>
            <w:pPr>
              <w:spacing w:after="0"/>
              <w:rPr>
                <w:color w:val="auto"/>
                <w:sz w:val="12"/>
                <w:szCs w:val="12"/>
              </w:rPr>
            </w:pPr>
          </w:p>
        </w:tc>
        <w:tc>
          <w:tcPr>
            <w:tcW w:w="1" w:type="dxa"/>
            <w:vAlign w:val="bottom"/>
          </w:tcPr>
          <w:p>
            <w:pPr>
              <w:spacing w:after="0"/>
              <w:rPr>
                <w:color w:val="auto"/>
                <w:sz w:val="1"/>
                <w:szCs w:val="1"/>
              </w:rPr>
            </w:pPr>
          </w:p>
        </w:tc>
      </w:tr>
    </w:tbl>
    <w:p>
      <w:pPr>
        <w:spacing w:after="0" w:line="20" w:lineRule="exact"/>
        <w:rPr>
          <w:color w:val="auto"/>
          <w:sz w:val="20"/>
          <w:szCs w:val="20"/>
        </w:rPr>
      </w:pPr>
      <w:r>
        <w:rPr>
          <w:color w:val="auto"/>
          <w:sz w:val="20"/>
          <w:szCs w:val="20"/>
        </w:rPr>
        <w:drawing>
          <wp:anchor simplePos="0" relativeHeight="251786240" behindDoc="1" locked="0" layoutInCell="0" allowOverlap="1">
            <wp:simplePos x="0" y="0"/>
            <wp:positionH relativeFrom="column">
              <wp:posOffset>7154545</wp:posOffset>
            </wp:positionH>
            <wp:positionV relativeFrom="paragraph">
              <wp:posOffset>-23495</wp:posOffset>
            </wp:positionV>
            <wp:extent cx="31115" cy="3683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87264" behindDoc="1" locked="0" layoutInCell="0" allowOverlap="1">
            <wp:simplePos x="0" y="0"/>
            <wp:positionH relativeFrom="column">
              <wp:posOffset>-17145</wp:posOffset>
            </wp:positionH>
            <wp:positionV relativeFrom="paragraph">
              <wp:posOffset>-23495</wp:posOffset>
            </wp:positionV>
            <wp:extent cx="31115" cy="3683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88288" behindDoc="1" locked="0" layoutInCell="0" allowOverlap="1">
            <wp:simplePos x="0" y="0"/>
            <wp:positionH relativeFrom="column">
              <wp:posOffset>6475730</wp:posOffset>
            </wp:positionH>
            <wp:positionV relativeFrom="paragraph">
              <wp:posOffset>-216535</wp:posOffset>
            </wp:positionV>
            <wp:extent cx="400050" cy="74295"/>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52" w:name="page53"/>
    <w:bookmarkEnd w:id="52"/>
    <w:p>
      <w:pPr>
        <w:spacing w:after="0"/>
        <w:rPr>
          <w:color w:val="auto"/>
          <w:sz w:val="20"/>
          <w:szCs w:val="20"/>
        </w:rPr>
      </w:pPr>
      <w:r>
        <w:rPr>
          <w:rFonts w:ascii="Calibri" w:eastAsia="Calibri" w:hAnsi="Calibri" w:cs="Calibri"/>
          <w:b/>
          <w:bCs/>
          <w:color w:val="444867"/>
          <w:sz w:val="14"/>
          <w:szCs w:val="14"/>
        </w:rPr>
        <w:t>AbbVie Inc. and Subsidiaries</w:t>
      </w:r>
    </w:p>
    <w:p>
      <w:pPr>
        <w:spacing w:after="0"/>
        <w:rPr>
          <w:color w:val="auto"/>
          <w:sz w:val="20"/>
          <w:szCs w:val="20"/>
        </w:rPr>
      </w:pPr>
      <w:r>
        <w:rPr>
          <w:rFonts w:ascii="Calibri" w:eastAsia="Calibri" w:hAnsi="Calibri" w:cs="Calibri"/>
          <w:b/>
          <w:bCs/>
          <w:color w:val="444867"/>
          <w:sz w:val="14"/>
          <w:szCs w:val="14"/>
        </w:rPr>
        <w:t>Consolidated Statements of Earnings</w:t>
      </w:r>
    </w:p>
    <w:p>
      <w:pPr>
        <w:spacing w:after="0" w:line="180" w:lineRule="exact"/>
        <w:rPr>
          <w:color w:val="auto"/>
          <w:sz w:val="20"/>
          <w:szCs w:val="20"/>
        </w:rPr>
      </w:pPr>
    </w:p>
    <w:tbl>
      <w:tblPr>
        <w:tblInd w:w="0" w:type="dxa"/>
        <w:tblLayout w:type="fixed"/>
        <w:tblCellMar>
          <w:top w:w="0" w:type="dxa"/>
          <w:left w:w="0" w:type="dxa"/>
          <w:bottom w:w="0" w:type="dxa"/>
          <w:right w:w="0" w:type="dxa"/>
        </w:tblCellMar>
      </w:tblPr>
      <w:tblGrid>
        <w:gridCol w:w="4680"/>
        <w:gridCol w:w="2480"/>
        <w:gridCol w:w="1120"/>
        <w:gridCol w:w="400"/>
        <w:gridCol w:w="1120"/>
        <w:gridCol w:w="400"/>
        <w:gridCol w:w="1080"/>
      </w:tblGrid>
      <w:tr>
        <w:tblPrEx>
          <w:tblInd w:w="0" w:type="dxa"/>
          <w:tblLayout w:type="fixed"/>
        </w:tblPrEx>
        <w:trPr>
          <w:trHeight w:val="122"/>
        </w:trPr>
        <w:tc>
          <w:tcPr>
            <w:tcW w:w="4680" w:type="dxa"/>
            <w:vAlign w:val="bottom"/>
          </w:tcPr>
          <w:p>
            <w:pPr>
              <w:spacing w:after="0"/>
              <w:ind w:left="20"/>
              <w:rPr>
                <w:color w:val="auto"/>
                <w:sz w:val="20"/>
                <w:szCs w:val="20"/>
              </w:rPr>
            </w:pPr>
            <w:r>
              <w:rPr>
                <w:rFonts w:ascii="Calibri" w:eastAsia="Calibri" w:hAnsi="Calibri" w:cs="Calibri"/>
                <w:b/>
                <w:bCs/>
                <w:color w:val="auto"/>
                <w:sz w:val="10"/>
                <w:szCs w:val="10"/>
              </w:rPr>
              <w:t>years ended December 31 (in millions, except per share data)</w:t>
            </w:r>
          </w:p>
        </w:tc>
        <w:tc>
          <w:tcPr>
            <w:tcW w:w="2480" w:type="dxa"/>
            <w:vAlign w:val="bottom"/>
          </w:tcPr>
          <w:p>
            <w:pPr>
              <w:spacing w:after="0"/>
              <w:rPr>
                <w:color w:val="auto"/>
                <w:sz w:val="10"/>
                <w:szCs w:val="10"/>
              </w:rPr>
            </w:pPr>
          </w:p>
        </w:tc>
        <w:tc>
          <w:tcPr>
            <w:tcW w:w="1120" w:type="dxa"/>
            <w:vAlign w:val="bottom"/>
          </w:tcPr>
          <w:p>
            <w:pPr>
              <w:spacing w:after="0"/>
              <w:ind w:right="601"/>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120" w:type="dxa"/>
            <w:vAlign w:val="bottom"/>
          </w:tcPr>
          <w:p>
            <w:pPr>
              <w:spacing w:after="0"/>
              <w:ind w:right="601"/>
              <w:jc w:val="right"/>
              <w:rPr>
                <w:color w:val="auto"/>
                <w:sz w:val="20"/>
                <w:szCs w:val="20"/>
              </w:rPr>
            </w:pPr>
            <w:r>
              <w:rPr>
                <w:rFonts w:ascii="Calibri" w:eastAsia="Calibri" w:hAnsi="Calibri" w:cs="Calibri"/>
                <w:b/>
                <w:bCs/>
                <w:color w:val="auto"/>
                <w:sz w:val="10"/>
                <w:szCs w:val="10"/>
              </w:rPr>
              <w:t>2023</w:t>
            </w:r>
          </w:p>
        </w:tc>
        <w:tc>
          <w:tcPr>
            <w:tcW w:w="400" w:type="dxa"/>
            <w:vAlign w:val="bottom"/>
          </w:tcPr>
          <w:p>
            <w:pPr>
              <w:spacing w:after="0"/>
              <w:rPr>
                <w:color w:val="auto"/>
                <w:sz w:val="10"/>
                <w:szCs w:val="10"/>
              </w:rPr>
            </w:pPr>
          </w:p>
        </w:tc>
        <w:tc>
          <w:tcPr>
            <w:tcW w:w="1080" w:type="dxa"/>
            <w:vAlign w:val="bottom"/>
          </w:tcPr>
          <w:p>
            <w:pPr>
              <w:spacing w:after="0"/>
              <w:ind w:right="561"/>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680" w:type="dxa"/>
            <w:tcBorders>
              <w:bottom w:val="single" w:sz="8" w:space="0" w:color="auto"/>
            </w:tcBorders>
            <w:vAlign w:val="bottom"/>
          </w:tcPr>
          <w:p>
            <w:pPr>
              <w:spacing w:after="0"/>
              <w:rPr>
                <w:color w:val="auto"/>
                <w:sz w:val="2"/>
                <w:szCs w:val="2"/>
              </w:rPr>
            </w:pPr>
          </w:p>
        </w:tc>
        <w:tc>
          <w:tcPr>
            <w:tcW w:w="248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680" w:type="dxa"/>
            <w:shd w:val="clear" w:color="auto" w:fill="CCEEFF"/>
            <w:vAlign w:val="bottom"/>
          </w:tcPr>
          <w:p>
            <w:pPr>
              <w:spacing w:after="0" w:line="142" w:lineRule="exact"/>
              <w:ind w:left="20"/>
              <w:rPr>
                <w:color w:val="auto"/>
                <w:sz w:val="20"/>
                <w:szCs w:val="20"/>
              </w:rPr>
            </w:pPr>
            <w:r>
              <w:rPr>
                <w:rFonts w:ascii="Calibri" w:eastAsia="Calibri" w:hAnsi="Calibri" w:cs="Calibri"/>
                <w:b/>
                <w:bCs/>
                <w:color w:val="auto"/>
                <w:sz w:val="12"/>
                <w:szCs w:val="12"/>
              </w:rPr>
              <w:t>Net revenues</w:t>
            </w:r>
          </w:p>
        </w:tc>
        <w:tc>
          <w:tcPr>
            <w:tcW w:w="248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56,334</w:t>
            </w: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54,318</w:t>
            </w: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58,054</w:t>
            </w:r>
          </w:p>
        </w:tc>
      </w:tr>
      <w:tr>
        <w:tblPrEx>
          <w:tblInd w:w="0" w:type="dxa"/>
          <w:tblLayout w:type="fixed"/>
        </w:tblPrEx>
        <w:trPr>
          <w:trHeight w:val="171"/>
        </w:trPr>
        <w:tc>
          <w:tcPr>
            <w:tcW w:w="4680" w:type="dxa"/>
            <w:vAlign w:val="bottom"/>
          </w:tcPr>
          <w:p>
            <w:pPr>
              <w:spacing w:after="0"/>
              <w:rPr>
                <w:color w:val="auto"/>
                <w:sz w:val="14"/>
                <w:szCs w:val="14"/>
              </w:rPr>
            </w:pPr>
          </w:p>
        </w:tc>
        <w:tc>
          <w:tcPr>
            <w:tcW w:w="2480" w:type="dxa"/>
            <w:vAlign w:val="bottom"/>
          </w:tcPr>
          <w:p>
            <w:pPr>
              <w:spacing w:after="0"/>
              <w:rPr>
                <w:color w:val="auto"/>
                <w:sz w:val="14"/>
                <w:szCs w:val="14"/>
              </w:rPr>
            </w:pPr>
          </w:p>
        </w:tc>
        <w:tc>
          <w:tcPr>
            <w:tcW w:w="1120" w:type="dxa"/>
            <w:vAlign w:val="bottom"/>
          </w:tcPr>
          <w:p>
            <w:pPr>
              <w:spacing w:after="0"/>
              <w:rPr>
                <w:color w:val="auto"/>
                <w:sz w:val="14"/>
                <w:szCs w:val="14"/>
              </w:rPr>
            </w:pPr>
          </w:p>
        </w:tc>
        <w:tc>
          <w:tcPr>
            <w:tcW w:w="400" w:type="dxa"/>
            <w:vAlign w:val="bottom"/>
          </w:tcPr>
          <w:p>
            <w:pPr>
              <w:spacing w:after="0"/>
              <w:rPr>
                <w:color w:val="auto"/>
                <w:sz w:val="14"/>
                <w:szCs w:val="14"/>
              </w:rPr>
            </w:pPr>
          </w:p>
        </w:tc>
        <w:tc>
          <w:tcPr>
            <w:tcW w:w="1120" w:type="dxa"/>
            <w:vAlign w:val="bottom"/>
          </w:tcPr>
          <w:p>
            <w:pPr>
              <w:spacing w:after="0"/>
              <w:rPr>
                <w:color w:val="auto"/>
                <w:sz w:val="14"/>
                <w:szCs w:val="14"/>
              </w:rPr>
            </w:pPr>
          </w:p>
        </w:tc>
        <w:tc>
          <w:tcPr>
            <w:tcW w:w="400" w:type="dxa"/>
            <w:vAlign w:val="bottom"/>
          </w:tcPr>
          <w:p>
            <w:pPr>
              <w:spacing w:after="0"/>
              <w:rPr>
                <w:color w:val="auto"/>
                <w:sz w:val="14"/>
                <w:szCs w:val="14"/>
              </w:rPr>
            </w:pPr>
          </w:p>
        </w:tc>
        <w:tc>
          <w:tcPr>
            <w:tcW w:w="1080" w:type="dxa"/>
            <w:vAlign w:val="bottom"/>
          </w:tcPr>
          <w:p>
            <w:pPr>
              <w:spacing w:after="0"/>
              <w:rPr>
                <w:color w:val="auto"/>
                <w:sz w:val="14"/>
                <w:szCs w:val="14"/>
              </w:rPr>
            </w:pPr>
          </w:p>
        </w:tc>
      </w:tr>
      <w:tr>
        <w:tblPrEx>
          <w:tblInd w:w="0" w:type="dxa"/>
          <w:tblLayout w:type="fixed"/>
        </w:tblPrEx>
        <w:trPr>
          <w:trHeight w:val="153"/>
        </w:trPr>
        <w:tc>
          <w:tcPr>
            <w:tcW w:w="4680" w:type="dxa"/>
            <w:shd w:val="clear" w:color="auto" w:fill="CCEEFF"/>
            <w:vAlign w:val="bottom"/>
          </w:tcPr>
          <w:p>
            <w:pPr>
              <w:spacing w:after="0" w:line="142" w:lineRule="exact"/>
              <w:ind w:left="20"/>
              <w:rPr>
                <w:color w:val="auto"/>
                <w:sz w:val="20"/>
                <w:szCs w:val="20"/>
              </w:rPr>
            </w:pPr>
            <w:r>
              <w:rPr>
                <w:rFonts w:ascii="Calibri" w:eastAsia="Calibri" w:hAnsi="Calibri" w:cs="Calibri"/>
                <w:color w:val="auto"/>
                <w:sz w:val="12"/>
                <w:szCs w:val="12"/>
              </w:rPr>
              <w:t>Cost of products sold</w:t>
            </w:r>
          </w:p>
        </w:tc>
        <w:tc>
          <w:tcPr>
            <w:tcW w:w="24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16,904</w:t>
            </w: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20,415</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17,414</w:t>
            </w:r>
          </w:p>
        </w:tc>
      </w:tr>
      <w:tr>
        <w:tblPrEx>
          <w:tblInd w:w="0" w:type="dxa"/>
          <w:tblLayout w:type="fixed"/>
        </w:tblPrEx>
        <w:trPr>
          <w:trHeight w:val="147"/>
        </w:trPr>
        <w:tc>
          <w:tcPr>
            <w:tcW w:w="4680" w:type="dxa"/>
            <w:vAlign w:val="bottom"/>
          </w:tcPr>
          <w:p>
            <w:pPr>
              <w:spacing w:after="0" w:line="142" w:lineRule="exact"/>
              <w:ind w:left="20"/>
              <w:rPr>
                <w:color w:val="auto"/>
                <w:sz w:val="20"/>
                <w:szCs w:val="20"/>
              </w:rPr>
            </w:pPr>
            <w:r>
              <w:rPr>
                <w:rFonts w:ascii="Calibri" w:eastAsia="Calibri" w:hAnsi="Calibri" w:cs="Calibri"/>
                <w:color w:val="auto"/>
                <w:sz w:val="12"/>
                <w:szCs w:val="12"/>
              </w:rPr>
              <w:t>Selling, general and administratve</w:t>
            </w:r>
          </w:p>
        </w:tc>
        <w:tc>
          <w:tcPr>
            <w:tcW w:w="24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14,752</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12,872</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15,260</w:t>
            </w:r>
          </w:p>
        </w:tc>
      </w:tr>
      <w:tr>
        <w:tblPrEx>
          <w:tblInd w:w="0" w:type="dxa"/>
          <w:tblLayout w:type="fixed"/>
        </w:tblPrEx>
        <w:trPr>
          <w:trHeight w:val="159"/>
        </w:trPr>
        <w:tc>
          <w:tcPr>
            <w:tcW w:w="4680" w:type="dxa"/>
            <w:shd w:val="clear" w:color="auto" w:fill="CCEEFF"/>
            <w:vAlign w:val="bottom"/>
          </w:tcPr>
          <w:p>
            <w:pPr>
              <w:spacing w:after="0"/>
              <w:ind w:left="20"/>
              <w:rPr>
                <w:color w:val="auto"/>
                <w:sz w:val="20"/>
                <w:szCs w:val="20"/>
              </w:rPr>
            </w:pPr>
            <w:r>
              <w:rPr>
                <w:rFonts w:ascii="Calibri" w:eastAsia="Calibri" w:hAnsi="Calibri" w:cs="Calibri"/>
                <w:color w:val="auto"/>
                <w:sz w:val="12"/>
                <w:szCs w:val="12"/>
              </w:rPr>
              <w:t>Research and development</w:t>
            </w:r>
          </w:p>
        </w:tc>
        <w:tc>
          <w:tcPr>
            <w:tcW w:w="24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12,791</w:t>
            </w: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7,675</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6,510</w:t>
            </w:r>
          </w:p>
        </w:tc>
      </w:tr>
      <w:tr>
        <w:tblPrEx>
          <w:tblInd w:w="0" w:type="dxa"/>
          <w:tblLayout w:type="fixed"/>
        </w:tblPrEx>
        <w:trPr>
          <w:trHeight w:val="147"/>
        </w:trPr>
        <w:tc>
          <w:tcPr>
            <w:tcW w:w="4680" w:type="dxa"/>
            <w:vAlign w:val="bottom"/>
          </w:tcPr>
          <w:p>
            <w:pPr>
              <w:spacing w:after="0" w:line="142" w:lineRule="exact"/>
              <w:ind w:left="20"/>
              <w:rPr>
                <w:color w:val="auto"/>
                <w:sz w:val="20"/>
                <w:szCs w:val="20"/>
              </w:rPr>
            </w:pPr>
            <w:r>
              <w:rPr>
                <w:rFonts w:ascii="Calibri" w:eastAsia="Calibri" w:hAnsi="Calibri" w:cs="Calibri"/>
                <w:color w:val="auto"/>
                <w:sz w:val="12"/>
                <w:szCs w:val="12"/>
              </w:rPr>
              <w:t>Acquired IPR&amp;D and milestones</w:t>
            </w:r>
          </w:p>
        </w:tc>
        <w:tc>
          <w:tcPr>
            <w:tcW w:w="24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2,757</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778</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697</w:t>
            </w:r>
          </w:p>
        </w:tc>
      </w:tr>
      <w:tr>
        <w:tblPrEx>
          <w:tblInd w:w="0" w:type="dxa"/>
          <w:tblLayout w:type="fixed"/>
        </w:tblPrEx>
        <w:trPr>
          <w:trHeight w:val="153"/>
        </w:trPr>
        <w:tc>
          <w:tcPr>
            <w:tcW w:w="4680" w:type="dxa"/>
            <w:tcBorders>
              <w:bottom w:val="single" w:sz="8" w:space="0" w:color="auto"/>
            </w:tcBorders>
            <w:shd w:val="clear" w:color="auto" w:fill="CCEEFF"/>
            <w:vAlign w:val="bottom"/>
          </w:tcPr>
          <w:p>
            <w:pPr>
              <w:spacing w:after="0"/>
              <w:ind w:left="20"/>
              <w:rPr>
                <w:color w:val="auto"/>
                <w:sz w:val="20"/>
                <w:szCs w:val="20"/>
              </w:rPr>
            </w:pPr>
            <w:r>
              <w:rPr>
                <w:rFonts w:ascii="Calibri" w:eastAsia="Calibri" w:hAnsi="Calibri" w:cs="Calibri"/>
                <w:color w:val="auto"/>
                <w:sz w:val="12"/>
                <w:szCs w:val="12"/>
              </w:rPr>
              <w:t>Other operatng expense (income), net</w:t>
            </w:r>
          </w:p>
        </w:tc>
        <w:tc>
          <w:tcPr>
            <w:tcW w:w="24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(7)</w:t>
            </w:r>
          </w:p>
        </w:tc>
        <w:tc>
          <w:tcPr>
            <w:tcW w:w="4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(179)</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56</w:t>
            </w:r>
          </w:p>
        </w:tc>
      </w:tr>
      <w:tr>
        <w:tblPrEx>
          <w:tblInd w:w="0" w:type="dxa"/>
          <w:tblLayout w:type="fixed"/>
        </w:tblPrEx>
        <w:trPr>
          <w:trHeight w:val="142"/>
        </w:trPr>
        <w:tc>
          <w:tcPr>
            <w:tcW w:w="4680" w:type="dxa"/>
            <w:tcBorders>
              <w:bottom w:val="single" w:sz="8" w:space="0" w:color="auto"/>
            </w:tcBorders>
            <w:vAlign w:val="bottom"/>
          </w:tcPr>
          <w:p>
            <w:pPr>
              <w:spacing w:after="0" w:line="142" w:lineRule="exact"/>
              <w:ind w:left="20"/>
              <w:rPr>
                <w:color w:val="auto"/>
                <w:sz w:val="20"/>
                <w:szCs w:val="20"/>
              </w:rPr>
            </w:pPr>
            <w:r>
              <w:rPr>
                <w:rFonts w:ascii="Calibri" w:eastAsia="Calibri" w:hAnsi="Calibri" w:cs="Calibri"/>
                <w:color w:val="auto"/>
                <w:sz w:val="12"/>
                <w:szCs w:val="12"/>
              </w:rPr>
              <w:t>Total operatng costs and expenses</w:t>
            </w:r>
          </w:p>
        </w:tc>
        <w:tc>
          <w:tcPr>
            <w:tcW w:w="248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47,197</w:t>
            </w:r>
          </w:p>
        </w:tc>
        <w:tc>
          <w:tcPr>
            <w:tcW w:w="4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41,561</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39,937</w:t>
            </w:r>
          </w:p>
        </w:tc>
      </w:tr>
      <w:tr>
        <w:tblPrEx>
          <w:tblInd w:w="0" w:type="dxa"/>
          <w:tblLayout w:type="fixed"/>
        </w:tblPrEx>
        <w:trPr>
          <w:trHeight w:val="148"/>
        </w:trPr>
        <w:tc>
          <w:tcPr>
            <w:tcW w:w="4680" w:type="dxa"/>
            <w:shd w:val="clear" w:color="auto" w:fill="CCEEFF"/>
            <w:vAlign w:val="bottom"/>
          </w:tcPr>
          <w:p>
            <w:pPr>
              <w:spacing w:after="0" w:line="142" w:lineRule="exact"/>
              <w:ind w:left="20"/>
              <w:rPr>
                <w:color w:val="auto"/>
                <w:sz w:val="20"/>
                <w:szCs w:val="20"/>
              </w:rPr>
            </w:pPr>
            <w:r>
              <w:rPr>
                <w:rFonts w:ascii="Calibri" w:eastAsia="Calibri" w:hAnsi="Calibri" w:cs="Calibri"/>
                <w:color w:val="auto"/>
                <w:sz w:val="12"/>
                <w:szCs w:val="12"/>
              </w:rPr>
              <w:t>Operatng earnings</w:t>
            </w:r>
          </w:p>
        </w:tc>
        <w:tc>
          <w:tcPr>
            <w:tcW w:w="248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9,137</w:t>
            </w:r>
          </w:p>
        </w:tc>
        <w:tc>
          <w:tcPr>
            <w:tcW w:w="40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12,757</w:t>
            </w:r>
          </w:p>
        </w:tc>
        <w:tc>
          <w:tcPr>
            <w:tcW w:w="400" w:type="dxa"/>
            <w:shd w:val="clear" w:color="auto" w:fill="CCEEFF"/>
            <w:vAlign w:val="bottom"/>
          </w:tcPr>
          <w:p>
            <w:pPr>
              <w:spacing w:after="0"/>
              <w:rPr>
                <w:color w:val="auto"/>
                <w:sz w:val="12"/>
                <w:szCs w:val="12"/>
              </w:rPr>
            </w:pP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18,117</w:t>
            </w:r>
          </w:p>
        </w:tc>
      </w:tr>
      <w:tr>
        <w:tblPrEx>
          <w:tblInd w:w="0" w:type="dxa"/>
          <w:tblLayout w:type="fixed"/>
        </w:tblPrEx>
        <w:trPr>
          <w:trHeight w:val="171"/>
        </w:trPr>
        <w:tc>
          <w:tcPr>
            <w:tcW w:w="4680" w:type="dxa"/>
            <w:vAlign w:val="bottom"/>
          </w:tcPr>
          <w:p>
            <w:pPr>
              <w:spacing w:after="0"/>
              <w:rPr>
                <w:color w:val="auto"/>
                <w:sz w:val="14"/>
                <w:szCs w:val="14"/>
              </w:rPr>
            </w:pPr>
          </w:p>
        </w:tc>
        <w:tc>
          <w:tcPr>
            <w:tcW w:w="2480" w:type="dxa"/>
            <w:vAlign w:val="bottom"/>
          </w:tcPr>
          <w:p>
            <w:pPr>
              <w:spacing w:after="0"/>
              <w:rPr>
                <w:color w:val="auto"/>
                <w:sz w:val="14"/>
                <w:szCs w:val="14"/>
              </w:rPr>
            </w:pPr>
          </w:p>
        </w:tc>
        <w:tc>
          <w:tcPr>
            <w:tcW w:w="1120" w:type="dxa"/>
            <w:vAlign w:val="bottom"/>
          </w:tcPr>
          <w:p>
            <w:pPr>
              <w:spacing w:after="0"/>
              <w:rPr>
                <w:color w:val="auto"/>
                <w:sz w:val="14"/>
                <w:szCs w:val="14"/>
              </w:rPr>
            </w:pPr>
          </w:p>
        </w:tc>
        <w:tc>
          <w:tcPr>
            <w:tcW w:w="400" w:type="dxa"/>
            <w:vAlign w:val="bottom"/>
          </w:tcPr>
          <w:p>
            <w:pPr>
              <w:spacing w:after="0"/>
              <w:rPr>
                <w:color w:val="auto"/>
                <w:sz w:val="14"/>
                <w:szCs w:val="14"/>
              </w:rPr>
            </w:pPr>
          </w:p>
        </w:tc>
        <w:tc>
          <w:tcPr>
            <w:tcW w:w="1120" w:type="dxa"/>
            <w:vAlign w:val="bottom"/>
          </w:tcPr>
          <w:p>
            <w:pPr>
              <w:spacing w:after="0"/>
              <w:rPr>
                <w:color w:val="auto"/>
                <w:sz w:val="14"/>
                <w:szCs w:val="14"/>
              </w:rPr>
            </w:pPr>
          </w:p>
        </w:tc>
        <w:tc>
          <w:tcPr>
            <w:tcW w:w="400" w:type="dxa"/>
            <w:vAlign w:val="bottom"/>
          </w:tcPr>
          <w:p>
            <w:pPr>
              <w:spacing w:after="0"/>
              <w:rPr>
                <w:color w:val="auto"/>
                <w:sz w:val="14"/>
                <w:szCs w:val="14"/>
              </w:rPr>
            </w:pPr>
          </w:p>
        </w:tc>
        <w:tc>
          <w:tcPr>
            <w:tcW w:w="1080" w:type="dxa"/>
            <w:vAlign w:val="bottom"/>
          </w:tcPr>
          <w:p>
            <w:pPr>
              <w:spacing w:after="0"/>
              <w:rPr>
                <w:color w:val="auto"/>
                <w:sz w:val="14"/>
                <w:szCs w:val="14"/>
              </w:rPr>
            </w:pPr>
          </w:p>
        </w:tc>
      </w:tr>
      <w:tr>
        <w:tblPrEx>
          <w:tblInd w:w="0" w:type="dxa"/>
          <w:tblLayout w:type="fixed"/>
        </w:tblPrEx>
        <w:trPr>
          <w:trHeight w:val="153"/>
        </w:trPr>
        <w:tc>
          <w:tcPr>
            <w:tcW w:w="4680" w:type="dxa"/>
            <w:shd w:val="clear" w:color="auto" w:fill="CCEEFF"/>
            <w:vAlign w:val="bottom"/>
          </w:tcPr>
          <w:p>
            <w:pPr>
              <w:spacing w:after="0" w:line="142" w:lineRule="exact"/>
              <w:ind w:left="20"/>
              <w:rPr>
                <w:color w:val="auto"/>
                <w:sz w:val="20"/>
                <w:szCs w:val="20"/>
              </w:rPr>
            </w:pPr>
            <w:r>
              <w:rPr>
                <w:rFonts w:ascii="Calibri" w:eastAsia="Calibri" w:hAnsi="Calibri" w:cs="Calibri"/>
                <w:color w:val="auto"/>
                <w:sz w:val="12"/>
                <w:szCs w:val="12"/>
              </w:rPr>
              <w:t>Interest expense, net</w:t>
            </w:r>
          </w:p>
        </w:tc>
        <w:tc>
          <w:tcPr>
            <w:tcW w:w="24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2,160</w:t>
            </w: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1,684</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2,044</w:t>
            </w:r>
          </w:p>
        </w:tc>
      </w:tr>
      <w:tr>
        <w:tblPrEx>
          <w:tblInd w:w="0" w:type="dxa"/>
          <w:tblLayout w:type="fixed"/>
        </w:tblPrEx>
        <w:trPr>
          <w:trHeight w:val="147"/>
        </w:trPr>
        <w:tc>
          <w:tcPr>
            <w:tcW w:w="4680" w:type="dxa"/>
            <w:vAlign w:val="bottom"/>
          </w:tcPr>
          <w:p>
            <w:pPr>
              <w:spacing w:after="0" w:line="142" w:lineRule="exact"/>
              <w:ind w:left="20"/>
              <w:rPr>
                <w:color w:val="auto"/>
                <w:sz w:val="20"/>
                <w:szCs w:val="20"/>
              </w:rPr>
            </w:pPr>
            <w:r>
              <w:rPr>
                <w:rFonts w:ascii="Calibri" w:eastAsia="Calibri" w:hAnsi="Calibri" w:cs="Calibri"/>
                <w:color w:val="auto"/>
                <w:sz w:val="12"/>
                <w:szCs w:val="12"/>
              </w:rPr>
              <w:t>Net foreign exchange loss</w:t>
            </w:r>
          </w:p>
        </w:tc>
        <w:tc>
          <w:tcPr>
            <w:tcW w:w="24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21</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146</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148</w:t>
            </w:r>
          </w:p>
        </w:tc>
      </w:tr>
      <w:tr>
        <w:tblPrEx>
          <w:tblInd w:w="0" w:type="dxa"/>
          <w:tblLayout w:type="fixed"/>
        </w:tblPrEx>
        <w:trPr>
          <w:trHeight w:val="153"/>
        </w:trPr>
        <w:tc>
          <w:tcPr>
            <w:tcW w:w="4680" w:type="dxa"/>
            <w:tcBorders>
              <w:bottom w:val="single" w:sz="8" w:space="0" w:color="auto"/>
            </w:tcBorders>
            <w:shd w:val="clear" w:color="auto" w:fill="CCEEFF"/>
            <w:vAlign w:val="bottom"/>
          </w:tcPr>
          <w:p>
            <w:pPr>
              <w:spacing w:after="0"/>
              <w:ind w:left="20"/>
              <w:rPr>
                <w:color w:val="auto"/>
                <w:sz w:val="20"/>
                <w:szCs w:val="20"/>
              </w:rPr>
            </w:pPr>
            <w:r>
              <w:rPr>
                <w:rFonts w:ascii="Calibri" w:eastAsia="Calibri" w:hAnsi="Calibri" w:cs="Calibri"/>
                <w:color w:val="auto"/>
                <w:sz w:val="12"/>
                <w:szCs w:val="12"/>
              </w:rPr>
              <w:t>Other expense, net</w:t>
            </w:r>
          </w:p>
        </w:tc>
        <w:tc>
          <w:tcPr>
            <w:tcW w:w="24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3,240</w:t>
            </w:r>
          </w:p>
        </w:tc>
        <w:tc>
          <w:tcPr>
            <w:tcW w:w="4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4,677</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2,448</w:t>
            </w:r>
          </w:p>
        </w:tc>
      </w:tr>
      <w:tr>
        <w:tblPrEx>
          <w:tblInd w:w="0" w:type="dxa"/>
          <w:tblLayout w:type="fixed"/>
        </w:tblPrEx>
        <w:trPr>
          <w:trHeight w:val="142"/>
        </w:trPr>
        <w:tc>
          <w:tcPr>
            <w:tcW w:w="4680" w:type="dxa"/>
            <w:vAlign w:val="bottom"/>
          </w:tcPr>
          <w:p>
            <w:pPr>
              <w:spacing w:after="0" w:line="142" w:lineRule="exact"/>
              <w:ind w:left="20"/>
              <w:rPr>
                <w:color w:val="auto"/>
                <w:sz w:val="20"/>
                <w:szCs w:val="20"/>
              </w:rPr>
            </w:pPr>
            <w:r>
              <w:rPr>
                <w:rFonts w:ascii="Calibri" w:eastAsia="Calibri" w:hAnsi="Calibri" w:cs="Calibri"/>
                <w:color w:val="auto"/>
                <w:sz w:val="12"/>
                <w:szCs w:val="12"/>
              </w:rPr>
              <w:t>Earnings before income tax expense</w:t>
            </w:r>
          </w:p>
        </w:tc>
        <w:tc>
          <w:tcPr>
            <w:tcW w:w="24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3,716</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6,250</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13,477</w:t>
            </w:r>
          </w:p>
        </w:tc>
      </w:tr>
      <w:tr>
        <w:tblPrEx>
          <w:tblInd w:w="0" w:type="dxa"/>
          <w:tblLayout w:type="fixed"/>
        </w:tblPrEx>
        <w:trPr>
          <w:trHeight w:val="153"/>
        </w:trPr>
        <w:tc>
          <w:tcPr>
            <w:tcW w:w="4680" w:type="dxa"/>
            <w:tcBorders>
              <w:bottom w:val="single" w:sz="8" w:space="0" w:color="auto"/>
            </w:tcBorders>
            <w:shd w:val="clear" w:color="auto" w:fill="CCEEFF"/>
            <w:vAlign w:val="bottom"/>
          </w:tcPr>
          <w:p>
            <w:pPr>
              <w:spacing w:after="0"/>
              <w:ind w:left="20"/>
              <w:rPr>
                <w:color w:val="auto"/>
                <w:sz w:val="20"/>
                <w:szCs w:val="20"/>
              </w:rPr>
            </w:pPr>
            <w:r>
              <w:rPr>
                <w:rFonts w:ascii="Calibri" w:eastAsia="Calibri" w:hAnsi="Calibri" w:cs="Calibri"/>
                <w:color w:val="auto"/>
                <w:sz w:val="12"/>
                <w:szCs w:val="12"/>
              </w:rPr>
              <w:t>Income tax expense (beneft)</w:t>
            </w:r>
          </w:p>
        </w:tc>
        <w:tc>
          <w:tcPr>
            <w:tcW w:w="24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(570)</w:t>
            </w:r>
          </w:p>
        </w:tc>
        <w:tc>
          <w:tcPr>
            <w:tcW w:w="4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1,377</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1,632</w:t>
            </w:r>
          </w:p>
        </w:tc>
      </w:tr>
      <w:tr>
        <w:tblPrEx>
          <w:tblInd w:w="0" w:type="dxa"/>
          <w:tblLayout w:type="fixed"/>
        </w:tblPrEx>
        <w:trPr>
          <w:trHeight w:val="142"/>
        </w:trPr>
        <w:tc>
          <w:tcPr>
            <w:tcW w:w="4680" w:type="dxa"/>
            <w:vAlign w:val="bottom"/>
          </w:tcPr>
          <w:p>
            <w:pPr>
              <w:spacing w:after="0" w:line="142" w:lineRule="exact"/>
              <w:ind w:left="20"/>
              <w:rPr>
                <w:color w:val="auto"/>
                <w:sz w:val="20"/>
                <w:szCs w:val="20"/>
              </w:rPr>
            </w:pPr>
            <w:r>
              <w:rPr>
                <w:rFonts w:ascii="Calibri" w:eastAsia="Calibri" w:hAnsi="Calibri" w:cs="Calibri"/>
                <w:color w:val="auto"/>
                <w:sz w:val="12"/>
                <w:szCs w:val="12"/>
              </w:rPr>
              <w:t>Net earnings</w:t>
            </w:r>
          </w:p>
        </w:tc>
        <w:tc>
          <w:tcPr>
            <w:tcW w:w="24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4,286</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4,873</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11,845</w:t>
            </w:r>
          </w:p>
        </w:tc>
      </w:tr>
      <w:tr>
        <w:tblPrEx>
          <w:tblInd w:w="0" w:type="dxa"/>
          <w:tblLayout w:type="fixed"/>
        </w:tblPrEx>
        <w:trPr>
          <w:trHeight w:val="153"/>
        </w:trPr>
        <w:tc>
          <w:tcPr>
            <w:tcW w:w="4680" w:type="dxa"/>
            <w:tcBorders>
              <w:bottom w:val="single" w:sz="8" w:space="0" w:color="auto"/>
            </w:tcBorders>
            <w:shd w:val="clear" w:color="auto" w:fill="CCEEFF"/>
            <w:vAlign w:val="bottom"/>
          </w:tcPr>
          <w:p>
            <w:pPr>
              <w:spacing w:after="0"/>
              <w:ind w:left="20"/>
              <w:rPr>
                <w:color w:val="auto"/>
                <w:sz w:val="20"/>
                <w:szCs w:val="20"/>
              </w:rPr>
            </w:pPr>
            <w:r>
              <w:rPr>
                <w:rFonts w:ascii="Calibri" w:eastAsia="Calibri" w:hAnsi="Calibri" w:cs="Calibri"/>
                <w:color w:val="auto"/>
                <w:sz w:val="12"/>
                <w:szCs w:val="12"/>
              </w:rPr>
              <w:t>Net earnings atributable to noncontrolling interest</w:t>
            </w:r>
          </w:p>
        </w:tc>
        <w:tc>
          <w:tcPr>
            <w:tcW w:w="24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8</w:t>
            </w:r>
          </w:p>
        </w:tc>
        <w:tc>
          <w:tcPr>
            <w:tcW w:w="4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10</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9</w:t>
            </w:r>
          </w:p>
        </w:tc>
      </w:tr>
      <w:tr>
        <w:tblPrEx>
          <w:tblInd w:w="0" w:type="dxa"/>
          <w:tblLayout w:type="fixed"/>
        </w:tblPrEx>
        <w:trPr>
          <w:trHeight w:val="164"/>
        </w:trPr>
        <w:tc>
          <w:tcPr>
            <w:tcW w:w="4680" w:type="dxa"/>
            <w:tcBorders>
              <w:bottom w:val="single" w:sz="8" w:space="0" w:color="auto"/>
            </w:tcBorders>
            <w:vAlign w:val="bottom"/>
          </w:tcPr>
          <w:p>
            <w:pPr>
              <w:spacing w:after="0" w:line="142" w:lineRule="exact"/>
              <w:ind w:left="20"/>
              <w:rPr>
                <w:color w:val="auto"/>
                <w:sz w:val="20"/>
                <w:szCs w:val="20"/>
              </w:rPr>
            </w:pPr>
            <w:r>
              <w:rPr>
                <w:rFonts w:ascii="Calibri" w:eastAsia="Calibri" w:hAnsi="Calibri" w:cs="Calibri"/>
                <w:b/>
                <w:bCs/>
                <w:color w:val="auto"/>
                <w:sz w:val="12"/>
                <w:szCs w:val="12"/>
              </w:rPr>
              <w:t>Net earnings atributable to AbbVie Inc.</w:t>
            </w:r>
          </w:p>
        </w:tc>
        <w:tc>
          <w:tcPr>
            <w:tcW w:w="248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4,278</w:t>
            </w: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4,863</w:t>
            </w: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11,836</w:t>
            </w:r>
          </w:p>
        </w:tc>
      </w:tr>
      <w:tr>
        <w:tblPrEx>
          <w:tblInd w:w="0" w:type="dxa"/>
          <w:tblLayout w:type="fixed"/>
        </w:tblPrEx>
        <w:trPr>
          <w:trHeight w:val="153"/>
        </w:trPr>
        <w:tc>
          <w:tcPr>
            <w:tcW w:w="4680" w:type="dxa"/>
            <w:shd w:val="clear" w:color="auto" w:fill="CCEEFF"/>
            <w:vAlign w:val="bottom"/>
          </w:tcPr>
          <w:p>
            <w:pPr>
              <w:spacing w:after="0"/>
              <w:rPr>
                <w:color w:val="auto"/>
                <w:sz w:val="13"/>
                <w:szCs w:val="13"/>
              </w:rPr>
            </w:pPr>
          </w:p>
        </w:tc>
        <w:tc>
          <w:tcPr>
            <w:tcW w:w="24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rPr>
                <w:color w:val="auto"/>
                <w:sz w:val="13"/>
                <w:szCs w:val="13"/>
              </w:rPr>
            </w:pPr>
          </w:p>
        </w:tc>
      </w:tr>
      <w:tr>
        <w:tblPrEx>
          <w:tblInd w:w="0" w:type="dxa"/>
          <w:tblLayout w:type="fixed"/>
        </w:tblPrEx>
        <w:trPr>
          <w:trHeight w:val="147"/>
        </w:trPr>
        <w:tc>
          <w:tcPr>
            <w:tcW w:w="4680" w:type="dxa"/>
            <w:tcBorders>
              <w:bottom w:val="single" w:sz="8" w:space="0" w:color="auto"/>
            </w:tcBorders>
            <w:vAlign w:val="bottom"/>
          </w:tcPr>
          <w:p>
            <w:pPr>
              <w:spacing w:after="0" w:line="142" w:lineRule="exact"/>
              <w:ind w:left="20"/>
              <w:rPr>
                <w:color w:val="auto"/>
                <w:sz w:val="20"/>
                <w:szCs w:val="20"/>
              </w:rPr>
            </w:pPr>
            <w:r>
              <w:rPr>
                <w:rFonts w:ascii="Calibri" w:eastAsia="Calibri" w:hAnsi="Calibri" w:cs="Calibri"/>
                <w:b/>
                <w:bCs/>
                <w:color w:val="auto"/>
                <w:sz w:val="12"/>
                <w:szCs w:val="12"/>
              </w:rPr>
              <w:t>Per share data</w:t>
            </w:r>
          </w:p>
        </w:tc>
        <w:tc>
          <w:tcPr>
            <w:tcW w:w="248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rPr>
                <w:color w:val="auto"/>
                <w:sz w:val="12"/>
                <w:szCs w:val="12"/>
              </w:rPr>
            </w:pPr>
          </w:p>
        </w:tc>
        <w:tc>
          <w:tcPr>
            <w:tcW w:w="4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rPr>
                <w:color w:val="auto"/>
                <w:sz w:val="12"/>
                <w:szCs w:val="12"/>
              </w:rPr>
            </w:pP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rPr>
                <w:color w:val="auto"/>
                <w:sz w:val="12"/>
                <w:szCs w:val="12"/>
              </w:rPr>
            </w:pPr>
          </w:p>
        </w:tc>
      </w:tr>
      <w:tr>
        <w:tblPrEx>
          <w:tblInd w:w="0" w:type="dxa"/>
          <w:tblLayout w:type="fixed"/>
        </w:tblPrEx>
        <w:trPr>
          <w:trHeight w:val="148"/>
        </w:trPr>
        <w:tc>
          <w:tcPr>
            <w:tcW w:w="4680" w:type="dxa"/>
            <w:shd w:val="clear" w:color="auto" w:fill="CCEEFF"/>
            <w:vAlign w:val="bottom"/>
          </w:tcPr>
          <w:p>
            <w:pPr>
              <w:spacing w:after="0" w:line="142" w:lineRule="exact"/>
              <w:ind w:left="20"/>
              <w:rPr>
                <w:color w:val="auto"/>
                <w:sz w:val="20"/>
                <w:szCs w:val="20"/>
              </w:rPr>
            </w:pPr>
            <w:r>
              <w:rPr>
                <w:rFonts w:ascii="Calibri" w:eastAsia="Calibri" w:hAnsi="Calibri" w:cs="Calibri"/>
                <w:color w:val="auto"/>
                <w:sz w:val="12"/>
                <w:szCs w:val="12"/>
              </w:rPr>
              <w:t>Basic earnings per share atributable to AbbVie Inc.</w:t>
            </w:r>
          </w:p>
        </w:tc>
        <w:tc>
          <w:tcPr>
            <w:tcW w:w="248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2.40</w:t>
            </w: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2.73</w:t>
            </w: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6.65</w:t>
            </w:r>
          </w:p>
        </w:tc>
      </w:tr>
      <w:tr>
        <w:tblPrEx>
          <w:tblInd w:w="0" w:type="dxa"/>
          <w:tblLayout w:type="fixed"/>
        </w:tblPrEx>
        <w:trPr>
          <w:trHeight w:val="147"/>
        </w:trPr>
        <w:tc>
          <w:tcPr>
            <w:tcW w:w="4680" w:type="dxa"/>
            <w:tcBorders>
              <w:bottom w:val="single" w:sz="8" w:space="0" w:color="auto"/>
            </w:tcBorders>
            <w:vAlign w:val="bottom"/>
          </w:tcPr>
          <w:p>
            <w:pPr>
              <w:spacing w:after="0" w:line="142" w:lineRule="exact"/>
              <w:ind w:left="20"/>
              <w:rPr>
                <w:color w:val="auto"/>
                <w:sz w:val="20"/>
                <w:szCs w:val="20"/>
              </w:rPr>
            </w:pPr>
            <w:r>
              <w:rPr>
                <w:rFonts w:ascii="Calibri" w:eastAsia="Calibri" w:hAnsi="Calibri" w:cs="Calibri"/>
                <w:color w:val="auto"/>
                <w:sz w:val="12"/>
                <w:szCs w:val="12"/>
              </w:rPr>
              <w:t>Diluted earnings per share atributable to AbbVie Inc.</w:t>
            </w:r>
          </w:p>
        </w:tc>
        <w:tc>
          <w:tcPr>
            <w:tcW w:w="248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2.39</w:t>
            </w: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2.72</w:t>
            </w: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6.63</w:t>
            </w:r>
          </w:p>
        </w:tc>
      </w:tr>
      <w:tr>
        <w:tblPrEx>
          <w:tblInd w:w="0" w:type="dxa"/>
          <w:tblLayout w:type="fixed"/>
        </w:tblPrEx>
        <w:trPr>
          <w:trHeight w:val="157"/>
        </w:trPr>
        <w:tc>
          <w:tcPr>
            <w:tcW w:w="4680" w:type="dxa"/>
            <w:shd w:val="clear" w:color="auto" w:fill="CCEEFF"/>
            <w:vAlign w:val="bottom"/>
          </w:tcPr>
          <w:p>
            <w:pPr>
              <w:spacing w:after="0"/>
              <w:rPr>
                <w:color w:val="auto"/>
                <w:sz w:val="13"/>
                <w:szCs w:val="13"/>
              </w:rPr>
            </w:pPr>
          </w:p>
        </w:tc>
        <w:tc>
          <w:tcPr>
            <w:tcW w:w="24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rPr>
                <w:color w:val="auto"/>
                <w:sz w:val="13"/>
                <w:szCs w:val="13"/>
              </w:rPr>
            </w:pPr>
          </w:p>
        </w:tc>
      </w:tr>
      <w:tr>
        <w:tblPrEx>
          <w:tblInd w:w="0" w:type="dxa"/>
          <w:tblLayout w:type="fixed"/>
        </w:tblPrEx>
        <w:trPr>
          <w:trHeight w:val="147"/>
        </w:trPr>
        <w:tc>
          <w:tcPr>
            <w:tcW w:w="4680" w:type="dxa"/>
            <w:vAlign w:val="bottom"/>
          </w:tcPr>
          <w:p>
            <w:pPr>
              <w:spacing w:after="0" w:line="142" w:lineRule="exact"/>
              <w:ind w:left="20"/>
              <w:rPr>
                <w:color w:val="auto"/>
                <w:sz w:val="20"/>
                <w:szCs w:val="20"/>
              </w:rPr>
            </w:pPr>
            <w:r>
              <w:rPr>
                <w:rFonts w:ascii="Calibri" w:eastAsia="Calibri" w:hAnsi="Calibri" w:cs="Calibri"/>
                <w:color w:val="auto"/>
                <w:sz w:val="12"/>
                <w:szCs w:val="12"/>
              </w:rPr>
              <w:t>Weighted-average basic shares outstanding</w:t>
            </w:r>
          </w:p>
        </w:tc>
        <w:tc>
          <w:tcPr>
            <w:tcW w:w="24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1,769</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1,768</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1,771</w:t>
            </w:r>
          </w:p>
        </w:tc>
      </w:tr>
      <w:tr>
        <w:tblPrEx>
          <w:tblInd w:w="0" w:type="dxa"/>
          <w:tblLayout w:type="fixed"/>
        </w:tblPrEx>
        <w:trPr>
          <w:trHeight w:val="153"/>
        </w:trPr>
        <w:tc>
          <w:tcPr>
            <w:tcW w:w="4680" w:type="dxa"/>
            <w:tcBorders>
              <w:bottom w:val="single" w:sz="8" w:space="0" w:color="auto"/>
            </w:tcBorders>
            <w:shd w:val="clear" w:color="auto" w:fill="CCEEFF"/>
            <w:vAlign w:val="bottom"/>
          </w:tcPr>
          <w:p>
            <w:pPr>
              <w:spacing w:after="0"/>
              <w:ind w:left="20"/>
              <w:rPr>
                <w:color w:val="auto"/>
                <w:sz w:val="20"/>
                <w:szCs w:val="20"/>
              </w:rPr>
            </w:pPr>
            <w:r>
              <w:rPr>
                <w:rFonts w:ascii="Calibri" w:eastAsia="Calibri" w:hAnsi="Calibri" w:cs="Calibri"/>
                <w:color w:val="auto"/>
                <w:sz w:val="12"/>
                <w:szCs w:val="12"/>
              </w:rPr>
              <w:t>Weighted-average diluted shares outstanding</w:t>
            </w:r>
          </w:p>
        </w:tc>
        <w:tc>
          <w:tcPr>
            <w:tcW w:w="24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1,773</w:t>
            </w:r>
          </w:p>
        </w:tc>
        <w:tc>
          <w:tcPr>
            <w:tcW w:w="4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1,773</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1,778</w:t>
            </w:r>
          </w:p>
        </w:tc>
      </w:tr>
    </w:tbl>
    <w:p>
      <w:pPr>
        <w:spacing w:after="0" w:line="206" w:lineRule="exact"/>
        <w:rPr>
          <w:color w:val="auto"/>
          <w:sz w:val="20"/>
          <w:szCs w:val="20"/>
        </w:rPr>
      </w:pPr>
    </w:p>
    <w:p>
      <w:pPr>
        <w:spacing w:after="0"/>
        <w:jc w:val="center"/>
        <w:rPr>
          <w:color w:val="auto"/>
          <w:sz w:val="20"/>
          <w:szCs w:val="20"/>
        </w:rPr>
      </w:pPr>
      <w:r>
        <w:rPr>
          <w:rFonts w:ascii="Calibri" w:eastAsia="Calibri" w:hAnsi="Calibri" w:cs="Calibri"/>
          <w:color w:val="auto"/>
          <w:sz w:val="12"/>
          <w:szCs w:val="12"/>
        </w:rPr>
        <w:t>The accompanying notes are an integral part of these consolidated fnancial statements.</w:t>
      </w:r>
    </w:p>
    <w:p>
      <w:pPr>
        <w:spacing w:after="0" w:line="267"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51</w:t>
      </w:r>
      <w:r>
        <w:rPr>
          <w:color w:val="auto"/>
          <w:sz w:val="20"/>
          <w:szCs w:val="20"/>
        </w:rPr>
        <w:tab/>
      </w:r>
      <w:r>
        <w:rPr>
          <w:color w:val="auto"/>
          <w:sz w:val="1"/>
          <w:szCs w:val="1"/>
        </w:rPr>
        <w:drawing>
          <wp:inline distT="0" distB="0" distL="0" distR="0">
            <wp:extent cx="400050" cy="7429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89312" behindDoc="1" locked="0" layoutInCell="0" allowOverlap="1">
            <wp:simplePos x="0" y="0"/>
            <wp:positionH relativeFrom="column">
              <wp:posOffset>-17145</wp:posOffset>
            </wp:positionH>
            <wp:positionV relativeFrom="paragraph">
              <wp:posOffset>133985</wp:posOffset>
            </wp:positionV>
            <wp:extent cx="7203440" cy="3683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661" w:right="319" w:bottom="1440" w:left="300" w:header="0" w:footer="0" w:gutter="0"/>
          <w:cols w:num="1" w:space="720" w:equalWidth="0">
            <w:col w:w="11280" w:space="0"/>
          </w:cols>
        </w:sectPr>
      </w:pPr>
    </w:p>
    <w:bookmarkStart w:id="53" w:name="page54"/>
    <w:bookmarkEnd w:id="53"/>
    <w:p>
      <w:pPr>
        <w:spacing w:after="0"/>
        <w:rPr>
          <w:color w:val="auto"/>
          <w:sz w:val="20"/>
          <w:szCs w:val="20"/>
        </w:rPr>
      </w:pPr>
      <w:r>
        <w:rPr>
          <w:rFonts w:ascii="Calibri" w:eastAsia="Calibri" w:hAnsi="Calibri" w:cs="Calibri"/>
          <w:b/>
          <w:bCs/>
          <w:color w:val="444867"/>
          <w:sz w:val="14"/>
          <w:szCs w:val="14"/>
        </w:rPr>
        <w:t>AbbVie Inc. and Subsidiaries</w:t>
      </w:r>
    </w:p>
    <w:p>
      <w:pPr>
        <w:spacing w:after="0"/>
        <w:rPr>
          <w:color w:val="auto"/>
          <w:sz w:val="20"/>
          <w:szCs w:val="20"/>
        </w:rPr>
      </w:pPr>
      <w:r>
        <w:rPr>
          <w:rFonts w:ascii="Calibri" w:eastAsia="Calibri" w:hAnsi="Calibri" w:cs="Calibri"/>
          <w:b/>
          <w:bCs/>
          <w:color w:val="444867"/>
          <w:sz w:val="14"/>
          <w:szCs w:val="14"/>
        </w:rPr>
        <w:t>Consolidated Statements of Comprehensive Income</w:t>
      </w:r>
    </w:p>
    <w:p>
      <w:pPr>
        <w:spacing w:after="0" w:line="181" w:lineRule="exact"/>
        <w:rPr>
          <w:color w:val="auto"/>
          <w:sz w:val="20"/>
          <w:szCs w:val="20"/>
        </w:rPr>
      </w:pPr>
    </w:p>
    <w:tbl>
      <w:tblPr>
        <w:tblInd w:w="0" w:type="dxa"/>
        <w:tblLayout w:type="fixed"/>
        <w:tblCellMar>
          <w:top w:w="0" w:type="dxa"/>
          <w:left w:w="0" w:type="dxa"/>
          <w:bottom w:w="0" w:type="dxa"/>
          <w:right w:w="0" w:type="dxa"/>
        </w:tblCellMar>
      </w:tblPr>
      <w:tblGrid>
        <w:gridCol w:w="6200"/>
        <w:gridCol w:w="1540"/>
        <w:gridCol w:w="540"/>
        <w:gridCol w:w="1020"/>
        <w:gridCol w:w="500"/>
        <w:gridCol w:w="400"/>
        <w:gridCol w:w="1080"/>
      </w:tblGrid>
      <w:tr>
        <w:tblPrEx>
          <w:tblInd w:w="0" w:type="dxa"/>
          <w:tblLayout w:type="fixed"/>
        </w:tblPrEx>
        <w:trPr>
          <w:trHeight w:val="122"/>
        </w:trPr>
        <w:tc>
          <w:tcPr>
            <w:tcW w:w="6200" w:type="dxa"/>
            <w:vAlign w:val="bottom"/>
          </w:tcPr>
          <w:p>
            <w:pPr>
              <w:spacing w:after="0"/>
              <w:ind w:left="20"/>
              <w:rPr>
                <w:color w:val="auto"/>
                <w:sz w:val="20"/>
                <w:szCs w:val="20"/>
              </w:rPr>
            </w:pPr>
            <w:r>
              <w:rPr>
                <w:rFonts w:ascii="Calibri" w:eastAsia="Calibri" w:hAnsi="Calibri" w:cs="Calibri"/>
                <w:b/>
                <w:bCs/>
                <w:color w:val="auto"/>
                <w:sz w:val="10"/>
                <w:szCs w:val="10"/>
              </w:rPr>
              <w:t>years ended December 31 (in millions)</w:t>
            </w:r>
          </w:p>
        </w:tc>
        <w:tc>
          <w:tcPr>
            <w:tcW w:w="1540" w:type="dxa"/>
            <w:vAlign w:val="bottom"/>
          </w:tcPr>
          <w:p>
            <w:pPr>
              <w:spacing w:after="0"/>
              <w:ind w:right="63"/>
              <w:jc w:val="right"/>
              <w:rPr>
                <w:color w:val="auto"/>
                <w:sz w:val="20"/>
                <w:szCs w:val="20"/>
              </w:rPr>
            </w:pPr>
            <w:r>
              <w:rPr>
                <w:rFonts w:ascii="Calibri" w:eastAsia="Calibri" w:hAnsi="Calibri" w:cs="Calibri"/>
                <w:b/>
                <w:bCs/>
                <w:color w:val="auto"/>
                <w:sz w:val="10"/>
                <w:szCs w:val="10"/>
              </w:rPr>
              <w:t>2024</w:t>
            </w:r>
          </w:p>
        </w:tc>
        <w:tc>
          <w:tcPr>
            <w:tcW w:w="540" w:type="dxa"/>
            <w:vAlign w:val="bottom"/>
          </w:tcPr>
          <w:p>
            <w:pPr>
              <w:spacing w:after="0"/>
              <w:rPr>
                <w:color w:val="auto"/>
                <w:sz w:val="10"/>
                <w:szCs w:val="10"/>
              </w:rPr>
            </w:pPr>
          </w:p>
        </w:tc>
        <w:tc>
          <w:tcPr>
            <w:tcW w:w="1020" w:type="dxa"/>
            <w:vAlign w:val="bottom"/>
          </w:tcPr>
          <w:p>
            <w:pPr>
              <w:spacing w:after="0"/>
              <w:ind w:right="103"/>
              <w:jc w:val="right"/>
              <w:rPr>
                <w:color w:val="auto"/>
                <w:sz w:val="20"/>
                <w:szCs w:val="20"/>
              </w:rPr>
            </w:pPr>
            <w:r>
              <w:rPr>
                <w:rFonts w:ascii="Calibri" w:eastAsia="Calibri" w:hAnsi="Calibri" w:cs="Calibri"/>
                <w:b/>
                <w:bCs/>
                <w:color w:val="auto"/>
                <w:sz w:val="10"/>
                <w:szCs w:val="10"/>
              </w:rPr>
              <w:t>2023</w:t>
            </w:r>
          </w:p>
        </w:tc>
        <w:tc>
          <w:tcPr>
            <w:tcW w:w="500" w:type="dxa"/>
            <w:vAlign w:val="bottom"/>
          </w:tcPr>
          <w:p>
            <w:pPr>
              <w:spacing w:after="0"/>
              <w:rPr>
                <w:color w:val="auto"/>
                <w:sz w:val="10"/>
                <w:szCs w:val="10"/>
              </w:rPr>
            </w:pPr>
          </w:p>
        </w:tc>
        <w:tc>
          <w:tcPr>
            <w:tcW w:w="400" w:type="dxa"/>
            <w:vAlign w:val="bottom"/>
          </w:tcPr>
          <w:p>
            <w:pPr>
              <w:spacing w:after="0"/>
              <w:rPr>
                <w:color w:val="auto"/>
                <w:sz w:val="10"/>
                <w:szCs w:val="10"/>
              </w:rPr>
            </w:pPr>
          </w:p>
        </w:tc>
        <w:tc>
          <w:tcPr>
            <w:tcW w:w="1080" w:type="dxa"/>
            <w:vAlign w:val="bottom"/>
          </w:tcPr>
          <w:p>
            <w:pPr>
              <w:spacing w:after="0"/>
              <w:ind w:right="561"/>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6200" w:type="dxa"/>
            <w:tcBorders>
              <w:bottom w:val="single" w:sz="8" w:space="0" w:color="auto"/>
            </w:tcBorders>
            <w:vAlign w:val="bottom"/>
          </w:tcPr>
          <w:p>
            <w:pPr>
              <w:spacing w:after="0"/>
              <w:rPr>
                <w:color w:val="auto"/>
                <w:sz w:val="2"/>
                <w:szCs w:val="2"/>
              </w:rPr>
            </w:pPr>
          </w:p>
        </w:tc>
        <w:tc>
          <w:tcPr>
            <w:tcW w:w="1540" w:type="dxa"/>
            <w:tcBorders>
              <w:bottom w:val="single" w:sz="8" w:space="0" w:color="auto"/>
            </w:tcBorders>
            <w:vAlign w:val="bottom"/>
          </w:tcPr>
          <w:p>
            <w:pPr>
              <w:spacing w:after="0"/>
              <w:rPr>
                <w:color w:val="auto"/>
                <w:sz w:val="2"/>
                <w:szCs w:val="2"/>
              </w:rPr>
            </w:pPr>
          </w:p>
        </w:tc>
        <w:tc>
          <w:tcPr>
            <w:tcW w:w="540" w:type="dxa"/>
            <w:tcBorders>
              <w:bottom w:val="single" w:sz="8" w:space="0" w:color="auto"/>
            </w:tcBorders>
            <w:vAlign w:val="bottom"/>
          </w:tcPr>
          <w:p>
            <w:pPr>
              <w:spacing w:after="0"/>
              <w:rPr>
                <w:color w:val="auto"/>
                <w:sz w:val="2"/>
                <w:szCs w:val="2"/>
              </w:rPr>
            </w:pPr>
          </w:p>
        </w:tc>
        <w:tc>
          <w:tcPr>
            <w:tcW w:w="1020" w:type="dxa"/>
            <w:tcBorders>
              <w:bottom w:val="single" w:sz="8" w:space="0" w:color="auto"/>
            </w:tcBorders>
            <w:vAlign w:val="bottom"/>
          </w:tcPr>
          <w:p>
            <w:pPr>
              <w:spacing w:after="0"/>
              <w:rPr>
                <w:color w:val="auto"/>
                <w:sz w:val="2"/>
                <w:szCs w:val="2"/>
              </w:rPr>
            </w:pPr>
          </w:p>
        </w:tc>
        <w:tc>
          <w:tcPr>
            <w:tcW w:w="50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6200" w:type="dxa"/>
            <w:shd w:val="clear" w:color="auto" w:fill="CCEEFF"/>
            <w:vAlign w:val="bottom"/>
          </w:tcPr>
          <w:p>
            <w:pPr>
              <w:spacing w:after="0" w:line="142" w:lineRule="exact"/>
              <w:ind w:left="20"/>
              <w:rPr>
                <w:color w:val="auto"/>
                <w:sz w:val="20"/>
                <w:szCs w:val="20"/>
              </w:rPr>
            </w:pPr>
            <w:r>
              <w:rPr>
                <w:rFonts w:ascii="Calibri" w:eastAsia="Calibri" w:hAnsi="Calibri" w:cs="Calibri"/>
                <w:b/>
                <w:bCs/>
                <w:color w:val="auto"/>
                <w:sz w:val="12"/>
                <w:szCs w:val="12"/>
              </w:rPr>
              <w:t>Net earnings</w:t>
            </w:r>
          </w:p>
        </w:tc>
        <w:tc>
          <w:tcPr>
            <w:tcW w:w="1540" w:type="dxa"/>
            <w:shd w:val="clear" w:color="auto" w:fill="CCEEFF"/>
            <w:vAlign w:val="bottom"/>
          </w:tcPr>
          <w:p>
            <w:pPr>
              <w:spacing w:after="0" w:line="142" w:lineRule="exact"/>
              <w:ind w:right="803"/>
              <w:jc w:val="right"/>
              <w:rPr>
                <w:color w:val="auto"/>
                <w:sz w:val="20"/>
                <w:szCs w:val="20"/>
              </w:rPr>
            </w:pPr>
            <w:r>
              <w:rPr>
                <w:rFonts w:ascii="Calibri" w:eastAsia="Calibri" w:hAnsi="Calibri" w:cs="Calibri"/>
                <w:color w:val="auto"/>
                <w:sz w:val="12"/>
                <w:szCs w:val="12"/>
              </w:rPr>
              <w:t>$</w:t>
            </w:r>
          </w:p>
        </w:tc>
        <w:tc>
          <w:tcPr>
            <w:tcW w:w="54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4,286</w:t>
            </w:r>
          </w:p>
        </w:tc>
        <w:tc>
          <w:tcPr>
            <w:tcW w:w="1020" w:type="dxa"/>
            <w:shd w:val="clear" w:color="auto" w:fill="CCEEFF"/>
            <w:vAlign w:val="bottom"/>
          </w:tcPr>
          <w:p>
            <w:pPr>
              <w:spacing w:after="0" w:line="142" w:lineRule="exact"/>
              <w:ind w:right="843"/>
              <w:jc w:val="right"/>
              <w:rPr>
                <w:color w:val="auto"/>
                <w:sz w:val="20"/>
                <w:szCs w:val="20"/>
              </w:rPr>
            </w:pPr>
            <w:r>
              <w:rPr>
                <w:rFonts w:ascii="Calibri" w:eastAsia="Calibri" w:hAnsi="Calibri" w:cs="Calibri"/>
                <w:color w:val="auto"/>
                <w:sz w:val="12"/>
                <w:szCs w:val="12"/>
              </w:rPr>
              <w:t>$</w:t>
            </w:r>
          </w:p>
        </w:tc>
        <w:tc>
          <w:tcPr>
            <w:tcW w:w="50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4,873</w:t>
            </w: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11,845</w:t>
            </w:r>
          </w:p>
        </w:tc>
      </w:tr>
      <w:tr>
        <w:tblPrEx>
          <w:tblInd w:w="0" w:type="dxa"/>
          <w:tblLayout w:type="fixed"/>
        </w:tblPrEx>
        <w:trPr>
          <w:trHeight w:val="171"/>
        </w:trPr>
        <w:tc>
          <w:tcPr>
            <w:tcW w:w="6200" w:type="dxa"/>
            <w:vAlign w:val="bottom"/>
          </w:tcPr>
          <w:p>
            <w:pPr>
              <w:spacing w:after="0"/>
              <w:rPr>
                <w:color w:val="auto"/>
                <w:sz w:val="14"/>
                <w:szCs w:val="14"/>
              </w:rPr>
            </w:pPr>
          </w:p>
        </w:tc>
        <w:tc>
          <w:tcPr>
            <w:tcW w:w="1540" w:type="dxa"/>
            <w:vAlign w:val="bottom"/>
          </w:tcPr>
          <w:p>
            <w:pPr>
              <w:spacing w:after="0"/>
              <w:rPr>
                <w:color w:val="auto"/>
                <w:sz w:val="14"/>
                <w:szCs w:val="14"/>
              </w:rPr>
            </w:pPr>
          </w:p>
        </w:tc>
        <w:tc>
          <w:tcPr>
            <w:tcW w:w="540" w:type="dxa"/>
            <w:vAlign w:val="bottom"/>
          </w:tcPr>
          <w:p>
            <w:pPr>
              <w:spacing w:after="0"/>
              <w:rPr>
                <w:color w:val="auto"/>
                <w:sz w:val="14"/>
                <w:szCs w:val="14"/>
              </w:rPr>
            </w:pPr>
          </w:p>
        </w:tc>
        <w:tc>
          <w:tcPr>
            <w:tcW w:w="1020" w:type="dxa"/>
            <w:vAlign w:val="bottom"/>
          </w:tcPr>
          <w:p>
            <w:pPr>
              <w:spacing w:after="0"/>
              <w:rPr>
                <w:color w:val="auto"/>
                <w:sz w:val="14"/>
                <w:szCs w:val="14"/>
              </w:rPr>
            </w:pPr>
          </w:p>
        </w:tc>
        <w:tc>
          <w:tcPr>
            <w:tcW w:w="500" w:type="dxa"/>
            <w:vAlign w:val="bottom"/>
          </w:tcPr>
          <w:p>
            <w:pPr>
              <w:spacing w:after="0"/>
              <w:rPr>
                <w:color w:val="auto"/>
                <w:sz w:val="14"/>
                <w:szCs w:val="14"/>
              </w:rPr>
            </w:pPr>
          </w:p>
        </w:tc>
        <w:tc>
          <w:tcPr>
            <w:tcW w:w="400" w:type="dxa"/>
            <w:vAlign w:val="bottom"/>
          </w:tcPr>
          <w:p>
            <w:pPr>
              <w:spacing w:after="0"/>
              <w:rPr>
                <w:color w:val="auto"/>
                <w:sz w:val="14"/>
                <w:szCs w:val="14"/>
              </w:rPr>
            </w:pPr>
          </w:p>
        </w:tc>
        <w:tc>
          <w:tcPr>
            <w:tcW w:w="1080" w:type="dxa"/>
            <w:vAlign w:val="bottom"/>
          </w:tcPr>
          <w:p>
            <w:pPr>
              <w:spacing w:after="0"/>
              <w:rPr>
                <w:color w:val="auto"/>
                <w:sz w:val="14"/>
                <w:szCs w:val="14"/>
              </w:rPr>
            </w:pPr>
          </w:p>
        </w:tc>
      </w:tr>
      <w:tr>
        <w:tblPrEx>
          <w:tblInd w:w="0" w:type="dxa"/>
          <w:tblLayout w:type="fixed"/>
        </w:tblPrEx>
        <w:trPr>
          <w:trHeight w:val="153"/>
        </w:trPr>
        <w:tc>
          <w:tcPr>
            <w:tcW w:w="6200" w:type="dxa"/>
            <w:shd w:val="clear" w:color="auto" w:fill="CCEEFF"/>
            <w:vAlign w:val="bottom"/>
          </w:tcPr>
          <w:p>
            <w:pPr>
              <w:spacing w:after="0" w:line="142" w:lineRule="exact"/>
              <w:ind w:left="20"/>
              <w:rPr>
                <w:color w:val="auto"/>
                <w:sz w:val="20"/>
                <w:szCs w:val="20"/>
              </w:rPr>
            </w:pPr>
            <w:r>
              <w:rPr>
                <w:rFonts w:ascii="Calibri" w:eastAsia="Calibri" w:hAnsi="Calibri" w:cs="Calibri"/>
                <w:color w:val="auto"/>
                <w:sz w:val="12"/>
                <w:szCs w:val="12"/>
              </w:rPr>
              <w:t>Foreign currency translaton adjustments, net of tax expense (beneft) of $(39) in 2024, $15 in 2023 and $(10) in 2022</w:t>
            </w:r>
          </w:p>
        </w:tc>
        <w:tc>
          <w:tcPr>
            <w:tcW w:w="1540" w:type="dxa"/>
            <w:shd w:val="clear" w:color="auto" w:fill="CCEEFF"/>
            <w:vAlign w:val="bottom"/>
          </w:tcPr>
          <w:p>
            <w:pPr>
              <w:spacing w:after="0"/>
              <w:rPr>
                <w:color w:val="auto"/>
                <w:sz w:val="13"/>
                <w:szCs w:val="13"/>
              </w:rPr>
            </w:pPr>
          </w:p>
        </w:tc>
        <w:tc>
          <w:tcPr>
            <w:tcW w:w="54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(1,008)</w:t>
            </w:r>
          </w:p>
        </w:tc>
        <w:tc>
          <w:tcPr>
            <w:tcW w:w="1020" w:type="dxa"/>
            <w:shd w:val="clear" w:color="auto" w:fill="CCEEFF"/>
            <w:vAlign w:val="bottom"/>
          </w:tcPr>
          <w:p>
            <w:pPr>
              <w:spacing w:after="0"/>
              <w:rPr>
                <w:color w:val="auto"/>
                <w:sz w:val="13"/>
                <w:szCs w:val="13"/>
              </w:rPr>
            </w:pPr>
          </w:p>
        </w:tc>
        <w:tc>
          <w:tcPr>
            <w:tcW w:w="50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407</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(943)</w:t>
            </w:r>
          </w:p>
        </w:tc>
      </w:tr>
      <w:tr>
        <w:tblPrEx>
          <w:tblInd w:w="0" w:type="dxa"/>
          <w:tblLayout w:type="fixed"/>
        </w:tblPrEx>
        <w:trPr>
          <w:trHeight w:val="147"/>
        </w:trPr>
        <w:tc>
          <w:tcPr>
            <w:tcW w:w="6200" w:type="dxa"/>
            <w:vAlign w:val="bottom"/>
          </w:tcPr>
          <w:p>
            <w:pPr>
              <w:spacing w:after="0" w:line="142" w:lineRule="exact"/>
              <w:ind w:left="20"/>
              <w:rPr>
                <w:color w:val="auto"/>
                <w:sz w:val="20"/>
                <w:szCs w:val="20"/>
              </w:rPr>
            </w:pPr>
            <w:r>
              <w:rPr>
                <w:rFonts w:ascii="Calibri" w:eastAsia="Calibri" w:hAnsi="Calibri" w:cs="Calibri"/>
                <w:color w:val="auto"/>
                <w:sz w:val="12"/>
                <w:szCs w:val="12"/>
              </w:rPr>
              <w:t>Net investment hedging actvites, net of tax expense (beneft) of $133 in 2024, $(109) in 2023 and $152 in 2022</w:t>
            </w:r>
          </w:p>
        </w:tc>
        <w:tc>
          <w:tcPr>
            <w:tcW w:w="1540" w:type="dxa"/>
            <w:vAlign w:val="bottom"/>
          </w:tcPr>
          <w:p>
            <w:pPr>
              <w:spacing w:after="0"/>
              <w:rPr>
                <w:color w:val="auto"/>
                <w:sz w:val="12"/>
                <w:szCs w:val="12"/>
              </w:rPr>
            </w:pPr>
          </w:p>
        </w:tc>
        <w:tc>
          <w:tcPr>
            <w:tcW w:w="54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484</w:t>
            </w:r>
          </w:p>
        </w:tc>
        <w:tc>
          <w:tcPr>
            <w:tcW w:w="1020" w:type="dxa"/>
            <w:vAlign w:val="bottom"/>
          </w:tcPr>
          <w:p>
            <w:pPr>
              <w:spacing w:after="0"/>
              <w:rPr>
                <w:color w:val="auto"/>
                <w:sz w:val="12"/>
                <w:szCs w:val="12"/>
              </w:rPr>
            </w:pPr>
          </w:p>
        </w:tc>
        <w:tc>
          <w:tcPr>
            <w:tcW w:w="500" w:type="dxa"/>
            <w:vAlign w:val="bottom"/>
          </w:tcPr>
          <w:p>
            <w:pPr>
              <w:spacing w:after="0" w:line="142" w:lineRule="exact"/>
              <w:jc w:val="right"/>
              <w:rPr>
                <w:color w:val="auto"/>
                <w:sz w:val="20"/>
                <w:szCs w:val="20"/>
              </w:rPr>
            </w:pPr>
            <w:r>
              <w:rPr>
                <w:rFonts w:ascii="Calibri" w:eastAsia="Calibri" w:hAnsi="Calibri" w:cs="Calibri"/>
                <w:color w:val="auto"/>
                <w:sz w:val="12"/>
                <w:szCs w:val="12"/>
              </w:rPr>
              <w:t>(399)</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555</w:t>
            </w:r>
          </w:p>
        </w:tc>
      </w:tr>
      <w:tr>
        <w:tblPrEx>
          <w:tblInd w:w="0" w:type="dxa"/>
          <w:tblLayout w:type="fixed"/>
        </w:tblPrEx>
        <w:trPr>
          <w:trHeight w:val="159"/>
        </w:trPr>
        <w:tc>
          <w:tcPr>
            <w:tcW w:w="6200" w:type="dxa"/>
            <w:shd w:val="clear" w:color="auto" w:fill="CCEEFF"/>
            <w:vAlign w:val="bottom"/>
          </w:tcPr>
          <w:p>
            <w:pPr>
              <w:spacing w:after="0"/>
              <w:ind w:left="20"/>
              <w:rPr>
                <w:color w:val="auto"/>
                <w:sz w:val="20"/>
                <w:szCs w:val="20"/>
              </w:rPr>
            </w:pPr>
            <w:r>
              <w:rPr>
                <w:rFonts w:ascii="Calibri" w:eastAsia="Calibri" w:hAnsi="Calibri" w:cs="Calibri"/>
                <w:color w:val="auto"/>
                <w:sz w:val="12"/>
                <w:szCs w:val="12"/>
              </w:rPr>
              <w:t>Pension and post-employment benefts, net of tax expense (beneft) of $206 in 2024, $(6) in 2023 and $272 in 2022</w:t>
            </w:r>
          </w:p>
        </w:tc>
        <w:tc>
          <w:tcPr>
            <w:tcW w:w="1540" w:type="dxa"/>
            <w:shd w:val="clear" w:color="auto" w:fill="CCEEFF"/>
            <w:vAlign w:val="bottom"/>
          </w:tcPr>
          <w:p>
            <w:pPr>
              <w:spacing w:after="0"/>
              <w:rPr>
                <w:color w:val="auto"/>
                <w:sz w:val="13"/>
                <w:szCs w:val="13"/>
              </w:rPr>
            </w:pPr>
          </w:p>
        </w:tc>
        <w:tc>
          <w:tcPr>
            <w:tcW w:w="54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824</w:t>
            </w:r>
          </w:p>
        </w:tc>
        <w:tc>
          <w:tcPr>
            <w:tcW w:w="1020" w:type="dxa"/>
            <w:shd w:val="clear" w:color="auto" w:fill="CCEEFF"/>
            <w:vAlign w:val="bottom"/>
          </w:tcPr>
          <w:p>
            <w:pPr>
              <w:spacing w:after="0"/>
              <w:rPr>
                <w:color w:val="auto"/>
                <w:sz w:val="13"/>
                <w:szCs w:val="13"/>
              </w:rPr>
            </w:pPr>
          </w:p>
        </w:tc>
        <w:tc>
          <w:tcPr>
            <w:tcW w:w="5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(30)</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1,088</w:t>
            </w:r>
          </w:p>
        </w:tc>
      </w:tr>
      <w:tr>
        <w:tblPrEx>
          <w:tblInd w:w="0" w:type="dxa"/>
          <w:tblLayout w:type="fixed"/>
        </w:tblPrEx>
        <w:trPr>
          <w:trHeight w:val="147"/>
        </w:trPr>
        <w:tc>
          <w:tcPr>
            <w:tcW w:w="6200" w:type="dxa"/>
            <w:tcBorders>
              <w:bottom w:val="single" w:sz="8" w:space="0" w:color="auto"/>
            </w:tcBorders>
            <w:vAlign w:val="bottom"/>
          </w:tcPr>
          <w:p>
            <w:pPr>
              <w:spacing w:after="0" w:line="142" w:lineRule="exact"/>
              <w:ind w:left="20"/>
              <w:rPr>
                <w:color w:val="auto"/>
                <w:sz w:val="20"/>
                <w:szCs w:val="20"/>
              </w:rPr>
            </w:pPr>
            <w:r>
              <w:rPr>
                <w:rFonts w:ascii="Calibri" w:eastAsia="Calibri" w:hAnsi="Calibri" w:cs="Calibri"/>
                <w:color w:val="auto"/>
                <w:sz w:val="12"/>
                <w:szCs w:val="12"/>
              </w:rPr>
              <w:t>Cash fow hedging actvites, net of tax expense (beneft) of $16 in 2024, $(19) in 2023 and $5 in 2022</w:t>
            </w:r>
          </w:p>
        </w:tc>
        <w:tc>
          <w:tcPr>
            <w:tcW w:w="1540" w:type="dxa"/>
            <w:tcBorders>
              <w:bottom w:val="single" w:sz="8" w:space="0" w:color="auto"/>
            </w:tcBorders>
            <w:vAlign w:val="bottom"/>
          </w:tcPr>
          <w:p>
            <w:pPr>
              <w:spacing w:after="0"/>
              <w:rPr>
                <w:color w:val="auto"/>
                <w:sz w:val="12"/>
                <w:szCs w:val="12"/>
              </w:rPr>
            </w:pPr>
          </w:p>
        </w:tc>
        <w:tc>
          <w:tcPr>
            <w:tcW w:w="54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80</w:t>
            </w:r>
          </w:p>
        </w:tc>
        <w:tc>
          <w:tcPr>
            <w:tcW w:w="1020" w:type="dxa"/>
            <w:tcBorders>
              <w:bottom w:val="single" w:sz="8" w:space="0" w:color="auto"/>
            </w:tcBorders>
            <w:vAlign w:val="bottom"/>
          </w:tcPr>
          <w:p>
            <w:pPr>
              <w:spacing w:after="0"/>
              <w:rPr>
                <w:color w:val="auto"/>
                <w:sz w:val="12"/>
                <w:szCs w:val="12"/>
              </w:rPr>
            </w:pPr>
          </w:p>
        </w:tc>
        <w:tc>
          <w:tcPr>
            <w:tcW w:w="5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(84)</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2"/>
        </w:trPr>
        <w:tc>
          <w:tcPr>
            <w:tcW w:w="6200" w:type="dxa"/>
            <w:tcBorders>
              <w:bottom w:val="single" w:sz="8" w:space="0" w:color="auto"/>
            </w:tcBorders>
            <w:shd w:val="clear" w:color="auto" w:fill="CCEEFF"/>
            <w:vAlign w:val="bottom"/>
          </w:tcPr>
          <w:p>
            <w:pPr>
              <w:spacing w:after="0" w:line="142" w:lineRule="exact"/>
              <w:ind w:left="20"/>
              <w:rPr>
                <w:color w:val="auto"/>
                <w:sz w:val="20"/>
                <w:szCs w:val="20"/>
              </w:rPr>
            </w:pPr>
            <w:r>
              <w:rPr>
                <w:rFonts w:ascii="Calibri" w:eastAsia="Calibri" w:hAnsi="Calibri" w:cs="Calibri"/>
                <w:color w:val="auto"/>
                <w:sz w:val="12"/>
                <w:szCs w:val="12"/>
              </w:rPr>
              <w:t>Other comprehensive income (loss)</w:t>
            </w:r>
          </w:p>
        </w:tc>
        <w:tc>
          <w:tcPr>
            <w:tcW w:w="1540" w:type="dxa"/>
            <w:tcBorders>
              <w:bottom w:val="single" w:sz="8" w:space="0" w:color="auto"/>
            </w:tcBorders>
            <w:shd w:val="clear" w:color="auto" w:fill="CCEEFF"/>
            <w:vAlign w:val="bottom"/>
          </w:tcPr>
          <w:p>
            <w:pPr>
              <w:spacing w:after="0" w:line="142" w:lineRule="exact"/>
              <w:ind w:right="803"/>
              <w:jc w:val="right"/>
              <w:rPr>
                <w:color w:val="auto"/>
                <w:sz w:val="20"/>
                <w:szCs w:val="20"/>
              </w:rPr>
            </w:pPr>
            <w:r>
              <w:rPr>
                <w:rFonts w:ascii="Calibri" w:eastAsia="Calibri" w:hAnsi="Calibri" w:cs="Calibri"/>
                <w:color w:val="auto"/>
                <w:sz w:val="12"/>
                <w:szCs w:val="12"/>
              </w:rPr>
              <w:t>$</w:t>
            </w:r>
          </w:p>
        </w:tc>
        <w:tc>
          <w:tcPr>
            <w:tcW w:w="54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380</w:t>
            </w:r>
          </w:p>
        </w:tc>
        <w:tc>
          <w:tcPr>
            <w:tcW w:w="1020" w:type="dxa"/>
            <w:tcBorders>
              <w:bottom w:val="single" w:sz="8" w:space="0" w:color="auto"/>
            </w:tcBorders>
            <w:shd w:val="clear" w:color="auto" w:fill="CCEEFF"/>
            <w:vAlign w:val="bottom"/>
          </w:tcPr>
          <w:p>
            <w:pPr>
              <w:spacing w:after="0" w:line="142" w:lineRule="exact"/>
              <w:ind w:right="843"/>
              <w:jc w:val="right"/>
              <w:rPr>
                <w:color w:val="auto"/>
                <w:sz w:val="20"/>
                <w:szCs w:val="20"/>
              </w:rPr>
            </w:pPr>
            <w:r>
              <w:rPr>
                <w:rFonts w:ascii="Calibri" w:eastAsia="Calibri" w:hAnsi="Calibri" w:cs="Calibri"/>
                <w:color w:val="auto"/>
                <w:sz w:val="12"/>
                <w:szCs w:val="12"/>
              </w:rPr>
              <w:t>$</w:t>
            </w:r>
          </w:p>
        </w:tc>
        <w:tc>
          <w:tcPr>
            <w:tcW w:w="50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(106)</w:t>
            </w:r>
          </w:p>
        </w:tc>
        <w:tc>
          <w:tcPr>
            <w:tcW w:w="4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700</w:t>
            </w:r>
          </w:p>
        </w:tc>
      </w:tr>
      <w:tr>
        <w:tblPrEx>
          <w:tblInd w:w="0" w:type="dxa"/>
          <w:tblLayout w:type="fixed"/>
        </w:tblPrEx>
        <w:trPr>
          <w:trHeight w:val="142"/>
        </w:trPr>
        <w:tc>
          <w:tcPr>
            <w:tcW w:w="6200" w:type="dxa"/>
            <w:vAlign w:val="bottom"/>
          </w:tcPr>
          <w:p>
            <w:pPr>
              <w:spacing w:after="0" w:line="142" w:lineRule="exact"/>
              <w:ind w:left="20"/>
              <w:rPr>
                <w:color w:val="auto"/>
                <w:sz w:val="20"/>
                <w:szCs w:val="20"/>
              </w:rPr>
            </w:pPr>
            <w:r>
              <w:rPr>
                <w:rFonts w:ascii="Calibri" w:eastAsia="Calibri" w:hAnsi="Calibri" w:cs="Calibri"/>
                <w:color w:val="auto"/>
                <w:sz w:val="12"/>
                <w:szCs w:val="12"/>
              </w:rPr>
              <w:t>Comprehensive income</w:t>
            </w:r>
          </w:p>
        </w:tc>
        <w:tc>
          <w:tcPr>
            <w:tcW w:w="1540" w:type="dxa"/>
            <w:vAlign w:val="bottom"/>
          </w:tcPr>
          <w:p>
            <w:pPr>
              <w:spacing w:after="0"/>
              <w:rPr>
                <w:color w:val="auto"/>
                <w:sz w:val="12"/>
                <w:szCs w:val="12"/>
              </w:rPr>
            </w:pPr>
          </w:p>
        </w:tc>
        <w:tc>
          <w:tcPr>
            <w:tcW w:w="54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4,666</w:t>
            </w:r>
          </w:p>
        </w:tc>
        <w:tc>
          <w:tcPr>
            <w:tcW w:w="1020" w:type="dxa"/>
            <w:vAlign w:val="bottom"/>
          </w:tcPr>
          <w:p>
            <w:pPr>
              <w:spacing w:after="0"/>
              <w:rPr>
                <w:color w:val="auto"/>
                <w:sz w:val="12"/>
                <w:szCs w:val="12"/>
              </w:rPr>
            </w:pPr>
          </w:p>
        </w:tc>
        <w:tc>
          <w:tcPr>
            <w:tcW w:w="50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4,767</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12,545</w:t>
            </w:r>
          </w:p>
        </w:tc>
      </w:tr>
      <w:tr>
        <w:tblPrEx>
          <w:tblInd w:w="0" w:type="dxa"/>
          <w:tblLayout w:type="fixed"/>
        </w:tblPrEx>
        <w:trPr>
          <w:trHeight w:val="153"/>
        </w:trPr>
        <w:tc>
          <w:tcPr>
            <w:tcW w:w="6200" w:type="dxa"/>
            <w:tcBorders>
              <w:bottom w:val="single" w:sz="8" w:space="0" w:color="auto"/>
            </w:tcBorders>
            <w:shd w:val="clear" w:color="auto" w:fill="CCEEFF"/>
            <w:vAlign w:val="bottom"/>
          </w:tcPr>
          <w:p>
            <w:pPr>
              <w:spacing w:after="0"/>
              <w:ind w:left="20"/>
              <w:rPr>
                <w:color w:val="auto"/>
                <w:sz w:val="20"/>
                <w:szCs w:val="20"/>
              </w:rPr>
            </w:pPr>
            <w:r>
              <w:rPr>
                <w:rFonts w:ascii="Calibri" w:eastAsia="Calibri" w:hAnsi="Calibri" w:cs="Calibri"/>
                <w:color w:val="auto"/>
                <w:sz w:val="12"/>
                <w:szCs w:val="12"/>
              </w:rPr>
              <w:t>Comprehensive income atributable to noncontrolling interest</w:t>
            </w:r>
          </w:p>
        </w:tc>
        <w:tc>
          <w:tcPr>
            <w:tcW w:w="1540" w:type="dxa"/>
            <w:tcBorders>
              <w:bottom w:val="single" w:sz="8" w:space="0" w:color="auto"/>
            </w:tcBorders>
            <w:shd w:val="clear" w:color="auto" w:fill="CCEEFF"/>
            <w:vAlign w:val="bottom"/>
          </w:tcPr>
          <w:p>
            <w:pPr>
              <w:spacing w:after="0"/>
              <w:rPr>
                <w:color w:val="auto"/>
                <w:sz w:val="13"/>
                <w:szCs w:val="13"/>
              </w:rPr>
            </w:pPr>
          </w:p>
        </w:tc>
        <w:tc>
          <w:tcPr>
            <w:tcW w:w="540" w:type="dxa"/>
            <w:tcBorders>
              <w:bottom w:val="single" w:sz="8" w:space="0" w:color="auto"/>
            </w:tcBorders>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8</w:t>
            </w:r>
          </w:p>
        </w:tc>
        <w:tc>
          <w:tcPr>
            <w:tcW w:w="1020" w:type="dxa"/>
            <w:tcBorders>
              <w:bottom w:val="single" w:sz="8" w:space="0" w:color="auto"/>
            </w:tcBorders>
            <w:shd w:val="clear" w:color="auto" w:fill="CCEEFF"/>
            <w:vAlign w:val="bottom"/>
          </w:tcPr>
          <w:p>
            <w:pPr>
              <w:spacing w:after="0"/>
              <w:rPr>
                <w:color w:val="auto"/>
                <w:sz w:val="13"/>
                <w:szCs w:val="13"/>
              </w:rPr>
            </w:pPr>
          </w:p>
        </w:tc>
        <w:tc>
          <w:tcPr>
            <w:tcW w:w="500" w:type="dxa"/>
            <w:tcBorders>
              <w:bottom w:val="single" w:sz="8" w:space="0" w:color="auto"/>
            </w:tcBorders>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10</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9</w:t>
            </w:r>
          </w:p>
        </w:tc>
      </w:tr>
      <w:tr>
        <w:tblPrEx>
          <w:tblInd w:w="0" w:type="dxa"/>
          <w:tblLayout w:type="fixed"/>
        </w:tblPrEx>
        <w:trPr>
          <w:trHeight w:val="142"/>
        </w:trPr>
        <w:tc>
          <w:tcPr>
            <w:tcW w:w="6200" w:type="dxa"/>
            <w:tcBorders>
              <w:bottom w:val="single" w:sz="8" w:space="0" w:color="auto"/>
            </w:tcBorders>
            <w:vAlign w:val="bottom"/>
          </w:tcPr>
          <w:p>
            <w:pPr>
              <w:spacing w:after="0" w:line="142" w:lineRule="exact"/>
              <w:ind w:left="20"/>
              <w:rPr>
                <w:color w:val="auto"/>
                <w:sz w:val="20"/>
                <w:szCs w:val="20"/>
              </w:rPr>
            </w:pPr>
            <w:r>
              <w:rPr>
                <w:rFonts w:ascii="Calibri" w:eastAsia="Calibri" w:hAnsi="Calibri" w:cs="Calibri"/>
                <w:b/>
                <w:bCs/>
                <w:color w:val="auto"/>
                <w:sz w:val="12"/>
                <w:szCs w:val="12"/>
              </w:rPr>
              <w:t>Comprehensive income atributable to AbbVie Inc.</w:t>
            </w:r>
          </w:p>
        </w:tc>
        <w:tc>
          <w:tcPr>
            <w:tcW w:w="1540" w:type="dxa"/>
            <w:tcBorders>
              <w:bottom w:val="single" w:sz="8" w:space="0" w:color="auto"/>
            </w:tcBorders>
            <w:vAlign w:val="bottom"/>
          </w:tcPr>
          <w:p>
            <w:pPr>
              <w:spacing w:after="0" w:line="142" w:lineRule="exact"/>
              <w:ind w:right="803"/>
              <w:jc w:val="right"/>
              <w:rPr>
                <w:color w:val="auto"/>
                <w:sz w:val="20"/>
                <w:szCs w:val="20"/>
              </w:rPr>
            </w:pPr>
            <w:r>
              <w:rPr>
                <w:rFonts w:ascii="Calibri" w:eastAsia="Calibri" w:hAnsi="Calibri" w:cs="Calibri"/>
                <w:color w:val="auto"/>
                <w:sz w:val="12"/>
                <w:szCs w:val="12"/>
              </w:rPr>
              <w:t>$</w:t>
            </w:r>
          </w:p>
        </w:tc>
        <w:tc>
          <w:tcPr>
            <w:tcW w:w="54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4,658</w:t>
            </w:r>
          </w:p>
        </w:tc>
        <w:tc>
          <w:tcPr>
            <w:tcW w:w="1020" w:type="dxa"/>
            <w:tcBorders>
              <w:bottom w:val="single" w:sz="8" w:space="0" w:color="auto"/>
            </w:tcBorders>
            <w:vAlign w:val="bottom"/>
          </w:tcPr>
          <w:p>
            <w:pPr>
              <w:spacing w:after="0" w:line="142" w:lineRule="exact"/>
              <w:ind w:right="843"/>
              <w:jc w:val="right"/>
              <w:rPr>
                <w:color w:val="auto"/>
                <w:sz w:val="20"/>
                <w:szCs w:val="20"/>
              </w:rPr>
            </w:pPr>
            <w:r>
              <w:rPr>
                <w:rFonts w:ascii="Calibri" w:eastAsia="Calibri" w:hAnsi="Calibri" w:cs="Calibri"/>
                <w:color w:val="auto"/>
                <w:sz w:val="12"/>
                <w:szCs w:val="12"/>
              </w:rPr>
              <w:t>$</w:t>
            </w:r>
          </w:p>
        </w:tc>
        <w:tc>
          <w:tcPr>
            <w:tcW w:w="50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4,757</w:t>
            </w: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12,536</w:t>
            </w:r>
          </w:p>
        </w:tc>
      </w:tr>
      <w:tr>
        <w:tblPrEx>
          <w:tblInd w:w="0" w:type="dxa"/>
          <w:tblLayout w:type="fixed"/>
        </w:tblPrEx>
        <w:trPr>
          <w:trHeight w:val="20"/>
        </w:trPr>
        <w:tc>
          <w:tcPr>
            <w:tcW w:w="6200" w:type="dxa"/>
            <w:tcBorders>
              <w:bottom w:val="single" w:sz="8" w:space="0" w:color="auto"/>
            </w:tcBorders>
            <w:vAlign w:val="bottom"/>
          </w:tcPr>
          <w:p>
            <w:pPr>
              <w:spacing w:after="0" w:line="20" w:lineRule="exact"/>
              <w:rPr>
                <w:color w:val="auto"/>
                <w:sz w:val="1"/>
                <w:szCs w:val="1"/>
              </w:rPr>
            </w:pPr>
          </w:p>
        </w:tc>
        <w:tc>
          <w:tcPr>
            <w:tcW w:w="1540" w:type="dxa"/>
            <w:tcBorders>
              <w:bottom w:val="single" w:sz="8" w:space="0" w:color="auto"/>
            </w:tcBorders>
            <w:vAlign w:val="bottom"/>
          </w:tcPr>
          <w:p>
            <w:pPr>
              <w:spacing w:after="0" w:line="20" w:lineRule="exact"/>
              <w:rPr>
                <w:color w:val="auto"/>
                <w:sz w:val="1"/>
                <w:szCs w:val="1"/>
              </w:rPr>
            </w:pPr>
          </w:p>
        </w:tc>
        <w:tc>
          <w:tcPr>
            <w:tcW w:w="540" w:type="dxa"/>
            <w:tcBorders>
              <w:bottom w:val="single" w:sz="8" w:space="0" w:color="auto"/>
            </w:tcBorders>
            <w:vAlign w:val="bottom"/>
          </w:tcPr>
          <w:p>
            <w:pPr>
              <w:spacing w:after="0" w:line="20" w:lineRule="exact"/>
              <w:rPr>
                <w:color w:val="auto"/>
                <w:sz w:val="1"/>
                <w:szCs w:val="1"/>
              </w:rPr>
            </w:pPr>
          </w:p>
        </w:tc>
        <w:tc>
          <w:tcPr>
            <w:tcW w:w="1020" w:type="dxa"/>
            <w:tcBorders>
              <w:bottom w:val="single" w:sz="8" w:space="0" w:color="auto"/>
            </w:tcBorders>
            <w:vAlign w:val="bottom"/>
          </w:tcPr>
          <w:p>
            <w:pPr>
              <w:spacing w:after="0" w:line="20" w:lineRule="exact"/>
              <w:rPr>
                <w:color w:val="auto"/>
                <w:sz w:val="1"/>
                <w:szCs w:val="1"/>
              </w:rPr>
            </w:pPr>
          </w:p>
        </w:tc>
        <w:tc>
          <w:tcPr>
            <w:tcW w:w="500" w:type="dxa"/>
            <w:tcBorders>
              <w:bottom w:val="single" w:sz="8" w:space="0" w:color="auto"/>
            </w:tcBorders>
            <w:vAlign w:val="bottom"/>
          </w:tcPr>
          <w:p>
            <w:pPr>
              <w:spacing w:after="0" w:line="20" w:lineRule="exact"/>
              <w:rPr>
                <w:color w:val="auto"/>
                <w:sz w:val="1"/>
                <w:szCs w:val="1"/>
              </w:rPr>
            </w:pPr>
          </w:p>
        </w:tc>
        <w:tc>
          <w:tcPr>
            <w:tcW w:w="400" w:type="dxa"/>
            <w:tcBorders>
              <w:bottom w:val="single" w:sz="8" w:space="0" w:color="auto"/>
            </w:tcBorders>
            <w:vAlign w:val="bottom"/>
          </w:tcPr>
          <w:p>
            <w:pPr>
              <w:spacing w:after="0" w:line="20" w:lineRule="exact"/>
              <w:rPr>
                <w:color w:val="auto"/>
                <w:sz w:val="1"/>
                <w:szCs w:val="1"/>
              </w:rPr>
            </w:pPr>
          </w:p>
        </w:tc>
        <w:tc>
          <w:tcPr>
            <w:tcW w:w="1080" w:type="dxa"/>
            <w:tcBorders>
              <w:bottom w:val="single" w:sz="8" w:space="0" w:color="auto"/>
            </w:tcBorders>
            <w:vAlign w:val="bottom"/>
          </w:tcPr>
          <w:p>
            <w:pPr>
              <w:spacing w:after="0" w:line="20" w:lineRule="exact"/>
              <w:rPr>
                <w:color w:val="auto"/>
                <w:sz w:val="1"/>
                <w:szCs w:val="1"/>
              </w:rPr>
            </w:pPr>
          </w:p>
        </w:tc>
      </w:tr>
    </w:tbl>
    <w:p>
      <w:pPr>
        <w:spacing w:after="0" w:line="206" w:lineRule="exact"/>
        <w:rPr>
          <w:color w:val="auto"/>
          <w:sz w:val="20"/>
          <w:szCs w:val="20"/>
        </w:rPr>
      </w:pPr>
    </w:p>
    <w:p>
      <w:pPr>
        <w:spacing w:after="0"/>
        <w:jc w:val="center"/>
        <w:rPr>
          <w:color w:val="auto"/>
          <w:sz w:val="20"/>
          <w:szCs w:val="20"/>
        </w:rPr>
      </w:pPr>
      <w:r>
        <w:rPr>
          <w:rFonts w:ascii="Calibri" w:eastAsia="Calibri" w:hAnsi="Calibri" w:cs="Calibri"/>
          <w:color w:val="auto"/>
          <w:sz w:val="12"/>
          <w:szCs w:val="12"/>
        </w:rPr>
        <w:t>The accompanying notes are an integral part of these consolidated fnancial statements.</w:t>
      </w:r>
    </w:p>
    <w:p>
      <w:pPr>
        <w:spacing w:after="0" w:line="20" w:lineRule="exact"/>
        <w:rPr>
          <w:color w:val="auto"/>
          <w:sz w:val="20"/>
          <w:szCs w:val="20"/>
        </w:rPr>
      </w:pPr>
      <w:r>
        <w:rPr>
          <w:color w:val="auto"/>
          <w:sz w:val="20"/>
          <w:szCs w:val="20"/>
        </w:rPr>
        <w:drawing>
          <wp:anchor simplePos="0" relativeHeight="251790336" behindDoc="1" locked="0" layoutInCell="0" allowOverlap="1">
            <wp:simplePos x="0" y="0"/>
            <wp:positionH relativeFrom="column">
              <wp:posOffset>6475730</wp:posOffset>
            </wp:positionH>
            <wp:positionV relativeFrom="paragraph">
              <wp:posOffset>290830</wp:posOffset>
            </wp:positionV>
            <wp:extent cx="400050" cy="74295"/>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73"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52</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91360" behindDoc="1" locked="0" layoutInCell="0" allowOverlap="1">
            <wp:simplePos x="0" y="0"/>
            <wp:positionH relativeFrom="column">
              <wp:posOffset>7154545</wp:posOffset>
            </wp:positionH>
            <wp:positionV relativeFrom="paragraph">
              <wp:posOffset>-23495</wp:posOffset>
            </wp:positionV>
            <wp:extent cx="31115" cy="3683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92384" behindDoc="1" locked="0" layoutInCell="0" allowOverlap="1">
            <wp:simplePos x="0" y="0"/>
            <wp:positionH relativeFrom="column">
              <wp:posOffset>-17145</wp:posOffset>
            </wp:positionH>
            <wp:positionV relativeFrom="paragraph">
              <wp:posOffset>-23495</wp:posOffset>
            </wp:positionV>
            <wp:extent cx="31115" cy="3683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54" w:name="page55"/>
    <w:bookmarkEnd w:id="54"/>
    <w:p>
      <w:pPr>
        <w:spacing w:after="0"/>
        <w:rPr>
          <w:color w:val="auto"/>
          <w:sz w:val="20"/>
          <w:szCs w:val="20"/>
        </w:rPr>
      </w:pPr>
      <w:r>
        <w:rPr>
          <w:rFonts w:ascii="Calibri" w:eastAsia="Calibri" w:hAnsi="Calibri" w:cs="Calibri"/>
          <w:b/>
          <w:bCs/>
          <w:color w:val="444867"/>
          <w:sz w:val="14"/>
          <w:szCs w:val="14"/>
        </w:rPr>
        <w:t>AbbVie Inc. and Subsidiaries</w:t>
      </w:r>
    </w:p>
    <w:p>
      <w:pPr>
        <w:spacing w:after="0"/>
        <w:rPr>
          <w:color w:val="auto"/>
          <w:sz w:val="20"/>
          <w:szCs w:val="20"/>
        </w:rPr>
      </w:pPr>
      <w:r>
        <w:rPr>
          <w:rFonts w:ascii="Calibri" w:eastAsia="Calibri" w:hAnsi="Calibri" w:cs="Calibri"/>
          <w:b/>
          <w:bCs/>
          <w:color w:val="444867"/>
          <w:sz w:val="14"/>
          <w:szCs w:val="14"/>
        </w:rPr>
        <w:t>Consolidated Balance Sheets</w:t>
      </w:r>
    </w:p>
    <w:p>
      <w:pPr>
        <w:spacing w:after="0" w:line="118" w:lineRule="exact"/>
        <w:rPr>
          <w:color w:val="auto"/>
          <w:sz w:val="20"/>
          <w:szCs w:val="20"/>
        </w:rPr>
      </w:pPr>
    </w:p>
    <w:tbl>
      <w:tblPr>
        <w:tblInd w:w="0" w:type="dxa"/>
        <w:tblLayout w:type="fixed"/>
        <w:tblCellMar>
          <w:top w:w="0" w:type="dxa"/>
          <w:left w:w="0" w:type="dxa"/>
          <w:bottom w:w="0" w:type="dxa"/>
          <w:right w:w="0" w:type="dxa"/>
        </w:tblCellMar>
      </w:tblPr>
      <w:tblGrid>
        <w:gridCol w:w="1100"/>
        <w:gridCol w:w="7020"/>
        <w:gridCol w:w="560"/>
        <w:gridCol w:w="1120"/>
        <w:gridCol w:w="400"/>
        <w:gridCol w:w="1080"/>
        <w:gridCol w:w="20"/>
      </w:tblGrid>
      <w:tr>
        <w:tblPrEx>
          <w:tblInd w:w="0" w:type="dxa"/>
          <w:tblLayout w:type="fixed"/>
        </w:tblPrEx>
        <w:trPr>
          <w:trHeight w:val="122"/>
        </w:trPr>
        <w:tc>
          <w:tcPr>
            <w:tcW w:w="8120" w:type="dxa"/>
            <w:gridSpan w:val="2"/>
            <w:vAlign w:val="bottom"/>
          </w:tcPr>
          <w:p>
            <w:pPr>
              <w:spacing w:after="0"/>
              <w:ind w:left="20"/>
              <w:rPr>
                <w:color w:val="auto"/>
                <w:sz w:val="20"/>
                <w:szCs w:val="20"/>
              </w:rPr>
            </w:pPr>
            <w:r>
              <w:rPr>
                <w:rFonts w:ascii="Calibri" w:eastAsia="Calibri" w:hAnsi="Calibri" w:cs="Calibri"/>
                <w:b/>
                <w:bCs/>
                <w:color w:val="auto"/>
                <w:sz w:val="10"/>
                <w:szCs w:val="10"/>
              </w:rPr>
              <w:t>as of December 31 (in millions, except share data)</w:t>
            </w:r>
          </w:p>
        </w:tc>
        <w:tc>
          <w:tcPr>
            <w:tcW w:w="560" w:type="dxa"/>
            <w:vAlign w:val="bottom"/>
          </w:tcPr>
          <w:p>
            <w:pPr>
              <w:spacing w:after="0"/>
              <w:rPr>
                <w:color w:val="auto"/>
                <w:sz w:val="10"/>
                <w:szCs w:val="10"/>
              </w:rPr>
            </w:pPr>
          </w:p>
        </w:tc>
        <w:tc>
          <w:tcPr>
            <w:tcW w:w="1120" w:type="dxa"/>
            <w:vAlign w:val="bottom"/>
          </w:tcPr>
          <w:p>
            <w:pPr>
              <w:spacing w:after="0"/>
              <w:ind w:right="600"/>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080" w:type="dxa"/>
            <w:vAlign w:val="bottom"/>
          </w:tcPr>
          <w:p>
            <w:pPr>
              <w:spacing w:after="0"/>
              <w:ind w:right="560"/>
              <w:jc w:val="right"/>
              <w:rPr>
                <w:color w:val="auto"/>
                <w:sz w:val="20"/>
                <w:szCs w:val="20"/>
              </w:rPr>
            </w:pPr>
            <w:r>
              <w:rPr>
                <w:rFonts w:ascii="Calibri" w:eastAsia="Calibri" w:hAnsi="Calibri" w:cs="Calibri"/>
                <w:b/>
                <w:bCs/>
                <w:color w:val="auto"/>
                <w:sz w:val="10"/>
                <w:szCs w:val="10"/>
              </w:rPr>
              <w:t>2023</w:t>
            </w:r>
          </w:p>
        </w:tc>
        <w:tc>
          <w:tcPr>
            <w:tcW w:w="20" w:type="dxa"/>
            <w:vAlign w:val="bottom"/>
          </w:tcPr>
          <w:p>
            <w:pPr>
              <w:spacing w:after="0"/>
              <w:rPr>
                <w:color w:val="auto"/>
                <w:sz w:val="10"/>
                <w:szCs w:val="10"/>
              </w:rPr>
            </w:pPr>
          </w:p>
        </w:tc>
      </w:tr>
      <w:tr>
        <w:tblPrEx>
          <w:tblInd w:w="0" w:type="dxa"/>
          <w:tblLayout w:type="fixed"/>
        </w:tblPrEx>
        <w:trPr>
          <w:trHeight w:val="32"/>
        </w:trPr>
        <w:tc>
          <w:tcPr>
            <w:tcW w:w="1100" w:type="dxa"/>
            <w:tcBorders>
              <w:bottom w:val="single" w:sz="8" w:space="0" w:color="auto"/>
            </w:tcBorders>
            <w:vAlign w:val="bottom"/>
          </w:tcPr>
          <w:p>
            <w:pPr>
              <w:spacing w:after="0"/>
              <w:rPr>
                <w:color w:val="auto"/>
                <w:sz w:val="2"/>
                <w:szCs w:val="2"/>
              </w:rPr>
            </w:pPr>
          </w:p>
        </w:tc>
        <w:tc>
          <w:tcPr>
            <w:tcW w:w="7020" w:type="dxa"/>
            <w:tcBorders>
              <w:bottom w:val="single" w:sz="8" w:space="0" w:color="auto"/>
            </w:tcBorders>
            <w:vAlign w:val="bottom"/>
          </w:tcPr>
          <w:p>
            <w:pPr>
              <w:spacing w:after="0"/>
              <w:rPr>
                <w:color w:val="auto"/>
                <w:sz w:val="2"/>
                <w:szCs w:val="2"/>
              </w:rPr>
            </w:pPr>
          </w:p>
        </w:tc>
        <w:tc>
          <w:tcPr>
            <w:tcW w:w="56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r>
      <w:tr>
        <w:tblPrEx>
          <w:tblInd w:w="0" w:type="dxa"/>
          <w:tblLayout w:type="fixed"/>
        </w:tblPrEx>
        <w:trPr>
          <w:trHeight w:val="131"/>
        </w:trPr>
        <w:tc>
          <w:tcPr>
            <w:tcW w:w="1100" w:type="dxa"/>
            <w:vAlign w:val="bottom"/>
          </w:tcPr>
          <w:p>
            <w:pPr>
              <w:spacing w:after="0" w:line="131" w:lineRule="exact"/>
              <w:ind w:left="20"/>
              <w:rPr>
                <w:color w:val="auto"/>
                <w:sz w:val="20"/>
                <w:szCs w:val="20"/>
              </w:rPr>
            </w:pPr>
            <w:r>
              <w:rPr>
                <w:rFonts w:ascii="Calibri" w:eastAsia="Calibri" w:hAnsi="Calibri" w:cs="Calibri"/>
                <w:b/>
                <w:bCs/>
                <w:color w:val="auto"/>
                <w:sz w:val="12"/>
                <w:szCs w:val="12"/>
              </w:rPr>
              <w:t>Assets</w:t>
            </w:r>
          </w:p>
        </w:tc>
        <w:tc>
          <w:tcPr>
            <w:tcW w:w="7020" w:type="dxa"/>
            <w:vAlign w:val="bottom"/>
          </w:tcPr>
          <w:p>
            <w:pPr>
              <w:spacing w:after="0"/>
              <w:rPr>
                <w:color w:val="auto"/>
                <w:sz w:val="11"/>
                <w:szCs w:val="11"/>
              </w:rPr>
            </w:pPr>
          </w:p>
        </w:tc>
        <w:tc>
          <w:tcPr>
            <w:tcW w:w="56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080" w:type="dxa"/>
            <w:vAlign w:val="bottom"/>
          </w:tcPr>
          <w:p>
            <w:pPr>
              <w:spacing w:after="0"/>
              <w:rPr>
                <w:color w:val="auto"/>
                <w:sz w:val="11"/>
                <w:szCs w:val="11"/>
              </w:rPr>
            </w:pPr>
          </w:p>
        </w:tc>
        <w:tc>
          <w:tcPr>
            <w:tcW w:w="20" w:type="dxa"/>
            <w:vAlign w:val="bottom"/>
          </w:tcPr>
          <w:p>
            <w:pPr>
              <w:spacing w:after="0"/>
              <w:rPr>
                <w:color w:val="auto"/>
                <w:sz w:val="11"/>
                <w:szCs w:val="11"/>
              </w:rPr>
            </w:pPr>
          </w:p>
        </w:tc>
      </w:tr>
      <w:tr>
        <w:tblPrEx>
          <w:tblInd w:w="0" w:type="dxa"/>
          <w:tblLayout w:type="fixed"/>
        </w:tblPrEx>
        <w:trPr>
          <w:trHeight w:val="156"/>
        </w:trPr>
        <w:tc>
          <w:tcPr>
            <w:tcW w:w="1100" w:type="dxa"/>
            <w:vAlign w:val="bottom"/>
          </w:tcPr>
          <w:p>
            <w:pPr>
              <w:spacing w:after="0"/>
              <w:ind w:left="80"/>
              <w:rPr>
                <w:color w:val="auto"/>
                <w:sz w:val="20"/>
                <w:szCs w:val="20"/>
              </w:rPr>
            </w:pPr>
            <w:r>
              <w:rPr>
                <w:rFonts w:ascii="Calibri" w:eastAsia="Calibri" w:hAnsi="Calibri" w:cs="Calibri"/>
                <w:b/>
                <w:bCs/>
                <w:color w:val="auto"/>
                <w:sz w:val="12"/>
                <w:szCs w:val="12"/>
              </w:rPr>
              <w:t>Current assets</w:t>
            </w:r>
          </w:p>
        </w:tc>
        <w:tc>
          <w:tcPr>
            <w:tcW w:w="7020" w:type="dxa"/>
            <w:vAlign w:val="bottom"/>
          </w:tcPr>
          <w:p>
            <w:pPr>
              <w:spacing w:after="0"/>
              <w:rPr>
                <w:color w:val="auto"/>
                <w:sz w:val="13"/>
                <w:szCs w:val="13"/>
              </w:rPr>
            </w:pPr>
          </w:p>
        </w:tc>
        <w:tc>
          <w:tcPr>
            <w:tcW w:w="560" w:type="dxa"/>
            <w:vAlign w:val="bottom"/>
          </w:tcPr>
          <w:p>
            <w:pPr>
              <w:spacing w:after="0"/>
              <w:rPr>
                <w:color w:val="auto"/>
                <w:sz w:val="13"/>
                <w:szCs w:val="13"/>
              </w:rPr>
            </w:pPr>
          </w:p>
        </w:tc>
        <w:tc>
          <w:tcPr>
            <w:tcW w:w="1120" w:type="dxa"/>
            <w:vAlign w:val="bottom"/>
          </w:tcPr>
          <w:p>
            <w:pPr>
              <w:spacing w:after="0"/>
              <w:rPr>
                <w:color w:val="auto"/>
                <w:sz w:val="13"/>
                <w:szCs w:val="13"/>
              </w:rPr>
            </w:pPr>
          </w:p>
        </w:tc>
        <w:tc>
          <w:tcPr>
            <w:tcW w:w="400" w:type="dxa"/>
            <w:vAlign w:val="bottom"/>
          </w:tcPr>
          <w:p>
            <w:pPr>
              <w:spacing w:after="0"/>
              <w:rPr>
                <w:color w:val="auto"/>
                <w:sz w:val="13"/>
                <w:szCs w:val="13"/>
              </w:rPr>
            </w:pPr>
          </w:p>
        </w:tc>
        <w:tc>
          <w:tcPr>
            <w:tcW w:w="1080" w:type="dxa"/>
            <w:vAlign w:val="bottom"/>
          </w:tcPr>
          <w:p>
            <w:pPr>
              <w:spacing w:after="0"/>
              <w:rPr>
                <w:color w:val="auto"/>
                <w:sz w:val="13"/>
                <w:szCs w:val="13"/>
              </w:rPr>
            </w:pPr>
          </w:p>
        </w:tc>
        <w:tc>
          <w:tcPr>
            <w:tcW w:w="20" w:type="dxa"/>
            <w:vAlign w:val="bottom"/>
          </w:tcPr>
          <w:p>
            <w:pPr>
              <w:spacing w:after="0"/>
              <w:rPr>
                <w:color w:val="auto"/>
                <w:sz w:val="13"/>
                <w:szCs w:val="13"/>
              </w:rPr>
            </w:pPr>
          </w:p>
        </w:tc>
      </w:tr>
      <w:tr>
        <w:tblPrEx>
          <w:tblInd w:w="0" w:type="dxa"/>
          <w:tblLayout w:type="fixed"/>
        </w:tblPrEx>
        <w:trPr>
          <w:trHeight w:val="162"/>
        </w:trPr>
        <w:tc>
          <w:tcPr>
            <w:tcW w:w="1100" w:type="dxa"/>
            <w:shd w:val="clear" w:color="auto" w:fill="CCEEFF"/>
            <w:vAlign w:val="bottom"/>
          </w:tcPr>
          <w:p>
            <w:pPr>
              <w:spacing w:after="0"/>
              <w:ind w:left="80"/>
              <w:rPr>
                <w:color w:val="auto"/>
                <w:sz w:val="20"/>
                <w:szCs w:val="20"/>
              </w:rPr>
            </w:pPr>
            <w:r>
              <w:rPr>
                <w:rFonts w:ascii="Calibri" w:eastAsia="Calibri" w:hAnsi="Calibri" w:cs="Calibri"/>
                <w:color w:val="auto"/>
                <w:w w:val="96"/>
                <w:sz w:val="12"/>
                <w:szCs w:val="12"/>
              </w:rPr>
              <w:t>Cash and equivalents</w:t>
            </w:r>
          </w:p>
        </w:tc>
        <w:tc>
          <w:tcPr>
            <w:tcW w:w="7020" w:type="dxa"/>
            <w:shd w:val="clear" w:color="auto" w:fill="CCEEFF"/>
            <w:vAlign w:val="bottom"/>
          </w:tcPr>
          <w:p>
            <w:pPr>
              <w:spacing w:after="0"/>
              <w:rPr>
                <w:color w:val="auto"/>
                <w:sz w:val="14"/>
                <w:szCs w:val="14"/>
              </w:rPr>
            </w:pPr>
          </w:p>
        </w:tc>
        <w:tc>
          <w:tcPr>
            <w:tcW w:w="56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5,524</w:t>
            </w:r>
          </w:p>
        </w:tc>
        <w:tc>
          <w:tcPr>
            <w:tcW w:w="4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12,814</w:t>
            </w:r>
          </w:p>
        </w:tc>
        <w:tc>
          <w:tcPr>
            <w:tcW w:w="20" w:type="dxa"/>
            <w:vAlign w:val="bottom"/>
          </w:tcPr>
          <w:p>
            <w:pPr>
              <w:spacing w:after="0"/>
              <w:rPr>
                <w:color w:val="auto"/>
                <w:sz w:val="14"/>
                <w:szCs w:val="14"/>
              </w:rPr>
            </w:pPr>
          </w:p>
        </w:tc>
      </w:tr>
      <w:tr>
        <w:tblPrEx>
          <w:tblInd w:w="0" w:type="dxa"/>
          <w:tblLayout w:type="fixed"/>
        </w:tblPrEx>
        <w:trPr>
          <w:trHeight w:val="147"/>
        </w:trPr>
        <w:tc>
          <w:tcPr>
            <w:tcW w:w="8120" w:type="dxa"/>
            <w:gridSpan w:val="2"/>
            <w:vAlign w:val="bottom"/>
          </w:tcPr>
          <w:p>
            <w:pPr>
              <w:spacing w:after="0" w:line="142" w:lineRule="exact"/>
              <w:ind w:left="80"/>
              <w:rPr>
                <w:color w:val="auto"/>
                <w:sz w:val="20"/>
                <w:szCs w:val="20"/>
              </w:rPr>
            </w:pPr>
            <w:r>
              <w:rPr>
                <w:rFonts w:ascii="Calibri" w:eastAsia="Calibri" w:hAnsi="Calibri" w:cs="Calibri"/>
                <w:color w:val="auto"/>
                <w:sz w:val="12"/>
                <w:szCs w:val="12"/>
              </w:rPr>
              <w:t>Short-term investments</w:t>
            </w:r>
          </w:p>
        </w:tc>
        <w:tc>
          <w:tcPr>
            <w:tcW w:w="560" w:type="dxa"/>
            <w:vAlign w:val="bottom"/>
          </w:tcPr>
          <w:p>
            <w:pPr>
              <w:spacing w:after="0"/>
              <w:rPr>
                <w:color w:val="auto"/>
                <w:sz w:val="12"/>
                <w:szCs w:val="12"/>
              </w:rPr>
            </w:pPr>
          </w:p>
        </w:tc>
        <w:tc>
          <w:tcPr>
            <w:tcW w:w="11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31</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2</w:t>
            </w:r>
          </w:p>
        </w:tc>
        <w:tc>
          <w:tcPr>
            <w:tcW w:w="20" w:type="dxa"/>
            <w:vAlign w:val="bottom"/>
          </w:tcPr>
          <w:p>
            <w:pPr>
              <w:spacing w:after="0"/>
              <w:rPr>
                <w:color w:val="auto"/>
                <w:sz w:val="12"/>
                <w:szCs w:val="12"/>
              </w:rPr>
            </w:pPr>
          </w:p>
        </w:tc>
      </w:tr>
      <w:tr>
        <w:tblPrEx>
          <w:tblInd w:w="0" w:type="dxa"/>
          <w:tblLayout w:type="fixed"/>
        </w:tblPrEx>
        <w:trPr>
          <w:trHeight w:val="159"/>
        </w:trPr>
        <w:tc>
          <w:tcPr>
            <w:tcW w:w="8120" w:type="dxa"/>
            <w:gridSpan w:val="2"/>
            <w:shd w:val="clear" w:color="auto" w:fill="CCEEFF"/>
            <w:vAlign w:val="bottom"/>
          </w:tcPr>
          <w:p>
            <w:pPr>
              <w:spacing w:after="0"/>
              <w:ind w:left="80"/>
              <w:rPr>
                <w:color w:val="auto"/>
                <w:sz w:val="20"/>
                <w:szCs w:val="20"/>
              </w:rPr>
            </w:pPr>
            <w:r>
              <w:rPr>
                <w:rFonts w:ascii="Calibri" w:eastAsia="Calibri" w:hAnsi="Calibri" w:cs="Calibri"/>
                <w:color w:val="auto"/>
                <w:sz w:val="12"/>
                <w:szCs w:val="12"/>
              </w:rPr>
              <w:t>Accounts receivable, net</w:t>
            </w: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10,919</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11,155</w:t>
            </w:r>
          </w:p>
        </w:tc>
        <w:tc>
          <w:tcPr>
            <w:tcW w:w="20" w:type="dxa"/>
            <w:vAlign w:val="bottom"/>
          </w:tcPr>
          <w:p>
            <w:pPr>
              <w:spacing w:after="0"/>
              <w:rPr>
                <w:color w:val="auto"/>
                <w:sz w:val="13"/>
                <w:szCs w:val="13"/>
              </w:rPr>
            </w:pPr>
          </w:p>
        </w:tc>
      </w:tr>
      <w:tr>
        <w:tblPrEx>
          <w:tblInd w:w="0" w:type="dxa"/>
          <w:tblLayout w:type="fixed"/>
        </w:tblPrEx>
        <w:trPr>
          <w:trHeight w:val="147"/>
        </w:trPr>
        <w:tc>
          <w:tcPr>
            <w:tcW w:w="1100" w:type="dxa"/>
            <w:vAlign w:val="bottom"/>
          </w:tcPr>
          <w:p>
            <w:pPr>
              <w:spacing w:after="0" w:line="142" w:lineRule="exact"/>
              <w:ind w:left="80"/>
              <w:rPr>
                <w:color w:val="auto"/>
                <w:sz w:val="20"/>
                <w:szCs w:val="20"/>
              </w:rPr>
            </w:pPr>
            <w:r>
              <w:rPr>
                <w:rFonts w:ascii="Calibri" w:eastAsia="Calibri" w:hAnsi="Calibri" w:cs="Calibri"/>
                <w:color w:val="auto"/>
                <w:sz w:val="12"/>
                <w:szCs w:val="12"/>
              </w:rPr>
              <w:t>Inventories</w:t>
            </w:r>
          </w:p>
        </w:tc>
        <w:tc>
          <w:tcPr>
            <w:tcW w:w="7020" w:type="dxa"/>
            <w:vAlign w:val="bottom"/>
          </w:tcPr>
          <w:p>
            <w:pPr>
              <w:spacing w:after="0"/>
              <w:rPr>
                <w:color w:val="auto"/>
                <w:sz w:val="12"/>
                <w:szCs w:val="12"/>
              </w:rPr>
            </w:pPr>
          </w:p>
        </w:tc>
        <w:tc>
          <w:tcPr>
            <w:tcW w:w="560" w:type="dxa"/>
            <w:vAlign w:val="bottom"/>
          </w:tcPr>
          <w:p>
            <w:pPr>
              <w:spacing w:after="0"/>
              <w:rPr>
                <w:color w:val="auto"/>
                <w:sz w:val="12"/>
                <w:szCs w:val="12"/>
              </w:rPr>
            </w:pPr>
          </w:p>
        </w:tc>
        <w:tc>
          <w:tcPr>
            <w:tcW w:w="11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4,181</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4,099</w:t>
            </w:r>
          </w:p>
        </w:tc>
        <w:tc>
          <w:tcPr>
            <w:tcW w:w="20" w:type="dxa"/>
            <w:vAlign w:val="bottom"/>
          </w:tcPr>
          <w:p>
            <w:pPr>
              <w:spacing w:after="0"/>
              <w:rPr>
                <w:color w:val="auto"/>
                <w:sz w:val="12"/>
                <w:szCs w:val="12"/>
              </w:rPr>
            </w:pPr>
          </w:p>
        </w:tc>
      </w:tr>
      <w:tr>
        <w:tblPrEx>
          <w:tblInd w:w="0" w:type="dxa"/>
          <w:tblLayout w:type="fixed"/>
        </w:tblPrEx>
        <w:trPr>
          <w:trHeight w:val="153"/>
        </w:trPr>
        <w:tc>
          <w:tcPr>
            <w:tcW w:w="8120" w:type="dxa"/>
            <w:gridSpan w:val="2"/>
            <w:tcBorders>
              <w:bottom w:val="single" w:sz="8" w:space="0" w:color="auto"/>
            </w:tcBorders>
            <w:shd w:val="clear" w:color="auto" w:fill="CCEEFF"/>
            <w:vAlign w:val="bottom"/>
          </w:tcPr>
          <w:p>
            <w:pPr>
              <w:spacing w:after="0"/>
              <w:ind w:left="80"/>
              <w:rPr>
                <w:color w:val="auto"/>
                <w:sz w:val="20"/>
                <w:szCs w:val="20"/>
              </w:rPr>
            </w:pPr>
            <w:r>
              <w:rPr>
                <w:rFonts w:ascii="Calibri" w:eastAsia="Calibri" w:hAnsi="Calibri" w:cs="Calibri"/>
                <w:color w:val="auto"/>
                <w:sz w:val="12"/>
                <w:szCs w:val="12"/>
              </w:rPr>
              <w:t>Prepaid expenses and other</w:t>
            </w:r>
          </w:p>
        </w:tc>
        <w:tc>
          <w:tcPr>
            <w:tcW w:w="56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4,927</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4,932</w:t>
            </w:r>
          </w:p>
        </w:tc>
        <w:tc>
          <w:tcPr>
            <w:tcW w:w="20" w:type="dxa"/>
            <w:vAlign w:val="bottom"/>
          </w:tcPr>
          <w:p>
            <w:pPr>
              <w:spacing w:after="0"/>
              <w:rPr>
                <w:color w:val="auto"/>
                <w:sz w:val="13"/>
                <w:szCs w:val="13"/>
              </w:rPr>
            </w:pPr>
          </w:p>
        </w:tc>
      </w:tr>
      <w:tr>
        <w:tblPrEx>
          <w:tblInd w:w="0" w:type="dxa"/>
          <w:tblLayout w:type="fixed"/>
        </w:tblPrEx>
        <w:trPr>
          <w:trHeight w:val="142"/>
        </w:trPr>
        <w:tc>
          <w:tcPr>
            <w:tcW w:w="1100" w:type="dxa"/>
            <w:tcBorders>
              <w:bottom w:val="single" w:sz="8" w:space="0" w:color="auto"/>
            </w:tcBorders>
            <w:vAlign w:val="bottom"/>
          </w:tcPr>
          <w:p>
            <w:pPr>
              <w:spacing w:after="0" w:line="142" w:lineRule="exact"/>
              <w:ind w:left="80"/>
              <w:rPr>
                <w:color w:val="auto"/>
                <w:sz w:val="20"/>
                <w:szCs w:val="20"/>
              </w:rPr>
            </w:pPr>
            <w:r>
              <w:rPr>
                <w:rFonts w:ascii="Calibri" w:eastAsia="Calibri" w:hAnsi="Calibri" w:cs="Calibri"/>
                <w:b/>
                <w:bCs/>
                <w:color w:val="auto"/>
                <w:sz w:val="12"/>
                <w:szCs w:val="12"/>
              </w:rPr>
              <w:t>Total current assets</w:t>
            </w:r>
          </w:p>
        </w:tc>
        <w:tc>
          <w:tcPr>
            <w:tcW w:w="7020" w:type="dxa"/>
            <w:tcBorders>
              <w:bottom w:val="single" w:sz="8" w:space="0" w:color="auto"/>
            </w:tcBorders>
            <w:vAlign w:val="bottom"/>
          </w:tcPr>
          <w:p>
            <w:pPr>
              <w:spacing w:after="0"/>
              <w:rPr>
                <w:color w:val="auto"/>
                <w:sz w:val="12"/>
                <w:szCs w:val="12"/>
              </w:rPr>
            </w:pPr>
          </w:p>
        </w:tc>
        <w:tc>
          <w:tcPr>
            <w:tcW w:w="56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25,582</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33,002</w:t>
            </w:r>
          </w:p>
        </w:tc>
        <w:tc>
          <w:tcPr>
            <w:tcW w:w="20" w:type="dxa"/>
            <w:vAlign w:val="bottom"/>
          </w:tcPr>
          <w:p>
            <w:pPr>
              <w:spacing w:after="0"/>
              <w:rPr>
                <w:color w:val="auto"/>
                <w:sz w:val="12"/>
                <w:szCs w:val="12"/>
              </w:rPr>
            </w:pPr>
          </w:p>
        </w:tc>
      </w:tr>
      <w:tr>
        <w:tblPrEx>
          <w:tblInd w:w="0" w:type="dxa"/>
          <w:tblLayout w:type="fixed"/>
        </w:tblPrEx>
        <w:trPr>
          <w:trHeight w:val="121"/>
        </w:trPr>
        <w:tc>
          <w:tcPr>
            <w:tcW w:w="1100" w:type="dxa"/>
            <w:shd w:val="clear" w:color="auto" w:fill="CCEEFF"/>
            <w:vAlign w:val="bottom"/>
          </w:tcPr>
          <w:p>
            <w:pPr>
              <w:spacing w:after="0"/>
              <w:rPr>
                <w:color w:val="auto"/>
                <w:sz w:val="10"/>
                <w:szCs w:val="10"/>
              </w:rPr>
            </w:pPr>
          </w:p>
        </w:tc>
        <w:tc>
          <w:tcPr>
            <w:tcW w:w="7020" w:type="dxa"/>
            <w:shd w:val="clear" w:color="auto" w:fill="CCEEFF"/>
            <w:vAlign w:val="bottom"/>
          </w:tcPr>
          <w:p>
            <w:pPr>
              <w:spacing w:after="0"/>
              <w:rPr>
                <w:color w:val="auto"/>
                <w:sz w:val="10"/>
                <w:szCs w:val="10"/>
              </w:rPr>
            </w:pPr>
          </w:p>
        </w:tc>
        <w:tc>
          <w:tcPr>
            <w:tcW w:w="560" w:type="dxa"/>
            <w:shd w:val="clear" w:color="auto" w:fill="CCEEFF"/>
            <w:vAlign w:val="bottom"/>
          </w:tcPr>
          <w:p>
            <w:pPr>
              <w:spacing w:after="0"/>
              <w:rPr>
                <w:color w:val="auto"/>
                <w:sz w:val="10"/>
                <w:szCs w:val="10"/>
              </w:rPr>
            </w:pPr>
          </w:p>
        </w:tc>
        <w:tc>
          <w:tcPr>
            <w:tcW w:w="1120" w:type="dxa"/>
            <w:shd w:val="clear" w:color="auto" w:fill="CCEEFF"/>
            <w:vAlign w:val="bottom"/>
          </w:tcPr>
          <w:p>
            <w:pPr>
              <w:spacing w:after="0"/>
              <w:rPr>
                <w:color w:val="auto"/>
                <w:sz w:val="10"/>
                <w:szCs w:val="10"/>
              </w:rPr>
            </w:pPr>
          </w:p>
        </w:tc>
        <w:tc>
          <w:tcPr>
            <w:tcW w:w="400" w:type="dxa"/>
            <w:shd w:val="clear" w:color="auto" w:fill="CCEEFF"/>
            <w:vAlign w:val="bottom"/>
          </w:tcPr>
          <w:p>
            <w:pPr>
              <w:spacing w:after="0"/>
              <w:rPr>
                <w:color w:val="auto"/>
                <w:sz w:val="10"/>
                <w:szCs w:val="10"/>
              </w:rPr>
            </w:pPr>
          </w:p>
        </w:tc>
        <w:tc>
          <w:tcPr>
            <w:tcW w:w="1080" w:type="dxa"/>
            <w:shd w:val="clear" w:color="auto" w:fill="CCEEFF"/>
            <w:vAlign w:val="bottom"/>
          </w:tcPr>
          <w:p>
            <w:pPr>
              <w:spacing w:after="0"/>
              <w:rPr>
                <w:color w:val="auto"/>
                <w:sz w:val="10"/>
                <w:szCs w:val="10"/>
              </w:rPr>
            </w:pPr>
          </w:p>
        </w:tc>
        <w:tc>
          <w:tcPr>
            <w:tcW w:w="20" w:type="dxa"/>
            <w:vAlign w:val="bottom"/>
          </w:tcPr>
          <w:p>
            <w:pPr>
              <w:spacing w:after="0"/>
              <w:rPr>
                <w:color w:val="auto"/>
                <w:sz w:val="10"/>
                <w:szCs w:val="10"/>
              </w:rPr>
            </w:pPr>
          </w:p>
        </w:tc>
      </w:tr>
      <w:tr>
        <w:tblPrEx>
          <w:tblInd w:w="0" w:type="dxa"/>
          <w:tblLayout w:type="fixed"/>
        </w:tblPrEx>
        <w:trPr>
          <w:trHeight w:val="147"/>
        </w:trPr>
        <w:tc>
          <w:tcPr>
            <w:tcW w:w="1100" w:type="dxa"/>
            <w:vAlign w:val="bottom"/>
          </w:tcPr>
          <w:p>
            <w:pPr>
              <w:spacing w:after="0" w:line="142" w:lineRule="exact"/>
              <w:ind w:left="80"/>
              <w:rPr>
                <w:color w:val="auto"/>
                <w:sz w:val="20"/>
                <w:szCs w:val="20"/>
              </w:rPr>
            </w:pPr>
            <w:r>
              <w:rPr>
                <w:rFonts w:ascii="Calibri" w:eastAsia="Calibri" w:hAnsi="Calibri" w:cs="Calibri"/>
                <w:color w:val="auto"/>
                <w:sz w:val="12"/>
                <w:szCs w:val="12"/>
              </w:rPr>
              <w:t>Investments</w:t>
            </w:r>
          </w:p>
        </w:tc>
        <w:tc>
          <w:tcPr>
            <w:tcW w:w="7020" w:type="dxa"/>
            <w:vAlign w:val="bottom"/>
          </w:tcPr>
          <w:p>
            <w:pPr>
              <w:spacing w:after="0"/>
              <w:rPr>
                <w:color w:val="auto"/>
                <w:sz w:val="12"/>
                <w:szCs w:val="12"/>
              </w:rPr>
            </w:pPr>
          </w:p>
        </w:tc>
        <w:tc>
          <w:tcPr>
            <w:tcW w:w="560" w:type="dxa"/>
            <w:vAlign w:val="bottom"/>
          </w:tcPr>
          <w:p>
            <w:pPr>
              <w:spacing w:after="0"/>
              <w:rPr>
                <w:color w:val="auto"/>
                <w:sz w:val="12"/>
                <w:szCs w:val="12"/>
              </w:rPr>
            </w:pPr>
          </w:p>
        </w:tc>
        <w:tc>
          <w:tcPr>
            <w:tcW w:w="11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279</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304</w:t>
            </w:r>
          </w:p>
        </w:tc>
        <w:tc>
          <w:tcPr>
            <w:tcW w:w="20" w:type="dxa"/>
            <w:vAlign w:val="bottom"/>
          </w:tcPr>
          <w:p>
            <w:pPr>
              <w:spacing w:after="0"/>
              <w:rPr>
                <w:color w:val="auto"/>
                <w:sz w:val="12"/>
                <w:szCs w:val="12"/>
              </w:rPr>
            </w:pPr>
          </w:p>
        </w:tc>
      </w:tr>
      <w:tr>
        <w:tblPrEx>
          <w:tblInd w:w="0" w:type="dxa"/>
          <w:tblLayout w:type="fixed"/>
        </w:tblPrEx>
        <w:trPr>
          <w:trHeight w:val="159"/>
        </w:trPr>
        <w:tc>
          <w:tcPr>
            <w:tcW w:w="8120" w:type="dxa"/>
            <w:gridSpan w:val="2"/>
            <w:shd w:val="clear" w:color="auto" w:fill="CCEEFF"/>
            <w:vAlign w:val="bottom"/>
          </w:tcPr>
          <w:p>
            <w:pPr>
              <w:spacing w:after="0"/>
              <w:ind w:left="80"/>
              <w:rPr>
                <w:color w:val="auto"/>
                <w:sz w:val="20"/>
                <w:szCs w:val="20"/>
              </w:rPr>
            </w:pPr>
            <w:r>
              <w:rPr>
                <w:rFonts w:ascii="Calibri" w:eastAsia="Calibri" w:hAnsi="Calibri" w:cs="Calibri"/>
                <w:color w:val="auto"/>
                <w:sz w:val="12"/>
                <w:szCs w:val="12"/>
              </w:rPr>
              <w:t>Property and equipment, net</w:t>
            </w: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5,134</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4,989</w:t>
            </w:r>
          </w:p>
        </w:tc>
        <w:tc>
          <w:tcPr>
            <w:tcW w:w="20" w:type="dxa"/>
            <w:vAlign w:val="bottom"/>
          </w:tcPr>
          <w:p>
            <w:pPr>
              <w:spacing w:after="0"/>
              <w:rPr>
                <w:color w:val="auto"/>
                <w:sz w:val="13"/>
                <w:szCs w:val="13"/>
              </w:rPr>
            </w:pPr>
          </w:p>
        </w:tc>
      </w:tr>
      <w:tr>
        <w:tblPrEx>
          <w:tblInd w:w="0" w:type="dxa"/>
          <w:tblLayout w:type="fixed"/>
        </w:tblPrEx>
        <w:trPr>
          <w:trHeight w:val="147"/>
        </w:trPr>
        <w:tc>
          <w:tcPr>
            <w:tcW w:w="1100" w:type="dxa"/>
            <w:vAlign w:val="bottom"/>
          </w:tcPr>
          <w:p>
            <w:pPr>
              <w:spacing w:after="0" w:line="142" w:lineRule="exact"/>
              <w:ind w:left="80"/>
              <w:rPr>
                <w:color w:val="auto"/>
                <w:sz w:val="20"/>
                <w:szCs w:val="20"/>
              </w:rPr>
            </w:pPr>
            <w:r>
              <w:rPr>
                <w:rFonts w:ascii="Calibri" w:eastAsia="Calibri" w:hAnsi="Calibri" w:cs="Calibri"/>
                <w:color w:val="auto"/>
                <w:w w:val="96"/>
                <w:sz w:val="12"/>
                <w:szCs w:val="12"/>
              </w:rPr>
              <w:t>Intangible assets, net</w:t>
            </w:r>
          </w:p>
        </w:tc>
        <w:tc>
          <w:tcPr>
            <w:tcW w:w="7020" w:type="dxa"/>
            <w:vAlign w:val="bottom"/>
          </w:tcPr>
          <w:p>
            <w:pPr>
              <w:spacing w:after="0"/>
              <w:rPr>
                <w:color w:val="auto"/>
                <w:sz w:val="12"/>
                <w:szCs w:val="12"/>
              </w:rPr>
            </w:pPr>
          </w:p>
        </w:tc>
        <w:tc>
          <w:tcPr>
            <w:tcW w:w="560" w:type="dxa"/>
            <w:vAlign w:val="bottom"/>
          </w:tcPr>
          <w:p>
            <w:pPr>
              <w:spacing w:after="0"/>
              <w:rPr>
                <w:color w:val="auto"/>
                <w:sz w:val="12"/>
                <w:szCs w:val="12"/>
              </w:rPr>
            </w:pPr>
          </w:p>
        </w:tc>
        <w:tc>
          <w:tcPr>
            <w:tcW w:w="11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60,068</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55,610</w:t>
            </w:r>
          </w:p>
        </w:tc>
        <w:tc>
          <w:tcPr>
            <w:tcW w:w="20" w:type="dxa"/>
            <w:vAlign w:val="bottom"/>
          </w:tcPr>
          <w:p>
            <w:pPr>
              <w:spacing w:after="0"/>
              <w:rPr>
                <w:color w:val="auto"/>
                <w:sz w:val="12"/>
                <w:szCs w:val="12"/>
              </w:rPr>
            </w:pPr>
          </w:p>
        </w:tc>
      </w:tr>
      <w:tr>
        <w:tblPrEx>
          <w:tblInd w:w="0" w:type="dxa"/>
          <w:tblLayout w:type="fixed"/>
        </w:tblPrEx>
        <w:trPr>
          <w:trHeight w:val="159"/>
        </w:trPr>
        <w:tc>
          <w:tcPr>
            <w:tcW w:w="1100" w:type="dxa"/>
            <w:shd w:val="clear" w:color="auto" w:fill="CCEEFF"/>
            <w:vAlign w:val="bottom"/>
          </w:tcPr>
          <w:p>
            <w:pPr>
              <w:spacing w:after="0"/>
              <w:ind w:left="80"/>
              <w:rPr>
                <w:color w:val="auto"/>
                <w:sz w:val="20"/>
                <w:szCs w:val="20"/>
              </w:rPr>
            </w:pPr>
            <w:r>
              <w:rPr>
                <w:rFonts w:ascii="Calibri" w:eastAsia="Calibri" w:hAnsi="Calibri" w:cs="Calibri"/>
                <w:color w:val="auto"/>
                <w:sz w:val="12"/>
                <w:szCs w:val="12"/>
              </w:rPr>
              <w:t>Goodwill</w:t>
            </w:r>
          </w:p>
        </w:tc>
        <w:tc>
          <w:tcPr>
            <w:tcW w:w="7020" w:type="dxa"/>
            <w:shd w:val="clear" w:color="auto" w:fill="CCEEFF"/>
            <w:vAlign w:val="bottom"/>
          </w:tcPr>
          <w:p>
            <w:pPr>
              <w:spacing w:after="0"/>
              <w:rPr>
                <w:color w:val="auto"/>
                <w:sz w:val="13"/>
                <w:szCs w:val="13"/>
              </w:rPr>
            </w:pP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34,956</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32,293</w:t>
            </w:r>
          </w:p>
        </w:tc>
        <w:tc>
          <w:tcPr>
            <w:tcW w:w="20" w:type="dxa"/>
            <w:vAlign w:val="bottom"/>
          </w:tcPr>
          <w:p>
            <w:pPr>
              <w:spacing w:after="0"/>
              <w:rPr>
                <w:color w:val="auto"/>
                <w:sz w:val="13"/>
                <w:szCs w:val="13"/>
              </w:rPr>
            </w:pPr>
          </w:p>
        </w:tc>
      </w:tr>
      <w:tr>
        <w:tblPrEx>
          <w:tblInd w:w="0" w:type="dxa"/>
          <w:tblLayout w:type="fixed"/>
        </w:tblPrEx>
        <w:trPr>
          <w:trHeight w:val="147"/>
        </w:trPr>
        <w:tc>
          <w:tcPr>
            <w:tcW w:w="1100" w:type="dxa"/>
            <w:tcBorders>
              <w:bottom w:val="single" w:sz="8" w:space="0" w:color="auto"/>
            </w:tcBorders>
            <w:vAlign w:val="bottom"/>
          </w:tcPr>
          <w:p>
            <w:pPr>
              <w:spacing w:after="0" w:line="142" w:lineRule="exact"/>
              <w:ind w:left="80"/>
              <w:rPr>
                <w:color w:val="auto"/>
                <w:sz w:val="20"/>
                <w:szCs w:val="20"/>
              </w:rPr>
            </w:pPr>
            <w:r>
              <w:rPr>
                <w:rFonts w:ascii="Calibri" w:eastAsia="Calibri" w:hAnsi="Calibri" w:cs="Calibri"/>
                <w:color w:val="auto"/>
                <w:sz w:val="12"/>
                <w:szCs w:val="12"/>
              </w:rPr>
              <w:t>Other assets</w:t>
            </w:r>
          </w:p>
        </w:tc>
        <w:tc>
          <w:tcPr>
            <w:tcW w:w="7020" w:type="dxa"/>
            <w:tcBorders>
              <w:bottom w:val="single" w:sz="8" w:space="0" w:color="auto"/>
            </w:tcBorders>
            <w:vAlign w:val="bottom"/>
          </w:tcPr>
          <w:p>
            <w:pPr>
              <w:spacing w:after="0"/>
              <w:rPr>
                <w:color w:val="auto"/>
                <w:sz w:val="12"/>
                <w:szCs w:val="12"/>
              </w:rPr>
            </w:pPr>
          </w:p>
        </w:tc>
        <w:tc>
          <w:tcPr>
            <w:tcW w:w="56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9,142</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8,513</w:t>
            </w:r>
          </w:p>
        </w:tc>
        <w:tc>
          <w:tcPr>
            <w:tcW w:w="20" w:type="dxa"/>
            <w:vAlign w:val="bottom"/>
          </w:tcPr>
          <w:p>
            <w:pPr>
              <w:spacing w:after="0"/>
              <w:rPr>
                <w:color w:val="auto"/>
                <w:sz w:val="12"/>
                <w:szCs w:val="12"/>
              </w:rPr>
            </w:pPr>
          </w:p>
        </w:tc>
      </w:tr>
      <w:tr>
        <w:tblPrEx>
          <w:tblInd w:w="0" w:type="dxa"/>
          <w:tblLayout w:type="fixed"/>
        </w:tblPrEx>
        <w:trPr>
          <w:trHeight w:val="164"/>
        </w:trPr>
        <w:tc>
          <w:tcPr>
            <w:tcW w:w="1100" w:type="dxa"/>
            <w:tcBorders>
              <w:bottom w:val="single" w:sz="8" w:space="0" w:color="auto"/>
            </w:tcBorders>
            <w:shd w:val="clear" w:color="auto" w:fill="CCEEFF"/>
            <w:vAlign w:val="bottom"/>
          </w:tcPr>
          <w:p>
            <w:pPr>
              <w:spacing w:after="0" w:line="142" w:lineRule="exact"/>
              <w:ind w:left="80"/>
              <w:rPr>
                <w:color w:val="auto"/>
                <w:sz w:val="20"/>
                <w:szCs w:val="20"/>
              </w:rPr>
            </w:pPr>
            <w:r>
              <w:rPr>
                <w:rFonts w:ascii="Calibri" w:eastAsia="Calibri" w:hAnsi="Calibri" w:cs="Calibri"/>
                <w:b/>
                <w:bCs/>
                <w:color w:val="auto"/>
                <w:sz w:val="12"/>
                <w:szCs w:val="12"/>
              </w:rPr>
              <w:t>Total assets</w:t>
            </w:r>
          </w:p>
        </w:tc>
        <w:tc>
          <w:tcPr>
            <w:tcW w:w="7020" w:type="dxa"/>
            <w:tcBorders>
              <w:bottom w:val="single" w:sz="8" w:space="0" w:color="auto"/>
            </w:tcBorders>
            <w:shd w:val="clear" w:color="auto" w:fill="CCEEFF"/>
            <w:vAlign w:val="bottom"/>
          </w:tcPr>
          <w:p>
            <w:pPr>
              <w:spacing w:after="0"/>
              <w:rPr>
                <w:color w:val="auto"/>
                <w:sz w:val="14"/>
                <w:szCs w:val="14"/>
              </w:rPr>
            </w:pPr>
          </w:p>
        </w:tc>
        <w:tc>
          <w:tcPr>
            <w:tcW w:w="56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135,161</w:t>
            </w:r>
          </w:p>
        </w:tc>
        <w:tc>
          <w:tcPr>
            <w:tcW w:w="4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134,711</w:t>
            </w:r>
          </w:p>
        </w:tc>
        <w:tc>
          <w:tcPr>
            <w:tcW w:w="20" w:type="dxa"/>
            <w:vAlign w:val="bottom"/>
          </w:tcPr>
          <w:p>
            <w:pPr>
              <w:spacing w:after="0"/>
              <w:rPr>
                <w:color w:val="auto"/>
                <w:sz w:val="14"/>
                <w:szCs w:val="14"/>
              </w:rPr>
            </w:pPr>
          </w:p>
        </w:tc>
      </w:tr>
      <w:tr>
        <w:tblPrEx>
          <w:tblInd w:w="0" w:type="dxa"/>
          <w:tblLayout w:type="fixed"/>
        </w:tblPrEx>
        <w:trPr>
          <w:trHeight w:val="117"/>
        </w:trPr>
        <w:tc>
          <w:tcPr>
            <w:tcW w:w="1100" w:type="dxa"/>
            <w:vAlign w:val="bottom"/>
          </w:tcPr>
          <w:p>
            <w:pPr>
              <w:spacing w:after="0"/>
              <w:rPr>
                <w:color w:val="auto"/>
                <w:sz w:val="10"/>
                <w:szCs w:val="10"/>
              </w:rPr>
            </w:pPr>
          </w:p>
        </w:tc>
        <w:tc>
          <w:tcPr>
            <w:tcW w:w="7020" w:type="dxa"/>
            <w:vAlign w:val="bottom"/>
          </w:tcPr>
          <w:p>
            <w:pPr>
              <w:spacing w:after="0"/>
              <w:rPr>
                <w:color w:val="auto"/>
                <w:sz w:val="10"/>
                <w:szCs w:val="10"/>
              </w:rPr>
            </w:pPr>
          </w:p>
        </w:tc>
        <w:tc>
          <w:tcPr>
            <w:tcW w:w="56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400" w:type="dxa"/>
            <w:vAlign w:val="bottom"/>
          </w:tcPr>
          <w:p>
            <w:pPr>
              <w:spacing w:after="0"/>
              <w:rPr>
                <w:color w:val="auto"/>
                <w:sz w:val="10"/>
                <w:szCs w:val="10"/>
              </w:rPr>
            </w:pPr>
          </w:p>
        </w:tc>
        <w:tc>
          <w:tcPr>
            <w:tcW w:w="1080" w:type="dxa"/>
            <w:vAlign w:val="bottom"/>
          </w:tcPr>
          <w:p>
            <w:pPr>
              <w:spacing w:after="0"/>
              <w:rPr>
                <w:color w:val="auto"/>
                <w:sz w:val="10"/>
                <w:szCs w:val="10"/>
              </w:rPr>
            </w:pPr>
          </w:p>
        </w:tc>
        <w:tc>
          <w:tcPr>
            <w:tcW w:w="20" w:type="dxa"/>
            <w:vAlign w:val="bottom"/>
          </w:tcPr>
          <w:p>
            <w:pPr>
              <w:spacing w:after="0"/>
              <w:rPr>
                <w:color w:val="auto"/>
                <w:sz w:val="10"/>
                <w:szCs w:val="10"/>
              </w:rPr>
            </w:pPr>
          </w:p>
        </w:tc>
      </w:tr>
      <w:tr>
        <w:tblPrEx>
          <w:tblInd w:w="0" w:type="dxa"/>
          <w:tblLayout w:type="fixed"/>
        </w:tblPrEx>
        <w:trPr>
          <w:trHeight w:val="153"/>
        </w:trPr>
        <w:tc>
          <w:tcPr>
            <w:tcW w:w="1100" w:type="dxa"/>
            <w:shd w:val="clear" w:color="auto" w:fill="CCEEFF"/>
            <w:vAlign w:val="bottom"/>
          </w:tcPr>
          <w:p>
            <w:pPr>
              <w:spacing w:after="0" w:line="142" w:lineRule="exact"/>
              <w:ind w:left="20"/>
              <w:rPr>
                <w:color w:val="auto"/>
                <w:sz w:val="20"/>
                <w:szCs w:val="20"/>
              </w:rPr>
            </w:pPr>
            <w:r>
              <w:rPr>
                <w:rFonts w:ascii="Calibri" w:eastAsia="Calibri" w:hAnsi="Calibri" w:cs="Calibri"/>
                <w:b/>
                <w:bCs/>
                <w:color w:val="auto"/>
                <w:sz w:val="12"/>
                <w:szCs w:val="12"/>
              </w:rPr>
              <w:t>Liabilites and Equity</w:t>
            </w:r>
          </w:p>
        </w:tc>
        <w:tc>
          <w:tcPr>
            <w:tcW w:w="7020" w:type="dxa"/>
            <w:shd w:val="clear" w:color="auto" w:fill="CCEEFF"/>
            <w:vAlign w:val="bottom"/>
          </w:tcPr>
          <w:p>
            <w:pPr>
              <w:spacing w:after="0"/>
              <w:rPr>
                <w:color w:val="auto"/>
                <w:sz w:val="13"/>
                <w:szCs w:val="13"/>
              </w:rPr>
            </w:pP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rPr>
                <w:color w:val="auto"/>
                <w:sz w:val="13"/>
                <w:szCs w:val="13"/>
              </w:rPr>
            </w:pPr>
          </w:p>
        </w:tc>
        <w:tc>
          <w:tcPr>
            <w:tcW w:w="20" w:type="dxa"/>
            <w:vAlign w:val="bottom"/>
          </w:tcPr>
          <w:p>
            <w:pPr>
              <w:spacing w:after="0"/>
              <w:rPr>
                <w:color w:val="auto"/>
                <w:sz w:val="13"/>
                <w:szCs w:val="13"/>
              </w:rPr>
            </w:pPr>
          </w:p>
        </w:tc>
      </w:tr>
      <w:tr>
        <w:tblPrEx>
          <w:tblInd w:w="0" w:type="dxa"/>
          <w:tblLayout w:type="fixed"/>
        </w:tblPrEx>
        <w:trPr>
          <w:trHeight w:val="147"/>
        </w:trPr>
        <w:tc>
          <w:tcPr>
            <w:tcW w:w="1100" w:type="dxa"/>
            <w:vAlign w:val="bottom"/>
          </w:tcPr>
          <w:p>
            <w:pPr>
              <w:spacing w:after="0" w:line="142" w:lineRule="exact"/>
              <w:ind w:left="80"/>
              <w:rPr>
                <w:color w:val="auto"/>
                <w:sz w:val="20"/>
                <w:szCs w:val="20"/>
              </w:rPr>
            </w:pPr>
            <w:r>
              <w:rPr>
                <w:rFonts w:ascii="Calibri" w:eastAsia="Calibri" w:hAnsi="Calibri" w:cs="Calibri"/>
                <w:b/>
                <w:bCs/>
                <w:color w:val="auto"/>
                <w:sz w:val="12"/>
                <w:szCs w:val="12"/>
              </w:rPr>
              <w:t>Current liabilites</w:t>
            </w:r>
          </w:p>
        </w:tc>
        <w:tc>
          <w:tcPr>
            <w:tcW w:w="7020" w:type="dxa"/>
            <w:vAlign w:val="bottom"/>
          </w:tcPr>
          <w:p>
            <w:pPr>
              <w:spacing w:after="0"/>
              <w:rPr>
                <w:color w:val="auto"/>
                <w:sz w:val="12"/>
                <w:szCs w:val="12"/>
              </w:rPr>
            </w:pPr>
          </w:p>
        </w:tc>
        <w:tc>
          <w:tcPr>
            <w:tcW w:w="56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08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0" w:type="dxa"/>
          <w:tblLayout w:type="fixed"/>
        </w:tblPrEx>
        <w:trPr>
          <w:trHeight w:val="159"/>
        </w:trPr>
        <w:tc>
          <w:tcPr>
            <w:tcW w:w="8120" w:type="dxa"/>
            <w:gridSpan w:val="2"/>
            <w:shd w:val="clear" w:color="auto" w:fill="CCEEFF"/>
            <w:vAlign w:val="bottom"/>
          </w:tcPr>
          <w:p>
            <w:pPr>
              <w:spacing w:after="0"/>
              <w:ind w:left="80"/>
              <w:rPr>
                <w:color w:val="auto"/>
                <w:sz w:val="20"/>
                <w:szCs w:val="20"/>
              </w:rPr>
            </w:pPr>
            <w:r>
              <w:rPr>
                <w:rFonts w:ascii="Calibri" w:eastAsia="Calibri" w:hAnsi="Calibri" w:cs="Calibri"/>
                <w:color w:val="auto"/>
                <w:sz w:val="12"/>
                <w:szCs w:val="12"/>
              </w:rPr>
              <w:t>Current porton of long-term debt and fnance lease obligatons</w:t>
            </w:r>
          </w:p>
        </w:tc>
        <w:tc>
          <w:tcPr>
            <w:tcW w:w="56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6,804</w:t>
            </w:r>
          </w:p>
        </w:tc>
        <w:tc>
          <w:tcPr>
            <w:tcW w:w="4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7,191</w:t>
            </w:r>
          </w:p>
        </w:tc>
        <w:tc>
          <w:tcPr>
            <w:tcW w:w="20" w:type="dxa"/>
            <w:vAlign w:val="bottom"/>
          </w:tcPr>
          <w:p>
            <w:pPr>
              <w:spacing w:after="0"/>
              <w:rPr>
                <w:color w:val="auto"/>
                <w:sz w:val="13"/>
                <w:szCs w:val="13"/>
              </w:rPr>
            </w:pPr>
          </w:p>
        </w:tc>
      </w:tr>
      <w:tr>
        <w:tblPrEx>
          <w:tblInd w:w="0" w:type="dxa"/>
          <w:tblLayout w:type="fixed"/>
        </w:tblPrEx>
        <w:trPr>
          <w:trHeight w:val="147"/>
        </w:trPr>
        <w:tc>
          <w:tcPr>
            <w:tcW w:w="8120" w:type="dxa"/>
            <w:gridSpan w:val="2"/>
            <w:tcBorders>
              <w:bottom w:val="single" w:sz="8" w:space="0" w:color="auto"/>
            </w:tcBorders>
            <w:vAlign w:val="bottom"/>
          </w:tcPr>
          <w:p>
            <w:pPr>
              <w:spacing w:after="0" w:line="142" w:lineRule="exact"/>
              <w:ind w:left="80"/>
              <w:rPr>
                <w:color w:val="auto"/>
                <w:sz w:val="20"/>
                <w:szCs w:val="20"/>
              </w:rPr>
            </w:pPr>
            <w:r>
              <w:rPr>
                <w:rFonts w:ascii="Calibri" w:eastAsia="Calibri" w:hAnsi="Calibri" w:cs="Calibri"/>
                <w:color w:val="auto"/>
                <w:sz w:val="12"/>
                <w:szCs w:val="12"/>
              </w:rPr>
              <w:t>Accounts payable and accrued liabilites</w:t>
            </w:r>
          </w:p>
        </w:tc>
        <w:tc>
          <w:tcPr>
            <w:tcW w:w="56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31,945</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30,650</w:t>
            </w:r>
          </w:p>
        </w:tc>
        <w:tc>
          <w:tcPr>
            <w:tcW w:w="20" w:type="dxa"/>
            <w:vAlign w:val="bottom"/>
          </w:tcPr>
          <w:p>
            <w:pPr>
              <w:spacing w:after="0"/>
              <w:rPr>
                <w:color w:val="auto"/>
                <w:sz w:val="12"/>
                <w:szCs w:val="12"/>
              </w:rPr>
            </w:pPr>
          </w:p>
        </w:tc>
      </w:tr>
      <w:tr>
        <w:tblPrEx>
          <w:tblInd w:w="0" w:type="dxa"/>
          <w:tblLayout w:type="fixed"/>
        </w:tblPrEx>
        <w:trPr>
          <w:trHeight w:val="142"/>
        </w:trPr>
        <w:tc>
          <w:tcPr>
            <w:tcW w:w="8120" w:type="dxa"/>
            <w:gridSpan w:val="2"/>
            <w:tcBorders>
              <w:bottom w:val="single" w:sz="8" w:space="0" w:color="auto"/>
            </w:tcBorders>
            <w:shd w:val="clear" w:color="auto" w:fill="CCEEFF"/>
            <w:vAlign w:val="bottom"/>
          </w:tcPr>
          <w:p>
            <w:pPr>
              <w:spacing w:after="0" w:line="142" w:lineRule="exact"/>
              <w:ind w:left="80"/>
              <w:rPr>
                <w:color w:val="auto"/>
                <w:sz w:val="20"/>
                <w:szCs w:val="20"/>
              </w:rPr>
            </w:pPr>
            <w:r>
              <w:rPr>
                <w:rFonts w:ascii="Calibri" w:eastAsia="Calibri" w:hAnsi="Calibri" w:cs="Calibri"/>
                <w:b/>
                <w:bCs/>
                <w:color w:val="auto"/>
                <w:sz w:val="12"/>
                <w:szCs w:val="12"/>
              </w:rPr>
              <w:t>Total current liabilites</w:t>
            </w:r>
          </w:p>
        </w:tc>
        <w:tc>
          <w:tcPr>
            <w:tcW w:w="56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38,749</w:t>
            </w:r>
          </w:p>
        </w:tc>
        <w:tc>
          <w:tcPr>
            <w:tcW w:w="400" w:type="dxa"/>
            <w:tcBorders>
              <w:bottom w:val="single" w:sz="8" w:space="0" w:color="auto"/>
            </w:tcBorders>
            <w:shd w:val="clear" w:color="auto" w:fill="CCEEFF"/>
            <w:vAlign w:val="bottom"/>
          </w:tcPr>
          <w:p>
            <w:pPr>
              <w:spacing w:after="0"/>
              <w:rPr>
                <w:color w:val="auto"/>
                <w:sz w:val="12"/>
                <w:szCs w:val="12"/>
              </w:rPr>
            </w:pPr>
          </w:p>
        </w:tc>
        <w:tc>
          <w:tcPr>
            <w:tcW w:w="10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37,841</w:t>
            </w:r>
          </w:p>
        </w:tc>
        <w:tc>
          <w:tcPr>
            <w:tcW w:w="20" w:type="dxa"/>
            <w:vAlign w:val="bottom"/>
          </w:tcPr>
          <w:p>
            <w:pPr>
              <w:spacing w:after="0"/>
              <w:rPr>
                <w:color w:val="auto"/>
                <w:sz w:val="12"/>
                <w:szCs w:val="12"/>
              </w:rPr>
            </w:pPr>
          </w:p>
        </w:tc>
      </w:tr>
      <w:tr>
        <w:tblPrEx>
          <w:tblInd w:w="0" w:type="dxa"/>
          <w:tblLayout w:type="fixed"/>
        </w:tblPrEx>
        <w:trPr>
          <w:trHeight w:val="121"/>
        </w:trPr>
        <w:tc>
          <w:tcPr>
            <w:tcW w:w="1100" w:type="dxa"/>
            <w:vAlign w:val="bottom"/>
          </w:tcPr>
          <w:p>
            <w:pPr>
              <w:spacing w:after="0"/>
              <w:rPr>
                <w:color w:val="auto"/>
                <w:sz w:val="10"/>
                <w:szCs w:val="10"/>
              </w:rPr>
            </w:pPr>
          </w:p>
        </w:tc>
        <w:tc>
          <w:tcPr>
            <w:tcW w:w="7020" w:type="dxa"/>
            <w:vAlign w:val="bottom"/>
          </w:tcPr>
          <w:p>
            <w:pPr>
              <w:spacing w:after="0"/>
              <w:rPr>
                <w:color w:val="auto"/>
                <w:sz w:val="10"/>
                <w:szCs w:val="10"/>
              </w:rPr>
            </w:pPr>
          </w:p>
        </w:tc>
        <w:tc>
          <w:tcPr>
            <w:tcW w:w="56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400" w:type="dxa"/>
            <w:vAlign w:val="bottom"/>
          </w:tcPr>
          <w:p>
            <w:pPr>
              <w:spacing w:after="0"/>
              <w:rPr>
                <w:color w:val="auto"/>
                <w:sz w:val="10"/>
                <w:szCs w:val="10"/>
              </w:rPr>
            </w:pPr>
          </w:p>
        </w:tc>
        <w:tc>
          <w:tcPr>
            <w:tcW w:w="1080" w:type="dxa"/>
            <w:vAlign w:val="bottom"/>
          </w:tcPr>
          <w:p>
            <w:pPr>
              <w:spacing w:after="0"/>
              <w:rPr>
                <w:color w:val="auto"/>
                <w:sz w:val="10"/>
                <w:szCs w:val="10"/>
              </w:rPr>
            </w:pPr>
          </w:p>
        </w:tc>
        <w:tc>
          <w:tcPr>
            <w:tcW w:w="20" w:type="dxa"/>
            <w:vAlign w:val="bottom"/>
          </w:tcPr>
          <w:p>
            <w:pPr>
              <w:spacing w:after="0"/>
              <w:rPr>
                <w:color w:val="auto"/>
                <w:sz w:val="10"/>
                <w:szCs w:val="10"/>
              </w:rPr>
            </w:pPr>
          </w:p>
        </w:tc>
      </w:tr>
      <w:tr>
        <w:tblPrEx>
          <w:tblInd w:w="0" w:type="dxa"/>
          <w:tblLayout w:type="fixed"/>
        </w:tblPrEx>
        <w:trPr>
          <w:trHeight w:val="153"/>
        </w:trPr>
        <w:tc>
          <w:tcPr>
            <w:tcW w:w="8120" w:type="dxa"/>
            <w:gridSpan w:val="2"/>
            <w:shd w:val="clear" w:color="auto" w:fill="CCEEFF"/>
            <w:vAlign w:val="bottom"/>
          </w:tcPr>
          <w:p>
            <w:pPr>
              <w:spacing w:after="0" w:line="142" w:lineRule="exact"/>
              <w:ind w:left="80"/>
              <w:rPr>
                <w:color w:val="auto"/>
                <w:sz w:val="20"/>
                <w:szCs w:val="20"/>
              </w:rPr>
            </w:pPr>
            <w:r>
              <w:rPr>
                <w:rFonts w:ascii="Calibri" w:eastAsia="Calibri" w:hAnsi="Calibri" w:cs="Calibri"/>
                <w:color w:val="auto"/>
                <w:sz w:val="12"/>
                <w:szCs w:val="12"/>
              </w:rPr>
              <w:t>Long-term debt and fnance lease obligatons</w:t>
            </w: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60,340</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52,194</w:t>
            </w:r>
          </w:p>
        </w:tc>
        <w:tc>
          <w:tcPr>
            <w:tcW w:w="20" w:type="dxa"/>
            <w:vAlign w:val="bottom"/>
          </w:tcPr>
          <w:p>
            <w:pPr>
              <w:spacing w:after="0"/>
              <w:rPr>
                <w:color w:val="auto"/>
                <w:sz w:val="13"/>
                <w:szCs w:val="13"/>
              </w:rPr>
            </w:pPr>
          </w:p>
        </w:tc>
      </w:tr>
      <w:tr>
        <w:tblPrEx>
          <w:tblInd w:w="0" w:type="dxa"/>
          <w:tblLayout w:type="fixed"/>
        </w:tblPrEx>
        <w:trPr>
          <w:trHeight w:val="147"/>
        </w:trPr>
        <w:tc>
          <w:tcPr>
            <w:tcW w:w="8120" w:type="dxa"/>
            <w:gridSpan w:val="2"/>
            <w:vAlign w:val="bottom"/>
          </w:tcPr>
          <w:p>
            <w:pPr>
              <w:spacing w:after="0" w:line="142" w:lineRule="exact"/>
              <w:ind w:left="80"/>
              <w:rPr>
                <w:color w:val="auto"/>
                <w:sz w:val="20"/>
                <w:szCs w:val="20"/>
              </w:rPr>
            </w:pPr>
            <w:r>
              <w:rPr>
                <w:rFonts w:ascii="Calibri" w:eastAsia="Calibri" w:hAnsi="Calibri" w:cs="Calibri"/>
                <w:color w:val="auto"/>
                <w:sz w:val="12"/>
                <w:szCs w:val="12"/>
              </w:rPr>
              <w:t>Deferred income taxes</w:t>
            </w:r>
          </w:p>
        </w:tc>
        <w:tc>
          <w:tcPr>
            <w:tcW w:w="560" w:type="dxa"/>
            <w:vAlign w:val="bottom"/>
          </w:tcPr>
          <w:p>
            <w:pPr>
              <w:spacing w:after="0"/>
              <w:rPr>
                <w:color w:val="auto"/>
                <w:sz w:val="12"/>
                <w:szCs w:val="12"/>
              </w:rPr>
            </w:pPr>
          </w:p>
        </w:tc>
        <w:tc>
          <w:tcPr>
            <w:tcW w:w="11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2,579</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1,952</w:t>
            </w:r>
          </w:p>
        </w:tc>
        <w:tc>
          <w:tcPr>
            <w:tcW w:w="20" w:type="dxa"/>
            <w:vAlign w:val="bottom"/>
          </w:tcPr>
          <w:p>
            <w:pPr>
              <w:spacing w:after="0"/>
              <w:rPr>
                <w:color w:val="auto"/>
                <w:sz w:val="12"/>
                <w:szCs w:val="12"/>
              </w:rPr>
            </w:pPr>
          </w:p>
        </w:tc>
      </w:tr>
      <w:tr>
        <w:tblPrEx>
          <w:tblInd w:w="0" w:type="dxa"/>
          <w:tblLayout w:type="fixed"/>
        </w:tblPrEx>
        <w:trPr>
          <w:trHeight w:val="159"/>
        </w:trPr>
        <w:tc>
          <w:tcPr>
            <w:tcW w:w="8120" w:type="dxa"/>
            <w:gridSpan w:val="2"/>
            <w:shd w:val="clear" w:color="auto" w:fill="CCEEFF"/>
            <w:vAlign w:val="bottom"/>
          </w:tcPr>
          <w:p>
            <w:pPr>
              <w:spacing w:after="0"/>
              <w:ind w:left="80"/>
              <w:rPr>
                <w:color w:val="auto"/>
                <w:sz w:val="20"/>
                <w:szCs w:val="20"/>
              </w:rPr>
            </w:pPr>
            <w:r>
              <w:rPr>
                <w:rFonts w:ascii="Calibri" w:eastAsia="Calibri" w:hAnsi="Calibri" w:cs="Calibri"/>
                <w:color w:val="auto"/>
                <w:sz w:val="12"/>
                <w:szCs w:val="12"/>
              </w:rPr>
              <w:t>Other long-term liabilites</w:t>
            </w: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30,129</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32,327</w:t>
            </w:r>
          </w:p>
        </w:tc>
        <w:tc>
          <w:tcPr>
            <w:tcW w:w="20" w:type="dxa"/>
            <w:vAlign w:val="bottom"/>
          </w:tcPr>
          <w:p>
            <w:pPr>
              <w:spacing w:after="0"/>
              <w:rPr>
                <w:color w:val="auto"/>
                <w:sz w:val="13"/>
                <w:szCs w:val="13"/>
              </w:rPr>
            </w:pPr>
          </w:p>
        </w:tc>
      </w:tr>
      <w:tr>
        <w:tblPrEx>
          <w:tblInd w:w="0" w:type="dxa"/>
          <w:tblLayout w:type="fixed"/>
        </w:tblPrEx>
        <w:trPr>
          <w:trHeight w:val="135"/>
        </w:trPr>
        <w:tc>
          <w:tcPr>
            <w:tcW w:w="8120" w:type="dxa"/>
            <w:gridSpan w:val="2"/>
            <w:vAlign w:val="bottom"/>
          </w:tcPr>
          <w:p>
            <w:pPr>
              <w:spacing w:after="0"/>
              <w:rPr>
                <w:color w:val="auto"/>
                <w:sz w:val="11"/>
                <w:szCs w:val="11"/>
              </w:rPr>
            </w:pPr>
          </w:p>
        </w:tc>
        <w:tc>
          <w:tcPr>
            <w:tcW w:w="56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080" w:type="dxa"/>
            <w:vAlign w:val="bottom"/>
          </w:tcPr>
          <w:p>
            <w:pPr>
              <w:spacing w:after="0"/>
              <w:rPr>
                <w:color w:val="auto"/>
                <w:sz w:val="11"/>
                <w:szCs w:val="11"/>
              </w:rPr>
            </w:pPr>
          </w:p>
        </w:tc>
        <w:tc>
          <w:tcPr>
            <w:tcW w:w="20" w:type="dxa"/>
            <w:vAlign w:val="bottom"/>
          </w:tcPr>
          <w:p>
            <w:pPr>
              <w:spacing w:after="0"/>
              <w:rPr>
                <w:color w:val="auto"/>
                <w:sz w:val="11"/>
                <w:szCs w:val="11"/>
              </w:rPr>
            </w:pPr>
          </w:p>
        </w:tc>
      </w:tr>
      <w:tr>
        <w:tblPrEx>
          <w:tblInd w:w="0" w:type="dxa"/>
          <w:tblLayout w:type="fixed"/>
        </w:tblPrEx>
        <w:trPr>
          <w:trHeight w:val="153"/>
        </w:trPr>
        <w:tc>
          <w:tcPr>
            <w:tcW w:w="8120" w:type="dxa"/>
            <w:gridSpan w:val="2"/>
            <w:shd w:val="clear" w:color="auto" w:fill="CCEEFF"/>
            <w:vAlign w:val="bottom"/>
          </w:tcPr>
          <w:p>
            <w:pPr>
              <w:spacing w:after="0" w:line="142" w:lineRule="exact"/>
              <w:ind w:left="80"/>
              <w:rPr>
                <w:color w:val="auto"/>
                <w:sz w:val="20"/>
                <w:szCs w:val="20"/>
              </w:rPr>
            </w:pPr>
            <w:r>
              <w:rPr>
                <w:rFonts w:ascii="Calibri" w:eastAsia="Calibri" w:hAnsi="Calibri" w:cs="Calibri"/>
                <w:color w:val="auto"/>
                <w:sz w:val="12"/>
                <w:szCs w:val="12"/>
              </w:rPr>
              <w:t>Commitments and contngencies</w:t>
            </w: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rPr>
                <w:color w:val="auto"/>
                <w:sz w:val="13"/>
                <w:szCs w:val="13"/>
              </w:rPr>
            </w:pPr>
          </w:p>
        </w:tc>
        <w:tc>
          <w:tcPr>
            <w:tcW w:w="20" w:type="dxa"/>
            <w:vAlign w:val="bottom"/>
          </w:tcPr>
          <w:p>
            <w:pPr>
              <w:spacing w:after="0"/>
              <w:rPr>
                <w:color w:val="auto"/>
                <w:sz w:val="13"/>
                <w:szCs w:val="13"/>
              </w:rPr>
            </w:pPr>
          </w:p>
        </w:tc>
      </w:tr>
      <w:tr>
        <w:tblPrEx>
          <w:tblInd w:w="0" w:type="dxa"/>
          <w:tblLayout w:type="fixed"/>
        </w:tblPrEx>
        <w:trPr>
          <w:trHeight w:val="135"/>
        </w:trPr>
        <w:tc>
          <w:tcPr>
            <w:tcW w:w="1100" w:type="dxa"/>
            <w:vAlign w:val="bottom"/>
          </w:tcPr>
          <w:p>
            <w:pPr>
              <w:spacing w:after="0"/>
              <w:rPr>
                <w:color w:val="auto"/>
                <w:sz w:val="11"/>
                <w:szCs w:val="11"/>
              </w:rPr>
            </w:pPr>
          </w:p>
        </w:tc>
        <w:tc>
          <w:tcPr>
            <w:tcW w:w="7020" w:type="dxa"/>
            <w:vAlign w:val="bottom"/>
          </w:tcPr>
          <w:p>
            <w:pPr>
              <w:spacing w:after="0"/>
              <w:rPr>
                <w:color w:val="auto"/>
                <w:sz w:val="11"/>
                <w:szCs w:val="11"/>
              </w:rPr>
            </w:pPr>
          </w:p>
        </w:tc>
        <w:tc>
          <w:tcPr>
            <w:tcW w:w="56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080" w:type="dxa"/>
            <w:vAlign w:val="bottom"/>
          </w:tcPr>
          <w:p>
            <w:pPr>
              <w:spacing w:after="0"/>
              <w:rPr>
                <w:color w:val="auto"/>
                <w:sz w:val="11"/>
                <w:szCs w:val="11"/>
              </w:rPr>
            </w:pPr>
          </w:p>
        </w:tc>
        <w:tc>
          <w:tcPr>
            <w:tcW w:w="20" w:type="dxa"/>
            <w:vAlign w:val="bottom"/>
          </w:tcPr>
          <w:p>
            <w:pPr>
              <w:spacing w:after="0"/>
              <w:rPr>
                <w:color w:val="auto"/>
                <w:sz w:val="11"/>
                <w:szCs w:val="11"/>
              </w:rPr>
            </w:pPr>
          </w:p>
        </w:tc>
      </w:tr>
      <w:tr>
        <w:tblPrEx>
          <w:tblInd w:w="0" w:type="dxa"/>
          <w:tblLayout w:type="fixed"/>
        </w:tblPrEx>
        <w:trPr>
          <w:trHeight w:val="153"/>
        </w:trPr>
        <w:tc>
          <w:tcPr>
            <w:tcW w:w="1100" w:type="dxa"/>
            <w:shd w:val="clear" w:color="auto" w:fill="CCEEFF"/>
            <w:vAlign w:val="bottom"/>
          </w:tcPr>
          <w:p>
            <w:pPr>
              <w:spacing w:after="0" w:line="142" w:lineRule="exact"/>
              <w:ind w:left="80"/>
              <w:rPr>
                <w:color w:val="auto"/>
                <w:sz w:val="20"/>
                <w:szCs w:val="20"/>
              </w:rPr>
            </w:pPr>
            <w:r>
              <w:rPr>
                <w:rFonts w:ascii="Calibri" w:eastAsia="Calibri" w:hAnsi="Calibri" w:cs="Calibri"/>
                <w:b/>
                <w:bCs/>
                <w:color w:val="auto"/>
                <w:w w:val="98"/>
                <w:sz w:val="12"/>
                <w:szCs w:val="12"/>
              </w:rPr>
              <w:t>Stockholders' equity</w:t>
            </w:r>
          </w:p>
        </w:tc>
        <w:tc>
          <w:tcPr>
            <w:tcW w:w="7020" w:type="dxa"/>
            <w:shd w:val="clear" w:color="auto" w:fill="CCEEFF"/>
            <w:vAlign w:val="bottom"/>
          </w:tcPr>
          <w:p>
            <w:pPr>
              <w:spacing w:after="0"/>
              <w:rPr>
                <w:color w:val="auto"/>
                <w:sz w:val="13"/>
                <w:szCs w:val="13"/>
              </w:rPr>
            </w:pP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rPr>
                <w:color w:val="auto"/>
                <w:sz w:val="13"/>
                <w:szCs w:val="13"/>
              </w:rPr>
            </w:pPr>
          </w:p>
        </w:tc>
        <w:tc>
          <w:tcPr>
            <w:tcW w:w="20" w:type="dxa"/>
            <w:vAlign w:val="bottom"/>
          </w:tcPr>
          <w:p>
            <w:pPr>
              <w:spacing w:after="0"/>
              <w:rPr>
                <w:color w:val="auto"/>
                <w:sz w:val="13"/>
                <w:szCs w:val="13"/>
              </w:rPr>
            </w:pPr>
          </w:p>
        </w:tc>
      </w:tr>
      <w:tr>
        <w:tblPrEx>
          <w:tblInd w:w="0" w:type="dxa"/>
          <w:tblLayout w:type="fixed"/>
        </w:tblPrEx>
        <w:trPr>
          <w:trHeight w:val="147"/>
        </w:trPr>
        <w:tc>
          <w:tcPr>
            <w:tcW w:w="8120" w:type="dxa"/>
            <w:gridSpan w:val="2"/>
            <w:vAlign w:val="bottom"/>
          </w:tcPr>
          <w:p>
            <w:pPr>
              <w:spacing w:after="0" w:line="142" w:lineRule="exact"/>
              <w:ind w:left="80"/>
              <w:rPr>
                <w:color w:val="auto"/>
                <w:sz w:val="20"/>
                <w:szCs w:val="20"/>
              </w:rPr>
            </w:pPr>
            <w:r>
              <w:rPr>
                <w:rFonts w:ascii="Calibri" w:eastAsia="Calibri" w:hAnsi="Calibri" w:cs="Calibri"/>
                <w:color w:val="auto"/>
                <w:w w:val="99"/>
                <w:sz w:val="12"/>
                <w:szCs w:val="12"/>
              </w:rPr>
              <w:t>Common stock, $0.01 par value, 4,000,000,000 shares authorized, 1,831,594,494 shares issued as of December 31, 2024 and 1,823,046,087 as of December 31, 2023</w:t>
            </w:r>
          </w:p>
        </w:tc>
        <w:tc>
          <w:tcPr>
            <w:tcW w:w="560" w:type="dxa"/>
            <w:vAlign w:val="bottom"/>
          </w:tcPr>
          <w:p>
            <w:pPr>
              <w:spacing w:after="0"/>
              <w:rPr>
                <w:color w:val="auto"/>
                <w:sz w:val="12"/>
                <w:szCs w:val="12"/>
              </w:rPr>
            </w:pPr>
          </w:p>
        </w:tc>
        <w:tc>
          <w:tcPr>
            <w:tcW w:w="11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18</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18</w:t>
            </w:r>
          </w:p>
        </w:tc>
        <w:tc>
          <w:tcPr>
            <w:tcW w:w="20" w:type="dxa"/>
            <w:vAlign w:val="bottom"/>
          </w:tcPr>
          <w:p>
            <w:pPr>
              <w:spacing w:after="0"/>
              <w:rPr>
                <w:color w:val="auto"/>
                <w:sz w:val="12"/>
                <w:szCs w:val="12"/>
              </w:rPr>
            </w:pPr>
          </w:p>
        </w:tc>
      </w:tr>
      <w:tr>
        <w:tblPrEx>
          <w:tblInd w:w="0" w:type="dxa"/>
          <w:tblLayout w:type="fixed"/>
        </w:tblPrEx>
        <w:trPr>
          <w:trHeight w:val="159"/>
        </w:trPr>
        <w:tc>
          <w:tcPr>
            <w:tcW w:w="8120" w:type="dxa"/>
            <w:gridSpan w:val="2"/>
            <w:shd w:val="clear" w:color="auto" w:fill="CCEEFF"/>
            <w:vAlign w:val="bottom"/>
          </w:tcPr>
          <w:p>
            <w:pPr>
              <w:spacing w:after="0"/>
              <w:ind w:left="80"/>
              <w:rPr>
                <w:color w:val="auto"/>
                <w:sz w:val="20"/>
                <w:szCs w:val="20"/>
              </w:rPr>
            </w:pPr>
            <w:r>
              <w:rPr>
                <w:rFonts w:ascii="Calibri" w:eastAsia="Calibri" w:hAnsi="Calibri" w:cs="Calibri"/>
                <w:color w:val="auto"/>
                <w:sz w:val="12"/>
                <w:szCs w:val="12"/>
              </w:rPr>
              <w:t>Common stock held in treasury, at cost, 66,337,508 shares as of December 31, 2024 and 57,105,354 as of December 31, 2023</w:t>
            </w: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(8,201)</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(6,533)</w:t>
            </w:r>
          </w:p>
        </w:tc>
        <w:tc>
          <w:tcPr>
            <w:tcW w:w="20" w:type="dxa"/>
            <w:vAlign w:val="bottom"/>
          </w:tcPr>
          <w:p>
            <w:pPr>
              <w:spacing w:after="0"/>
              <w:rPr>
                <w:color w:val="auto"/>
                <w:sz w:val="13"/>
                <w:szCs w:val="13"/>
              </w:rPr>
            </w:pPr>
          </w:p>
        </w:tc>
      </w:tr>
      <w:tr>
        <w:tblPrEx>
          <w:tblInd w:w="0" w:type="dxa"/>
          <w:tblLayout w:type="fixed"/>
        </w:tblPrEx>
        <w:trPr>
          <w:trHeight w:val="147"/>
        </w:trPr>
        <w:tc>
          <w:tcPr>
            <w:tcW w:w="8120" w:type="dxa"/>
            <w:gridSpan w:val="2"/>
            <w:vAlign w:val="bottom"/>
          </w:tcPr>
          <w:p>
            <w:pPr>
              <w:spacing w:after="0" w:line="142" w:lineRule="exact"/>
              <w:ind w:left="80"/>
              <w:rPr>
                <w:color w:val="auto"/>
                <w:sz w:val="20"/>
                <w:szCs w:val="20"/>
              </w:rPr>
            </w:pPr>
            <w:r>
              <w:rPr>
                <w:rFonts w:ascii="Calibri" w:eastAsia="Calibri" w:hAnsi="Calibri" w:cs="Calibri"/>
                <w:color w:val="auto"/>
                <w:sz w:val="12"/>
                <w:szCs w:val="12"/>
              </w:rPr>
              <w:t>Additonal paid-in capital</w:t>
            </w:r>
          </w:p>
        </w:tc>
        <w:tc>
          <w:tcPr>
            <w:tcW w:w="560" w:type="dxa"/>
            <w:vAlign w:val="bottom"/>
          </w:tcPr>
          <w:p>
            <w:pPr>
              <w:spacing w:after="0"/>
              <w:rPr>
                <w:color w:val="auto"/>
                <w:sz w:val="12"/>
                <w:szCs w:val="12"/>
              </w:rPr>
            </w:pPr>
          </w:p>
        </w:tc>
        <w:tc>
          <w:tcPr>
            <w:tcW w:w="11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21,333</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20,180</w:t>
            </w:r>
          </w:p>
        </w:tc>
        <w:tc>
          <w:tcPr>
            <w:tcW w:w="20" w:type="dxa"/>
            <w:vAlign w:val="bottom"/>
          </w:tcPr>
          <w:p>
            <w:pPr>
              <w:spacing w:after="0"/>
              <w:rPr>
                <w:color w:val="auto"/>
                <w:sz w:val="12"/>
                <w:szCs w:val="12"/>
              </w:rPr>
            </w:pPr>
          </w:p>
        </w:tc>
      </w:tr>
      <w:tr>
        <w:tblPrEx>
          <w:tblInd w:w="0" w:type="dxa"/>
          <w:tblLayout w:type="fixed"/>
        </w:tblPrEx>
        <w:trPr>
          <w:trHeight w:val="159"/>
        </w:trPr>
        <w:tc>
          <w:tcPr>
            <w:tcW w:w="1100" w:type="dxa"/>
            <w:shd w:val="clear" w:color="auto" w:fill="CCEEFF"/>
            <w:vAlign w:val="bottom"/>
          </w:tcPr>
          <w:p>
            <w:pPr>
              <w:spacing w:after="0"/>
              <w:ind w:left="80"/>
              <w:rPr>
                <w:color w:val="auto"/>
                <w:sz w:val="20"/>
                <w:szCs w:val="20"/>
              </w:rPr>
            </w:pPr>
            <w:r>
              <w:rPr>
                <w:rFonts w:ascii="Calibri" w:eastAsia="Calibri" w:hAnsi="Calibri" w:cs="Calibri"/>
                <w:color w:val="auto"/>
                <w:sz w:val="12"/>
                <w:szCs w:val="12"/>
              </w:rPr>
              <w:t>Accumulated defcit</w:t>
            </w:r>
          </w:p>
        </w:tc>
        <w:tc>
          <w:tcPr>
            <w:tcW w:w="7020" w:type="dxa"/>
            <w:shd w:val="clear" w:color="auto" w:fill="CCEEFF"/>
            <w:vAlign w:val="bottom"/>
          </w:tcPr>
          <w:p>
            <w:pPr>
              <w:spacing w:after="0"/>
              <w:rPr>
                <w:color w:val="auto"/>
                <w:sz w:val="13"/>
                <w:szCs w:val="13"/>
              </w:rPr>
            </w:pPr>
          </w:p>
        </w:tc>
        <w:tc>
          <w:tcPr>
            <w:tcW w:w="5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(7,900)</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(1,000)</w:t>
            </w:r>
          </w:p>
        </w:tc>
        <w:tc>
          <w:tcPr>
            <w:tcW w:w="20" w:type="dxa"/>
            <w:vAlign w:val="bottom"/>
          </w:tcPr>
          <w:p>
            <w:pPr>
              <w:spacing w:after="0"/>
              <w:rPr>
                <w:color w:val="auto"/>
                <w:sz w:val="13"/>
                <w:szCs w:val="13"/>
              </w:rPr>
            </w:pPr>
          </w:p>
        </w:tc>
      </w:tr>
      <w:tr>
        <w:tblPrEx>
          <w:tblInd w:w="0" w:type="dxa"/>
          <w:tblLayout w:type="fixed"/>
        </w:tblPrEx>
        <w:trPr>
          <w:trHeight w:val="147"/>
        </w:trPr>
        <w:tc>
          <w:tcPr>
            <w:tcW w:w="8120" w:type="dxa"/>
            <w:gridSpan w:val="2"/>
            <w:tcBorders>
              <w:bottom w:val="single" w:sz="8" w:space="0" w:color="auto"/>
            </w:tcBorders>
            <w:vAlign w:val="bottom"/>
          </w:tcPr>
          <w:p>
            <w:pPr>
              <w:spacing w:after="0" w:line="142" w:lineRule="exact"/>
              <w:ind w:left="80"/>
              <w:rPr>
                <w:color w:val="auto"/>
                <w:sz w:val="20"/>
                <w:szCs w:val="20"/>
              </w:rPr>
            </w:pPr>
            <w:r>
              <w:rPr>
                <w:rFonts w:ascii="Calibri" w:eastAsia="Calibri" w:hAnsi="Calibri" w:cs="Calibri"/>
                <w:color w:val="auto"/>
                <w:sz w:val="12"/>
                <w:szCs w:val="12"/>
              </w:rPr>
              <w:t>Accumulated other comprehensive loss</w:t>
            </w:r>
          </w:p>
        </w:tc>
        <w:tc>
          <w:tcPr>
            <w:tcW w:w="56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(1,925)</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(2,305)</w:t>
            </w:r>
          </w:p>
        </w:tc>
        <w:tc>
          <w:tcPr>
            <w:tcW w:w="20" w:type="dxa"/>
            <w:vAlign w:val="bottom"/>
          </w:tcPr>
          <w:p>
            <w:pPr>
              <w:spacing w:after="0"/>
              <w:rPr>
                <w:color w:val="auto"/>
                <w:sz w:val="12"/>
                <w:szCs w:val="12"/>
              </w:rPr>
            </w:pPr>
          </w:p>
        </w:tc>
      </w:tr>
      <w:tr>
        <w:tblPrEx>
          <w:tblInd w:w="0" w:type="dxa"/>
          <w:tblLayout w:type="fixed"/>
        </w:tblPrEx>
        <w:trPr>
          <w:trHeight w:val="148"/>
        </w:trPr>
        <w:tc>
          <w:tcPr>
            <w:tcW w:w="8120" w:type="dxa"/>
            <w:gridSpan w:val="2"/>
            <w:shd w:val="clear" w:color="auto" w:fill="CCEEFF"/>
            <w:vAlign w:val="bottom"/>
          </w:tcPr>
          <w:p>
            <w:pPr>
              <w:spacing w:after="0" w:line="142" w:lineRule="exact"/>
              <w:ind w:left="80"/>
              <w:rPr>
                <w:color w:val="auto"/>
                <w:sz w:val="20"/>
                <w:szCs w:val="20"/>
              </w:rPr>
            </w:pPr>
            <w:r>
              <w:rPr>
                <w:rFonts w:ascii="Calibri" w:eastAsia="Calibri" w:hAnsi="Calibri" w:cs="Calibri"/>
                <w:b/>
                <w:bCs/>
                <w:color w:val="auto"/>
                <w:sz w:val="12"/>
                <w:szCs w:val="12"/>
              </w:rPr>
              <w:t>Total stockholders' equity</w:t>
            </w:r>
          </w:p>
        </w:tc>
        <w:tc>
          <w:tcPr>
            <w:tcW w:w="56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3,325</w:t>
            </w:r>
          </w:p>
        </w:tc>
        <w:tc>
          <w:tcPr>
            <w:tcW w:w="400" w:type="dxa"/>
            <w:shd w:val="clear" w:color="auto" w:fill="CCEEFF"/>
            <w:vAlign w:val="bottom"/>
          </w:tcPr>
          <w:p>
            <w:pPr>
              <w:spacing w:after="0"/>
              <w:rPr>
                <w:color w:val="auto"/>
                <w:sz w:val="12"/>
                <w:szCs w:val="12"/>
              </w:rPr>
            </w:pP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10,360</w:t>
            </w:r>
          </w:p>
        </w:tc>
        <w:tc>
          <w:tcPr>
            <w:tcW w:w="20" w:type="dxa"/>
            <w:vAlign w:val="bottom"/>
          </w:tcPr>
          <w:p>
            <w:pPr>
              <w:spacing w:after="0"/>
              <w:rPr>
                <w:color w:val="auto"/>
                <w:sz w:val="12"/>
                <w:szCs w:val="12"/>
              </w:rPr>
            </w:pPr>
          </w:p>
        </w:tc>
      </w:tr>
      <w:tr>
        <w:tblPrEx>
          <w:tblInd w:w="0" w:type="dxa"/>
          <w:tblLayout w:type="fixed"/>
        </w:tblPrEx>
        <w:trPr>
          <w:trHeight w:val="147"/>
        </w:trPr>
        <w:tc>
          <w:tcPr>
            <w:tcW w:w="8120" w:type="dxa"/>
            <w:gridSpan w:val="2"/>
            <w:tcBorders>
              <w:bottom w:val="single" w:sz="8" w:space="0" w:color="auto"/>
            </w:tcBorders>
            <w:vAlign w:val="bottom"/>
          </w:tcPr>
          <w:p>
            <w:pPr>
              <w:spacing w:after="0" w:line="142" w:lineRule="exact"/>
              <w:ind w:left="80"/>
              <w:rPr>
                <w:color w:val="auto"/>
                <w:sz w:val="20"/>
                <w:szCs w:val="20"/>
              </w:rPr>
            </w:pPr>
            <w:r>
              <w:rPr>
                <w:rFonts w:ascii="Calibri" w:eastAsia="Calibri" w:hAnsi="Calibri" w:cs="Calibri"/>
                <w:color w:val="auto"/>
                <w:sz w:val="12"/>
                <w:szCs w:val="12"/>
              </w:rPr>
              <w:t>Noncontrolling interest</w:t>
            </w:r>
          </w:p>
        </w:tc>
        <w:tc>
          <w:tcPr>
            <w:tcW w:w="56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39</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37</w:t>
            </w:r>
          </w:p>
        </w:tc>
        <w:tc>
          <w:tcPr>
            <w:tcW w:w="20" w:type="dxa"/>
            <w:vAlign w:val="bottom"/>
          </w:tcPr>
          <w:p>
            <w:pPr>
              <w:spacing w:after="0"/>
              <w:rPr>
                <w:color w:val="auto"/>
                <w:sz w:val="12"/>
                <w:szCs w:val="12"/>
              </w:rPr>
            </w:pPr>
          </w:p>
        </w:tc>
      </w:tr>
      <w:tr>
        <w:tblPrEx>
          <w:tblInd w:w="0" w:type="dxa"/>
          <w:tblLayout w:type="fixed"/>
        </w:tblPrEx>
        <w:trPr>
          <w:trHeight w:val="142"/>
        </w:trPr>
        <w:tc>
          <w:tcPr>
            <w:tcW w:w="1100" w:type="dxa"/>
            <w:tcBorders>
              <w:bottom w:val="single" w:sz="8" w:space="0" w:color="auto"/>
            </w:tcBorders>
            <w:shd w:val="clear" w:color="auto" w:fill="CCEEFF"/>
            <w:vAlign w:val="bottom"/>
          </w:tcPr>
          <w:p>
            <w:pPr>
              <w:spacing w:after="0" w:line="142" w:lineRule="exact"/>
              <w:ind w:left="80"/>
              <w:rPr>
                <w:color w:val="auto"/>
                <w:sz w:val="20"/>
                <w:szCs w:val="20"/>
              </w:rPr>
            </w:pPr>
            <w:r>
              <w:rPr>
                <w:rFonts w:ascii="Calibri" w:eastAsia="Calibri" w:hAnsi="Calibri" w:cs="Calibri"/>
                <w:b/>
                <w:bCs/>
                <w:color w:val="auto"/>
                <w:sz w:val="12"/>
                <w:szCs w:val="12"/>
              </w:rPr>
              <w:t>Total equity</w:t>
            </w:r>
          </w:p>
        </w:tc>
        <w:tc>
          <w:tcPr>
            <w:tcW w:w="7020" w:type="dxa"/>
            <w:tcBorders>
              <w:bottom w:val="single" w:sz="8" w:space="0" w:color="auto"/>
            </w:tcBorders>
            <w:shd w:val="clear" w:color="auto" w:fill="CCEEFF"/>
            <w:vAlign w:val="bottom"/>
          </w:tcPr>
          <w:p>
            <w:pPr>
              <w:spacing w:after="0"/>
              <w:rPr>
                <w:color w:val="auto"/>
                <w:sz w:val="12"/>
                <w:szCs w:val="12"/>
              </w:rPr>
            </w:pPr>
          </w:p>
        </w:tc>
        <w:tc>
          <w:tcPr>
            <w:tcW w:w="56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3,364</w:t>
            </w:r>
          </w:p>
        </w:tc>
        <w:tc>
          <w:tcPr>
            <w:tcW w:w="400" w:type="dxa"/>
            <w:tcBorders>
              <w:bottom w:val="single" w:sz="8" w:space="0" w:color="auto"/>
            </w:tcBorders>
            <w:shd w:val="clear" w:color="auto" w:fill="CCEEFF"/>
            <w:vAlign w:val="bottom"/>
          </w:tcPr>
          <w:p>
            <w:pPr>
              <w:spacing w:after="0"/>
              <w:rPr>
                <w:color w:val="auto"/>
                <w:sz w:val="12"/>
                <w:szCs w:val="12"/>
              </w:rPr>
            </w:pPr>
          </w:p>
        </w:tc>
        <w:tc>
          <w:tcPr>
            <w:tcW w:w="10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10,397</w:t>
            </w:r>
          </w:p>
        </w:tc>
        <w:tc>
          <w:tcPr>
            <w:tcW w:w="20" w:type="dxa"/>
            <w:vAlign w:val="bottom"/>
          </w:tcPr>
          <w:p>
            <w:pPr>
              <w:spacing w:after="0"/>
              <w:rPr>
                <w:color w:val="auto"/>
                <w:sz w:val="12"/>
                <w:szCs w:val="12"/>
              </w:rPr>
            </w:pPr>
          </w:p>
        </w:tc>
      </w:tr>
      <w:tr>
        <w:tblPrEx>
          <w:tblInd w:w="0" w:type="dxa"/>
          <w:tblLayout w:type="fixed"/>
        </w:tblPrEx>
        <w:trPr>
          <w:trHeight w:val="121"/>
        </w:trPr>
        <w:tc>
          <w:tcPr>
            <w:tcW w:w="1100" w:type="dxa"/>
            <w:vAlign w:val="bottom"/>
          </w:tcPr>
          <w:p>
            <w:pPr>
              <w:spacing w:after="0"/>
              <w:rPr>
                <w:color w:val="auto"/>
                <w:sz w:val="10"/>
                <w:szCs w:val="10"/>
              </w:rPr>
            </w:pPr>
          </w:p>
        </w:tc>
        <w:tc>
          <w:tcPr>
            <w:tcW w:w="7020" w:type="dxa"/>
            <w:vAlign w:val="bottom"/>
          </w:tcPr>
          <w:p>
            <w:pPr>
              <w:spacing w:after="0"/>
              <w:rPr>
                <w:color w:val="auto"/>
                <w:sz w:val="10"/>
                <w:szCs w:val="10"/>
              </w:rPr>
            </w:pPr>
          </w:p>
        </w:tc>
        <w:tc>
          <w:tcPr>
            <w:tcW w:w="56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400" w:type="dxa"/>
            <w:vAlign w:val="bottom"/>
          </w:tcPr>
          <w:p>
            <w:pPr>
              <w:spacing w:after="0"/>
              <w:rPr>
                <w:color w:val="auto"/>
                <w:sz w:val="10"/>
                <w:szCs w:val="10"/>
              </w:rPr>
            </w:pPr>
          </w:p>
        </w:tc>
        <w:tc>
          <w:tcPr>
            <w:tcW w:w="1080" w:type="dxa"/>
            <w:vAlign w:val="bottom"/>
          </w:tcPr>
          <w:p>
            <w:pPr>
              <w:spacing w:after="0"/>
              <w:rPr>
                <w:color w:val="auto"/>
                <w:sz w:val="10"/>
                <w:szCs w:val="10"/>
              </w:rPr>
            </w:pPr>
          </w:p>
        </w:tc>
        <w:tc>
          <w:tcPr>
            <w:tcW w:w="20" w:type="dxa"/>
            <w:vAlign w:val="bottom"/>
          </w:tcPr>
          <w:p>
            <w:pPr>
              <w:spacing w:after="0"/>
              <w:rPr>
                <w:color w:val="auto"/>
                <w:sz w:val="10"/>
                <w:szCs w:val="10"/>
              </w:rPr>
            </w:pPr>
          </w:p>
        </w:tc>
      </w:tr>
      <w:tr>
        <w:tblPrEx>
          <w:tblInd w:w="0" w:type="dxa"/>
          <w:tblLayout w:type="fixed"/>
        </w:tblPrEx>
        <w:trPr>
          <w:trHeight w:val="169"/>
        </w:trPr>
        <w:tc>
          <w:tcPr>
            <w:tcW w:w="8120" w:type="dxa"/>
            <w:gridSpan w:val="2"/>
            <w:tcBorders>
              <w:bottom w:val="single" w:sz="8" w:space="0" w:color="auto"/>
            </w:tcBorders>
            <w:shd w:val="clear" w:color="auto" w:fill="CCEEFF"/>
            <w:vAlign w:val="bottom"/>
          </w:tcPr>
          <w:p>
            <w:pPr>
              <w:spacing w:after="0" w:line="142" w:lineRule="exact"/>
              <w:ind w:left="80"/>
              <w:rPr>
                <w:color w:val="auto"/>
                <w:sz w:val="20"/>
                <w:szCs w:val="20"/>
              </w:rPr>
            </w:pPr>
            <w:r>
              <w:rPr>
                <w:rFonts w:ascii="Calibri" w:eastAsia="Calibri" w:hAnsi="Calibri" w:cs="Calibri"/>
                <w:b/>
                <w:bCs/>
                <w:color w:val="auto"/>
                <w:sz w:val="12"/>
                <w:szCs w:val="12"/>
              </w:rPr>
              <w:t>Total liabilites and equity</w:t>
            </w:r>
          </w:p>
        </w:tc>
        <w:tc>
          <w:tcPr>
            <w:tcW w:w="56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135,161</w:t>
            </w:r>
          </w:p>
        </w:tc>
        <w:tc>
          <w:tcPr>
            <w:tcW w:w="4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134,711</w:t>
            </w:r>
          </w:p>
        </w:tc>
        <w:tc>
          <w:tcPr>
            <w:tcW w:w="20" w:type="dxa"/>
            <w:vAlign w:val="bottom"/>
          </w:tcPr>
          <w:p>
            <w:pPr>
              <w:spacing w:after="0"/>
              <w:rPr>
                <w:color w:val="auto"/>
                <w:sz w:val="14"/>
                <w:szCs w:val="14"/>
              </w:rPr>
            </w:pPr>
          </w:p>
        </w:tc>
      </w:tr>
      <w:tr>
        <w:tblPrEx>
          <w:tblInd w:w="0" w:type="dxa"/>
          <w:tblLayout w:type="fixed"/>
        </w:tblPrEx>
        <w:trPr>
          <w:trHeight w:val="280"/>
        </w:trPr>
        <w:tc>
          <w:tcPr>
            <w:tcW w:w="1100" w:type="dxa"/>
            <w:vAlign w:val="bottom"/>
          </w:tcPr>
          <w:p>
            <w:pPr>
              <w:spacing w:after="0"/>
              <w:rPr>
                <w:color w:val="auto"/>
                <w:sz w:val="24"/>
                <w:szCs w:val="24"/>
              </w:rPr>
            </w:pPr>
          </w:p>
        </w:tc>
        <w:tc>
          <w:tcPr>
            <w:tcW w:w="7020" w:type="dxa"/>
            <w:vAlign w:val="bottom"/>
          </w:tcPr>
          <w:p>
            <w:pPr>
              <w:spacing w:after="0"/>
              <w:ind w:left="2460"/>
              <w:rPr>
                <w:color w:val="auto"/>
                <w:sz w:val="20"/>
                <w:szCs w:val="20"/>
              </w:rPr>
            </w:pPr>
            <w:r>
              <w:rPr>
                <w:rFonts w:ascii="Calibri" w:eastAsia="Calibri" w:hAnsi="Calibri" w:cs="Calibri"/>
                <w:color w:val="auto"/>
                <w:sz w:val="12"/>
                <w:szCs w:val="12"/>
              </w:rPr>
              <w:t>The accompanying notes are an integral part of these consolidated fnancial statements.</w:t>
            </w:r>
          </w:p>
        </w:tc>
        <w:tc>
          <w:tcPr>
            <w:tcW w:w="560" w:type="dxa"/>
            <w:vAlign w:val="bottom"/>
          </w:tcPr>
          <w:p>
            <w:pPr>
              <w:spacing w:after="0"/>
              <w:rPr>
                <w:color w:val="auto"/>
                <w:sz w:val="24"/>
                <w:szCs w:val="24"/>
              </w:rPr>
            </w:pPr>
          </w:p>
        </w:tc>
        <w:tc>
          <w:tcPr>
            <w:tcW w:w="1120" w:type="dxa"/>
            <w:vAlign w:val="bottom"/>
          </w:tcPr>
          <w:p>
            <w:pPr>
              <w:spacing w:after="0"/>
              <w:rPr>
                <w:color w:val="auto"/>
                <w:sz w:val="24"/>
                <w:szCs w:val="24"/>
              </w:rPr>
            </w:pPr>
          </w:p>
        </w:tc>
        <w:tc>
          <w:tcPr>
            <w:tcW w:w="400" w:type="dxa"/>
            <w:vAlign w:val="bottom"/>
          </w:tcPr>
          <w:p>
            <w:pPr>
              <w:spacing w:after="0"/>
              <w:rPr>
                <w:color w:val="auto"/>
                <w:sz w:val="24"/>
                <w:szCs w:val="24"/>
              </w:rPr>
            </w:pPr>
          </w:p>
        </w:tc>
        <w:tc>
          <w:tcPr>
            <w:tcW w:w="1080" w:type="dxa"/>
            <w:vAlign w:val="bottom"/>
          </w:tcPr>
          <w:p>
            <w:pPr>
              <w:spacing w:after="0"/>
              <w:rPr>
                <w:color w:val="auto"/>
                <w:sz w:val="24"/>
                <w:szCs w:val="24"/>
              </w:rPr>
            </w:pPr>
          </w:p>
        </w:tc>
        <w:tc>
          <w:tcPr>
            <w:tcW w:w="20" w:type="dxa"/>
            <w:vAlign w:val="bottom"/>
          </w:tcPr>
          <w:p>
            <w:pPr>
              <w:spacing w:after="0"/>
              <w:rPr>
                <w:color w:val="auto"/>
                <w:sz w:val="24"/>
                <w:szCs w:val="24"/>
              </w:rPr>
            </w:pPr>
          </w:p>
        </w:tc>
      </w:tr>
      <w:tr>
        <w:tblPrEx>
          <w:tblInd w:w="0" w:type="dxa"/>
          <w:tblLayout w:type="fixed"/>
        </w:tblPrEx>
        <w:trPr>
          <w:trHeight w:val="576"/>
        </w:trPr>
        <w:tc>
          <w:tcPr>
            <w:tcW w:w="1100" w:type="dxa"/>
            <w:vAlign w:val="bottom"/>
          </w:tcPr>
          <w:p>
            <w:pPr>
              <w:spacing w:after="0"/>
              <w:rPr>
                <w:color w:val="auto"/>
                <w:sz w:val="20"/>
                <w:szCs w:val="20"/>
              </w:rPr>
            </w:pPr>
            <w:r>
              <w:rPr>
                <w:rFonts w:ascii="Calibri" w:eastAsia="Calibri" w:hAnsi="Calibri" w:cs="Calibri"/>
                <w:b/>
                <w:bCs/>
                <w:i/>
                <w:iCs/>
                <w:color w:val="auto"/>
                <w:sz w:val="12"/>
                <w:szCs w:val="12"/>
              </w:rPr>
              <w:t>53</w:t>
            </w:r>
          </w:p>
        </w:tc>
        <w:tc>
          <w:tcPr>
            <w:tcW w:w="7020" w:type="dxa"/>
            <w:vAlign w:val="bottom"/>
          </w:tcPr>
          <w:p>
            <w:pPr>
              <w:spacing w:after="0"/>
              <w:ind w:left="20"/>
              <w:rPr>
                <w:color w:val="auto"/>
                <w:sz w:val="20"/>
                <w:szCs w:val="20"/>
              </w:rPr>
            </w:pP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tc>
        <w:tc>
          <w:tcPr>
            <w:tcW w:w="560" w:type="dxa"/>
            <w:vAlign w:val="bottom"/>
          </w:tcPr>
          <w:p>
            <w:pPr>
              <w:spacing w:after="0"/>
              <w:rPr>
                <w:color w:val="auto"/>
                <w:sz w:val="24"/>
                <w:szCs w:val="24"/>
              </w:rPr>
            </w:pPr>
          </w:p>
        </w:tc>
        <w:tc>
          <w:tcPr>
            <w:tcW w:w="1120" w:type="dxa"/>
            <w:vAlign w:val="bottom"/>
          </w:tcPr>
          <w:p>
            <w:pPr>
              <w:spacing w:after="0"/>
              <w:rPr>
                <w:color w:val="auto"/>
                <w:sz w:val="24"/>
                <w:szCs w:val="24"/>
              </w:rPr>
            </w:pPr>
          </w:p>
        </w:tc>
        <w:tc>
          <w:tcPr>
            <w:tcW w:w="400" w:type="dxa"/>
            <w:vAlign w:val="bottom"/>
          </w:tcPr>
          <w:p>
            <w:pPr>
              <w:spacing w:after="0"/>
              <w:rPr>
                <w:color w:val="auto"/>
                <w:sz w:val="24"/>
                <w:szCs w:val="24"/>
              </w:rPr>
            </w:pPr>
          </w:p>
        </w:tc>
        <w:tc>
          <w:tcPr>
            <w:tcW w:w="1080" w:type="dxa"/>
            <w:vAlign w:val="bottom"/>
          </w:tcPr>
          <w:p>
            <w:pPr>
              <w:spacing w:after="0"/>
              <w:rPr>
                <w:color w:val="auto"/>
                <w:sz w:val="24"/>
                <w:szCs w:val="24"/>
              </w:rPr>
            </w:pPr>
          </w:p>
        </w:tc>
        <w:tc>
          <w:tcPr>
            <w:tcW w:w="20" w:type="dxa"/>
            <w:vAlign w:val="bottom"/>
          </w:tcPr>
          <w:p>
            <w:pPr>
              <w:spacing w:after="0"/>
              <w:rPr>
                <w:color w:val="auto"/>
                <w:sz w:val="24"/>
                <w:szCs w:val="24"/>
              </w:rPr>
            </w:pPr>
          </w:p>
        </w:tc>
      </w:tr>
      <w:tr>
        <w:tblPrEx>
          <w:tblInd w:w="0" w:type="dxa"/>
          <w:tblLayout w:type="fixed"/>
        </w:tblPrEx>
        <w:trPr>
          <w:trHeight w:val="152"/>
        </w:trPr>
        <w:tc>
          <w:tcPr>
            <w:tcW w:w="1100" w:type="dxa"/>
            <w:tcBorders>
              <w:bottom w:val="single" w:sz="8" w:space="0" w:color="9A9A9A"/>
            </w:tcBorders>
            <w:vAlign w:val="bottom"/>
          </w:tcPr>
          <w:p>
            <w:pPr>
              <w:spacing w:after="0"/>
              <w:rPr>
                <w:color w:val="auto"/>
                <w:sz w:val="13"/>
                <w:szCs w:val="13"/>
              </w:rPr>
            </w:pPr>
          </w:p>
        </w:tc>
        <w:tc>
          <w:tcPr>
            <w:tcW w:w="7020" w:type="dxa"/>
            <w:tcBorders>
              <w:bottom w:val="single" w:sz="8" w:space="0" w:color="9A9A9A"/>
            </w:tcBorders>
            <w:vAlign w:val="bottom"/>
          </w:tcPr>
          <w:p>
            <w:pPr>
              <w:spacing w:after="0"/>
              <w:rPr>
                <w:color w:val="auto"/>
                <w:sz w:val="13"/>
                <w:szCs w:val="13"/>
              </w:rPr>
            </w:pPr>
          </w:p>
        </w:tc>
        <w:tc>
          <w:tcPr>
            <w:tcW w:w="560" w:type="dxa"/>
            <w:tcBorders>
              <w:bottom w:val="single" w:sz="8" w:space="0" w:color="9A9A9A"/>
            </w:tcBorders>
            <w:vAlign w:val="bottom"/>
          </w:tcPr>
          <w:p>
            <w:pPr>
              <w:spacing w:after="0"/>
              <w:rPr>
                <w:color w:val="auto"/>
                <w:sz w:val="13"/>
                <w:szCs w:val="13"/>
              </w:rPr>
            </w:pPr>
          </w:p>
        </w:tc>
        <w:tc>
          <w:tcPr>
            <w:tcW w:w="1120" w:type="dxa"/>
            <w:tcBorders>
              <w:bottom w:val="single" w:sz="8" w:space="0" w:color="9A9A9A"/>
            </w:tcBorders>
            <w:vAlign w:val="bottom"/>
          </w:tcPr>
          <w:p>
            <w:pPr>
              <w:spacing w:after="0"/>
              <w:rPr>
                <w:color w:val="auto"/>
                <w:sz w:val="13"/>
                <w:szCs w:val="13"/>
              </w:rPr>
            </w:pPr>
          </w:p>
        </w:tc>
        <w:tc>
          <w:tcPr>
            <w:tcW w:w="400" w:type="dxa"/>
            <w:tcBorders>
              <w:bottom w:val="single" w:sz="8" w:space="0" w:color="9A9A9A"/>
            </w:tcBorders>
            <w:vAlign w:val="bottom"/>
          </w:tcPr>
          <w:p>
            <w:pPr>
              <w:spacing w:after="0"/>
              <w:rPr>
                <w:color w:val="auto"/>
                <w:sz w:val="13"/>
                <w:szCs w:val="13"/>
              </w:rPr>
            </w:pPr>
          </w:p>
        </w:tc>
        <w:tc>
          <w:tcPr>
            <w:tcW w:w="1080" w:type="dxa"/>
            <w:tcBorders>
              <w:bottom w:val="single" w:sz="8" w:space="0" w:color="9A9A9A"/>
            </w:tcBorders>
            <w:vAlign w:val="bottom"/>
          </w:tcPr>
          <w:p>
            <w:pPr>
              <w:spacing w:after="0"/>
              <w:rPr>
                <w:color w:val="auto"/>
                <w:sz w:val="13"/>
                <w:szCs w:val="13"/>
              </w:rPr>
            </w:pPr>
          </w:p>
        </w:tc>
        <w:tc>
          <w:tcPr>
            <w:tcW w:w="2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93408" behindDoc="1" locked="0" layoutInCell="0" allowOverlap="1">
            <wp:simplePos x="0" y="0"/>
            <wp:positionH relativeFrom="column">
              <wp:posOffset>7154545</wp:posOffset>
            </wp:positionH>
            <wp:positionV relativeFrom="paragraph">
              <wp:posOffset>-23495</wp:posOffset>
            </wp:positionV>
            <wp:extent cx="31115" cy="3683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94432" behindDoc="1" locked="0" layoutInCell="0" allowOverlap="1">
            <wp:simplePos x="0" y="0"/>
            <wp:positionH relativeFrom="column">
              <wp:posOffset>-17145</wp:posOffset>
            </wp:positionH>
            <wp:positionV relativeFrom="paragraph">
              <wp:posOffset>-23495</wp:posOffset>
            </wp:positionV>
            <wp:extent cx="31115" cy="3683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95456" behindDoc="1" locked="0" layoutInCell="0" allowOverlap="1">
            <wp:simplePos x="0" y="0"/>
            <wp:positionH relativeFrom="column">
              <wp:posOffset>292100</wp:posOffset>
            </wp:positionH>
            <wp:positionV relativeFrom="paragraph">
              <wp:posOffset>-233680</wp:posOffset>
            </wp:positionV>
            <wp:extent cx="400050" cy="74295"/>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55" w:name="page56"/>
    <w:bookmarkEnd w:id="55"/>
    <w:p>
      <w:pPr>
        <w:spacing w:after="0"/>
        <w:rPr>
          <w:color w:val="auto"/>
          <w:sz w:val="20"/>
          <w:szCs w:val="20"/>
        </w:rPr>
      </w:pPr>
      <w:r>
        <w:rPr>
          <w:rFonts w:ascii="Calibri" w:eastAsia="Calibri" w:hAnsi="Calibri" w:cs="Calibri"/>
          <w:b/>
          <w:bCs/>
          <w:color w:val="444867"/>
          <w:sz w:val="14"/>
          <w:szCs w:val="14"/>
        </w:rPr>
        <w:t>AbbVie Inc. and Subsidiaries</w:t>
      </w:r>
    </w:p>
    <w:p>
      <w:pPr>
        <w:spacing w:after="0" w:line="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Consolidated Statements of Equity</w:t>
      </w:r>
    </w:p>
    <w:p>
      <w:pPr>
        <w:spacing w:after="0" w:line="166" w:lineRule="exact"/>
        <w:rPr>
          <w:color w:val="auto"/>
          <w:sz w:val="20"/>
          <w:szCs w:val="20"/>
        </w:rPr>
      </w:pPr>
    </w:p>
    <w:tbl>
      <w:tblPr>
        <w:tblInd w:w="0" w:type="dxa"/>
        <w:tblLayout w:type="fixed"/>
        <w:tblCellMar>
          <w:top w:w="0" w:type="dxa"/>
          <w:left w:w="0" w:type="dxa"/>
          <w:bottom w:w="0" w:type="dxa"/>
          <w:right w:w="0" w:type="dxa"/>
        </w:tblCellMar>
      </w:tblPr>
      <w:tblGrid>
        <w:gridCol w:w="2140"/>
        <w:gridCol w:w="1320"/>
        <w:gridCol w:w="120"/>
        <w:gridCol w:w="760"/>
        <w:gridCol w:w="140"/>
        <w:gridCol w:w="740"/>
        <w:gridCol w:w="120"/>
        <w:gridCol w:w="840"/>
        <w:gridCol w:w="180"/>
        <w:gridCol w:w="1100"/>
        <w:gridCol w:w="200"/>
        <w:gridCol w:w="1160"/>
        <w:gridCol w:w="1160"/>
        <w:gridCol w:w="180"/>
        <w:gridCol w:w="320"/>
        <w:gridCol w:w="800"/>
        <w:gridCol w:w="20"/>
      </w:tblGrid>
      <w:tr>
        <w:tblPrEx>
          <w:tblInd w:w="0" w:type="dxa"/>
          <w:tblLayout w:type="fixed"/>
        </w:tblPrEx>
        <w:trPr>
          <w:trHeight w:val="122"/>
        </w:trPr>
        <w:tc>
          <w:tcPr>
            <w:tcW w:w="2140" w:type="dxa"/>
            <w:vMerge w:val="restart"/>
            <w:vAlign w:val="bottom"/>
          </w:tcPr>
          <w:p>
            <w:pPr>
              <w:spacing w:after="0"/>
              <w:ind w:left="20"/>
              <w:rPr>
                <w:color w:val="auto"/>
                <w:sz w:val="20"/>
                <w:szCs w:val="20"/>
              </w:rPr>
            </w:pPr>
            <w:r>
              <w:rPr>
                <w:rFonts w:ascii="Calibri" w:eastAsia="Calibri" w:hAnsi="Calibri" w:cs="Calibri"/>
                <w:b/>
                <w:bCs/>
                <w:color w:val="auto"/>
                <w:sz w:val="10"/>
                <w:szCs w:val="10"/>
              </w:rPr>
              <w:t>years ended December 31 (in millions)</w:t>
            </w:r>
          </w:p>
        </w:tc>
        <w:tc>
          <w:tcPr>
            <w:tcW w:w="1320" w:type="dxa"/>
            <w:vAlign w:val="bottom"/>
          </w:tcPr>
          <w:p>
            <w:pPr>
              <w:spacing w:after="0"/>
              <w:ind w:right="192"/>
              <w:jc w:val="right"/>
              <w:rPr>
                <w:color w:val="auto"/>
                <w:sz w:val="20"/>
                <w:szCs w:val="20"/>
              </w:rPr>
            </w:pPr>
            <w:r>
              <w:rPr>
                <w:rFonts w:ascii="Calibri" w:eastAsia="Calibri" w:hAnsi="Calibri" w:cs="Calibri"/>
                <w:b/>
                <w:bCs/>
                <w:color w:val="auto"/>
                <w:sz w:val="10"/>
                <w:szCs w:val="10"/>
              </w:rPr>
              <w:t>Common shares</w:t>
            </w:r>
          </w:p>
        </w:tc>
        <w:tc>
          <w:tcPr>
            <w:tcW w:w="120" w:type="dxa"/>
            <w:vAlign w:val="bottom"/>
          </w:tcPr>
          <w:p>
            <w:pPr>
              <w:spacing w:after="0"/>
              <w:rPr>
                <w:color w:val="auto"/>
                <w:sz w:val="10"/>
                <w:szCs w:val="10"/>
              </w:rPr>
            </w:pPr>
          </w:p>
        </w:tc>
        <w:tc>
          <w:tcPr>
            <w:tcW w:w="760" w:type="dxa"/>
            <w:vMerge w:val="restart"/>
            <w:vAlign w:val="bottom"/>
          </w:tcPr>
          <w:p>
            <w:pPr>
              <w:spacing w:after="0"/>
              <w:ind w:right="92"/>
              <w:jc w:val="right"/>
              <w:rPr>
                <w:color w:val="auto"/>
                <w:sz w:val="20"/>
                <w:szCs w:val="20"/>
              </w:rPr>
            </w:pPr>
            <w:r>
              <w:rPr>
                <w:rFonts w:ascii="Calibri" w:eastAsia="Calibri" w:hAnsi="Calibri" w:cs="Calibri"/>
                <w:b/>
                <w:bCs/>
                <w:color w:val="auto"/>
                <w:w w:val="97"/>
                <w:sz w:val="10"/>
                <w:szCs w:val="10"/>
              </w:rPr>
              <w:t>Common stock</w:t>
            </w:r>
          </w:p>
        </w:tc>
        <w:tc>
          <w:tcPr>
            <w:tcW w:w="140" w:type="dxa"/>
            <w:vAlign w:val="bottom"/>
          </w:tcPr>
          <w:p>
            <w:pPr>
              <w:spacing w:after="0"/>
              <w:rPr>
                <w:color w:val="auto"/>
                <w:sz w:val="10"/>
                <w:szCs w:val="10"/>
              </w:rPr>
            </w:pPr>
          </w:p>
        </w:tc>
        <w:tc>
          <w:tcPr>
            <w:tcW w:w="740" w:type="dxa"/>
            <w:vMerge w:val="restart"/>
            <w:vAlign w:val="bottom"/>
          </w:tcPr>
          <w:p>
            <w:pPr>
              <w:spacing w:after="0"/>
              <w:ind w:right="92"/>
              <w:jc w:val="right"/>
              <w:rPr>
                <w:color w:val="auto"/>
                <w:sz w:val="20"/>
                <w:szCs w:val="20"/>
              </w:rPr>
            </w:pPr>
            <w:r>
              <w:rPr>
                <w:rFonts w:ascii="Calibri" w:eastAsia="Calibri" w:hAnsi="Calibri" w:cs="Calibri"/>
                <w:b/>
                <w:bCs/>
                <w:color w:val="auto"/>
                <w:w w:val="96"/>
                <w:sz w:val="10"/>
                <w:szCs w:val="10"/>
              </w:rPr>
              <w:t>Treasury stock</w:t>
            </w:r>
          </w:p>
        </w:tc>
        <w:tc>
          <w:tcPr>
            <w:tcW w:w="120" w:type="dxa"/>
            <w:vAlign w:val="bottom"/>
          </w:tcPr>
          <w:p>
            <w:pPr>
              <w:spacing w:after="0"/>
              <w:rPr>
                <w:color w:val="auto"/>
                <w:sz w:val="10"/>
                <w:szCs w:val="10"/>
              </w:rPr>
            </w:pPr>
          </w:p>
        </w:tc>
        <w:tc>
          <w:tcPr>
            <w:tcW w:w="840" w:type="dxa"/>
            <w:vAlign w:val="bottom"/>
          </w:tcPr>
          <w:p>
            <w:pPr>
              <w:spacing w:after="0"/>
              <w:ind w:right="72"/>
              <w:jc w:val="right"/>
              <w:rPr>
                <w:color w:val="auto"/>
                <w:sz w:val="20"/>
                <w:szCs w:val="20"/>
              </w:rPr>
            </w:pPr>
            <w:r>
              <w:rPr>
                <w:rFonts w:ascii="Calibri" w:eastAsia="Calibri" w:hAnsi="Calibri" w:cs="Calibri"/>
                <w:b/>
                <w:bCs/>
                <w:color w:val="auto"/>
                <w:w w:val="96"/>
                <w:sz w:val="10"/>
                <w:szCs w:val="10"/>
              </w:rPr>
              <w:t>Additonal paid-in</w:t>
            </w:r>
          </w:p>
        </w:tc>
        <w:tc>
          <w:tcPr>
            <w:tcW w:w="180" w:type="dxa"/>
            <w:vAlign w:val="bottom"/>
          </w:tcPr>
          <w:p>
            <w:pPr>
              <w:spacing w:after="0"/>
              <w:rPr>
                <w:color w:val="auto"/>
                <w:sz w:val="10"/>
                <w:szCs w:val="10"/>
              </w:rPr>
            </w:pPr>
          </w:p>
        </w:tc>
        <w:tc>
          <w:tcPr>
            <w:tcW w:w="1100" w:type="dxa"/>
            <w:vAlign w:val="bottom"/>
          </w:tcPr>
          <w:p>
            <w:pPr>
              <w:spacing w:after="0"/>
              <w:ind w:right="212"/>
              <w:jc w:val="right"/>
              <w:rPr>
                <w:color w:val="auto"/>
                <w:sz w:val="20"/>
                <w:szCs w:val="20"/>
              </w:rPr>
            </w:pPr>
            <w:r>
              <w:rPr>
                <w:rFonts w:ascii="Calibri" w:eastAsia="Calibri" w:hAnsi="Calibri" w:cs="Calibri"/>
                <w:b/>
                <w:bCs/>
                <w:color w:val="auto"/>
                <w:sz w:val="10"/>
                <w:szCs w:val="10"/>
              </w:rPr>
              <w:t>Retained earnings</w:t>
            </w:r>
          </w:p>
        </w:tc>
        <w:tc>
          <w:tcPr>
            <w:tcW w:w="200" w:type="dxa"/>
            <w:vAlign w:val="bottom"/>
          </w:tcPr>
          <w:p>
            <w:pPr>
              <w:spacing w:after="0"/>
              <w:rPr>
                <w:color w:val="auto"/>
                <w:sz w:val="10"/>
                <w:szCs w:val="10"/>
              </w:rPr>
            </w:pPr>
          </w:p>
        </w:tc>
        <w:tc>
          <w:tcPr>
            <w:tcW w:w="1160" w:type="dxa"/>
            <w:vAlign w:val="bottom"/>
          </w:tcPr>
          <w:p>
            <w:pPr>
              <w:spacing w:after="0"/>
              <w:ind w:right="252"/>
              <w:jc w:val="right"/>
              <w:rPr>
                <w:color w:val="auto"/>
                <w:sz w:val="20"/>
                <w:szCs w:val="20"/>
              </w:rPr>
            </w:pPr>
            <w:r>
              <w:rPr>
                <w:rFonts w:ascii="Calibri" w:eastAsia="Calibri" w:hAnsi="Calibri" w:cs="Calibri"/>
                <w:b/>
                <w:bCs/>
                <w:color w:val="auto"/>
                <w:sz w:val="10"/>
                <w:szCs w:val="10"/>
              </w:rPr>
              <w:t>Accumulated other</w:t>
            </w:r>
          </w:p>
        </w:tc>
        <w:tc>
          <w:tcPr>
            <w:tcW w:w="1160" w:type="dxa"/>
            <w:vMerge w:val="restart"/>
            <w:vAlign w:val="bottom"/>
          </w:tcPr>
          <w:p>
            <w:pPr>
              <w:spacing w:after="0"/>
              <w:jc w:val="right"/>
              <w:rPr>
                <w:color w:val="auto"/>
                <w:sz w:val="20"/>
                <w:szCs w:val="20"/>
              </w:rPr>
            </w:pPr>
            <w:r>
              <w:rPr>
                <w:rFonts w:ascii="Calibri" w:eastAsia="Calibri" w:hAnsi="Calibri" w:cs="Calibri"/>
                <w:b/>
                <w:bCs/>
                <w:color w:val="auto"/>
                <w:sz w:val="10"/>
                <w:szCs w:val="10"/>
              </w:rPr>
              <w:t>Noncontrolling interest</w:t>
            </w:r>
          </w:p>
        </w:tc>
        <w:tc>
          <w:tcPr>
            <w:tcW w:w="180" w:type="dxa"/>
            <w:vAlign w:val="bottom"/>
          </w:tcPr>
          <w:p>
            <w:pPr>
              <w:spacing w:after="0"/>
              <w:rPr>
                <w:color w:val="auto"/>
                <w:sz w:val="10"/>
                <w:szCs w:val="10"/>
              </w:rPr>
            </w:pPr>
          </w:p>
        </w:tc>
        <w:tc>
          <w:tcPr>
            <w:tcW w:w="320" w:type="dxa"/>
            <w:vAlign w:val="bottom"/>
          </w:tcPr>
          <w:p>
            <w:pPr>
              <w:spacing w:after="0"/>
              <w:rPr>
                <w:color w:val="auto"/>
                <w:sz w:val="10"/>
                <w:szCs w:val="10"/>
              </w:rPr>
            </w:pPr>
          </w:p>
        </w:tc>
        <w:tc>
          <w:tcPr>
            <w:tcW w:w="800" w:type="dxa"/>
            <w:vMerge w:val="restart"/>
            <w:vAlign w:val="bottom"/>
          </w:tcPr>
          <w:p>
            <w:pPr>
              <w:spacing w:after="0"/>
              <w:ind w:right="392"/>
              <w:jc w:val="right"/>
              <w:rPr>
                <w:color w:val="auto"/>
                <w:sz w:val="20"/>
                <w:szCs w:val="20"/>
              </w:rPr>
            </w:pPr>
            <w:r>
              <w:rPr>
                <w:rFonts w:ascii="Calibri" w:eastAsia="Calibri" w:hAnsi="Calibri" w:cs="Calibri"/>
                <w:b/>
                <w:bCs/>
                <w:color w:val="auto"/>
                <w:sz w:val="10"/>
                <w:szCs w:val="10"/>
              </w:rPr>
              <w:t>Total</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Merge/>
            <w:vAlign w:val="bottom"/>
          </w:tcPr>
          <w:p>
            <w:pPr>
              <w:spacing w:after="0"/>
              <w:rPr>
                <w:color w:val="auto"/>
                <w:sz w:val="9"/>
                <w:szCs w:val="9"/>
              </w:rPr>
            </w:pPr>
          </w:p>
        </w:tc>
        <w:tc>
          <w:tcPr>
            <w:tcW w:w="1320" w:type="dxa"/>
            <w:vAlign w:val="bottom"/>
          </w:tcPr>
          <w:p>
            <w:pPr>
              <w:spacing w:after="0" w:line="112" w:lineRule="exact"/>
              <w:ind w:right="272"/>
              <w:jc w:val="right"/>
              <w:rPr>
                <w:color w:val="auto"/>
                <w:sz w:val="20"/>
                <w:szCs w:val="20"/>
              </w:rPr>
            </w:pPr>
            <w:r>
              <w:rPr>
                <w:rFonts w:ascii="Calibri" w:eastAsia="Calibri" w:hAnsi="Calibri" w:cs="Calibri"/>
                <w:b/>
                <w:bCs/>
                <w:color w:val="auto"/>
                <w:sz w:val="10"/>
                <w:szCs w:val="10"/>
              </w:rPr>
              <w:t>outstanding</w:t>
            </w:r>
          </w:p>
        </w:tc>
        <w:tc>
          <w:tcPr>
            <w:tcW w:w="120" w:type="dxa"/>
            <w:vAlign w:val="bottom"/>
          </w:tcPr>
          <w:p>
            <w:pPr>
              <w:spacing w:after="0"/>
              <w:rPr>
                <w:color w:val="auto"/>
                <w:sz w:val="9"/>
                <w:szCs w:val="9"/>
              </w:rPr>
            </w:pPr>
          </w:p>
        </w:tc>
        <w:tc>
          <w:tcPr>
            <w:tcW w:w="760" w:type="dxa"/>
            <w:vMerge/>
            <w:vAlign w:val="bottom"/>
          </w:tcPr>
          <w:p>
            <w:pPr>
              <w:spacing w:after="0"/>
              <w:rPr>
                <w:color w:val="auto"/>
                <w:sz w:val="9"/>
                <w:szCs w:val="9"/>
              </w:rPr>
            </w:pPr>
          </w:p>
        </w:tc>
        <w:tc>
          <w:tcPr>
            <w:tcW w:w="140" w:type="dxa"/>
            <w:vAlign w:val="bottom"/>
          </w:tcPr>
          <w:p>
            <w:pPr>
              <w:spacing w:after="0"/>
              <w:rPr>
                <w:color w:val="auto"/>
                <w:sz w:val="9"/>
                <w:szCs w:val="9"/>
              </w:rPr>
            </w:pPr>
          </w:p>
        </w:tc>
        <w:tc>
          <w:tcPr>
            <w:tcW w:w="740" w:type="dxa"/>
            <w:vMerge/>
            <w:vAlign w:val="bottom"/>
          </w:tcPr>
          <w:p>
            <w:pPr>
              <w:spacing w:after="0"/>
              <w:rPr>
                <w:color w:val="auto"/>
                <w:sz w:val="9"/>
                <w:szCs w:val="9"/>
              </w:rPr>
            </w:pPr>
          </w:p>
        </w:tc>
        <w:tc>
          <w:tcPr>
            <w:tcW w:w="120" w:type="dxa"/>
            <w:vAlign w:val="bottom"/>
          </w:tcPr>
          <w:p>
            <w:pPr>
              <w:spacing w:after="0"/>
              <w:rPr>
                <w:color w:val="auto"/>
                <w:sz w:val="9"/>
                <w:szCs w:val="9"/>
              </w:rPr>
            </w:pPr>
          </w:p>
        </w:tc>
        <w:tc>
          <w:tcPr>
            <w:tcW w:w="840" w:type="dxa"/>
            <w:vAlign w:val="bottom"/>
          </w:tcPr>
          <w:p>
            <w:pPr>
              <w:spacing w:after="0" w:line="112" w:lineRule="exact"/>
              <w:ind w:right="292"/>
              <w:jc w:val="right"/>
              <w:rPr>
                <w:color w:val="auto"/>
                <w:sz w:val="20"/>
                <w:szCs w:val="20"/>
              </w:rPr>
            </w:pPr>
            <w:r>
              <w:rPr>
                <w:rFonts w:ascii="Calibri" w:eastAsia="Calibri" w:hAnsi="Calibri" w:cs="Calibri"/>
                <w:b/>
                <w:bCs/>
                <w:color w:val="auto"/>
                <w:sz w:val="10"/>
                <w:szCs w:val="10"/>
              </w:rPr>
              <w:t>capital</w:t>
            </w:r>
          </w:p>
        </w:tc>
        <w:tc>
          <w:tcPr>
            <w:tcW w:w="180" w:type="dxa"/>
            <w:vAlign w:val="bottom"/>
          </w:tcPr>
          <w:p>
            <w:pPr>
              <w:spacing w:after="0"/>
              <w:rPr>
                <w:color w:val="auto"/>
                <w:sz w:val="9"/>
                <w:szCs w:val="9"/>
              </w:rPr>
            </w:pPr>
          </w:p>
        </w:tc>
        <w:tc>
          <w:tcPr>
            <w:tcW w:w="1100" w:type="dxa"/>
            <w:vAlign w:val="bottom"/>
          </w:tcPr>
          <w:p>
            <w:pPr>
              <w:spacing w:after="0" w:line="112" w:lineRule="exact"/>
              <w:ind w:right="152"/>
              <w:jc w:val="right"/>
              <w:rPr>
                <w:color w:val="auto"/>
                <w:sz w:val="20"/>
                <w:szCs w:val="20"/>
              </w:rPr>
            </w:pPr>
            <w:r>
              <w:rPr>
                <w:rFonts w:ascii="Calibri" w:eastAsia="Calibri" w:hAnsi="Calibri" w:cs="Calibri"/>
                <w:b/>
                <w:bCs/>
                <w:color w:val="auto"/>
                <w:sz w:val="10"/>
                <w:szCs w:val="10"/>
              </w:rPr>
              <w:t>(accumulated defcit)</w:t>
            </w:r>
          </w:p>
        </w:tc>
        <w:tc>
          <w:tcPr>
            <w:tcW w:w="200" w:type="dxa"/>
            <w:vAlign w:val="bottom"/>
          </w:tcPr>
          <w:p>
            <w:pPr>
              <w:spacing w:after="0"/>
              <w:rPr>
                <w:color w:val="auto"/>
                <w:sz w:val="9"/>
                <w:szCs w:val="9"/>
              </w:rPr>
            </w:pPr>
          </w:p>
        </w:tc>
        <w:tc>
          <w:tcPr>
            <w:tcW w:w="1160" w:type="dxa"/>
            <w:vAlign w:val="bottom"/>
          </w:tcPr>
          <w:p>
            <w:pPr>
              <w:spacing w:after="0" w:line="112" w:lineRule="exact"/>
              <w:ind w:right="232"/>
              <w:jc w:val="right"/>
              <w:rPr>
                <w:color w:val="auto"/>
                <w:sz w:val="20"/>
                <w:szCs w:val="20"/>
              </w:rPr>
            </w:pPr>
            <w:r>
              <w:rPr>
                <w:rFonts w:ascii="Calibri" w:eastAsia="Calibri" w:hAnsi="Calibri" w:cs="Calibri"/>
                <w:b/>
                <w:bCs/>
                <w:color w:val="auto"/>
                <w:sz w:val="10"/>
                <w:szCs w:val="10"/>
              </w:rPr>
              <w:t>comprehensive loss</w:t>
            </w:r>
          </w:p>
        </w:tc>
        <w:tc>
          <w:tcPr>
            <w:tcW w:w="1160" w:type="dxa"/>
            <w:vMerge/>
            <w:vAlign w:val="bottom"/>
          </w:tcPr>
          <w:p>
            <w:pPr>
              <w:spacing w:after="0"/>
              <w:rPr>
                <w:color w:val="auto"/>
                <w:sz w:val="9"/>
                <w:szCs w:val="9"/>
              </w:rPr>
            </w:pPr>
          </w:p>
        </w:tc>
        <w:tc>
          <w:tcPr>
            <w:tcW w:w="180" w:type="dxa"/>
            <w:vAlign w:val="bottom"/>
          </w:tcPr>
          <w:p>
            <w:pPr>
              <w:spacing w:after="0"/>
              <w:rPr>
                <w:color w:val="auto"/>
                <w:sz w:val="9"/>
                <w:szCs w:val="9"/>
              </w:rPr>
            </w:pPr>
          </w:p>
        </w:tc>
        <w:tc>
          <w:tcPr>
            <w:tcW w:w="320" w:type="dxa"/>
            <w:vAlign w:val="bottom"/>
          </w:tcPr>
          <w:p>
            <w:pPr>
              <w:spacing w:after="0"/>
              <w:rPr>
                <w:color w:val="auto"/>
                <w:sz w:val="9"/>
                <w:szCs w:val="9"/>
              </w:rPr>
            </w:pPr>
          </w:p>
        </w:tc>
        <w:tc>
          <w:tcPr>
            <w:tcW w:w="800" w:type="dxa"/>
            <w:vMerge/>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23"/>
        </w:trPr>
        <w:tc>
          <w:tcPr>
            <w:tcW w:w="214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20" w:type="dxa"/>
            <w:tcBorders>
              <w:bottom w:val="single" w:sz="8" w:space="0" w:color="auto"/>
            </w:tcBorders>
            <w:vAlign w:val="bottom"/>
          </w:tcPr>
          <w:p>
            <w:pPr>
              <w:spacing w:after="0"/>
              <w:rPr>
                <w:color w:val="auto"/>
                <w:sz w:val="2"/>
                <w:szCs w:val="2"/>
              </w:rPr>
            </w:pPr>
          </w:p>
        </w:tc>
        <w:tc>
          <w:tcPr>
            <w:tcW w:w="76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740" w:type="dxa"/>
            <w:tcBorders>
              <w:bottom w:val="single" w:sz="8" w:space="0" w:color="auto"/>
            </w:tcBorders>
            <w:vAlign w:val="bottom"/>
          </w:tcPr>
          <w:p>
            <w:pPr>
              <w:spacing w:after="0"/>
              <w:rPr>
                <w:color w:val="auto"/>
                <w:sz w:val="2"/>
                <w:szCs w:val="2"/>
              </w:rPr>
            </w:pPr>
          </w:p>
        </w:tc>
        <w:tc>
          <w:tcPr>
            <w:tcW w:w="12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20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214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b/>
                <w:bCs/>
                <w:color w:val="auto"/>
                <w:sz w:val="10"/>
                <w:szCs w:val="10"/>
              </w:rPr>
              <w:t>Balance at December 31, 2021</w:t>
            </w:r>
          </w:p>
        </w:tc>
        <w:tc>
          <w:tcPr>
            <w:tcW w:w="132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1,768</w:t>
            </w:r>
          </w:p>
        </w:tc>
        <w:tc>
          <w:tcPr>
            <w:tcW w:w="12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w:t>
            </w:r>
          </w:p>
        </w:tc>
        <w:tc>
          <w:tcPr>
            <w:tcW w:w="76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18</w:t>
            </w:r>
          </w:p>
        </w:tc>
        <w:tc>
          <w:tcPr>
            <w:tcW w:w="1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w:t>
            </w:r>
          </w:p>
        </w:tc>
        <w:tc>
          <w:tcPr>
            <w:tcW w:w="74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(3,143)</w:t>
            </w:r>
          </w:p>
        </w:tc>
        <w:tc>
          <w:tcPr>
            <w:tcW w:w="12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18,305</w:t>
            </w:r>
          </w:p>
        </w:tc>
        <w:tc>
          <w:tcPr>
            <w:tcW w:w="1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w:t>
            </w:r>
          </w:p>
        </w:tc>
        <w:tc>
          <w:tcPr>
            <w:tcW w:w="110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3,127</w:t>
            </w:r>
          </w:p>
        </w:tc>
        <w:tc>
          <w:tcPr>
            <w:tcW w:w="200" w:type="dxa"/>
            <w:tcBorders>
              <w:bottom w:val="single" w:sz="8" w:space="0" w:color="CCEEFF"/>
            </w:tcBorders>
            <w:shd w:val="clear" w:color="auto" w:fill="CCEEFF"/>
            <w:vAlign w:val="bottom"/>
          </w:tcPr>
          <w:p>
            <w:pPr>
              <w:spacing w:after="0" w:line="101" w:lineRule="exact"/>
              <w:ind w:right="52"/>
              <w:jc w:val="right"/>
              <w:rPr>
                <w:color w:val="auto"/>
                <w:sz w:val="20"/>
                <w:szCs w:val="20"/>
              </w:rPr>
            </w:pPr>
            <w:r>
              <w:rPr>
                <w:rFonts w:ascii="Calibri" w:eastAsia="Calibri" w:hAnsi="Calibri" w:cs="Calibri"/>
                <w:color w:val="auto"/>
                <w:sz w:val="10"/>
                <w:szCs w:val="10"/>
              </w:rPr>
              <w:t>$</w:t>
            </w:r>
          </w:p>
        </w:tc>
        <w:tc>
          <w:tcPr>
            <w:tcW w:w="116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(2,899)</w:t>
            </w:r>
          </w:p>
        </w:tc>
        <w:tc>
          <w:tcPr>
            <w:tcW w:w="1160" w:type="dxa"/>
            <w:tcBorders>
              <w:bottom w:val="single" w:sz="8" w:space="0" w:color="CCEEFF"/>
            </w:tcBorders>
            <w:shd w:val="clear" w:color="auto" w:fill="CCEEFF"/>
            <w:vAlign w:val="bottom"/>
          </w:tcPr>
          <w:p>
            <w:pPr>
              <w:spacing w:after="0" w:line="101" w:lineRule="exact"/>
              <w:ind w:right="99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w w:val="98"/>
                <w:sz w:val="10"/>
                <w:szCs w:val="10"/>
              </w:rPr>
              <w:t>28</w:t>
            </w:r>
          </w:p>
        </w:tc>
        <w:tc>
          <w:tcPr>
            <w:tcW w:w="320" w:type="dxa"/>
            <w:tcBorders>
              <w:bottom w:val="single" w:sz="8" w:space="0" w:color="CCEEFF"/>
            </w:tcBorders>
            <w:shd w:val="clear" w:color="auto" w:fill="CCEEFF"/>
            <w:vAlign w:val="bottom"/>
          </w:tcPr>
          <w:p>
            <w:pPr>
              <w:spacing w:after="0" w:line="101" w:lineRule="exact"/>
              <w:ind w:right="152"/>
              <w:jc w:val="right"/>
              <w:rPr>
                <w:color w:val="auto"/>
                <w:sz w:val="20"/>
                <w:szCs w:val="20"/>
              </w:rPr>
            </w:pPr>
            <w:r>
              <w:rPr>
                <w:rFonts w:ascii="Calibri" w:eastAsia="Calibri" w:hAnsi="Calibri" w:cs="Calibri"/>
                <w:color w:val="auto"/>
                <w:sz w:val="10"/>
                <w:szCs w:val="10"/>
              </w:rPr>
              <w:t>$</w:t>
            </w:r>
          </w:p>
        </w:tc>
        <w:tc>
          <w:tcPr>
            <w:tcW w:w="80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15,436</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Net earnings atributable to AbbVie Inc.</w:t>
            </w:r>
          </w:p>
        </w:tc>
        <w:tc>
          <w:tcPr>
            <w:tcW w:w="13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vAlign w:val="bottom"/>
          </w:tcPr>
          <w:p>
            <w:pPr>
              <w:spacing w:after="0"/>
              <w:rPr>
                <w:color w:val="auto"/>
                <w:sz w:val="9"/>
                <w:szCs w:val="9"/>
              </w:rPr>
            </w:pPr>
          </w:p>
        </w:tc>
        <w:tc>
          <w:tcPr>
            <w:tcW w:w="11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11,836</w:t>
            </w:r>
          </w:p>
        </w:tc>
        <w:tc>
          <w:tcPr>
            <w:tcW w:w="200" w:type="dxa"/>
            <w:vAlign w:val="bottom"/>
          </w:tcPr>
          <w:p>
            <w:pPr>
              <w:spacing w:after="0"/>
              <w:rPr>
                <w:color w:val="auto"/>
                <w:sz w:val="9"/>
                <w:szCs w:val="9"/>
              </w:rPr>
            </w:pPr>
          </w:p>
        </w:tc>
        <w:tc>
          <w:tcPr>
            <w:tcW w:w="116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11,836</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Other comprehensive income, net of tax</w:t>
            </w:r>
          </w:p>
        </w:tc>
        <w:tc>
          <w:tcPr>
            <w:tcW w:w="13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0"/>
                <w:szCs w:val="10"/>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0"/>
                <w:szCs w:val="10"/>
              </w:rPr>
            </w:pPr>
          </w:p>
        </w:tc>
        <w:tc>
          <w:tcPr>
            <w:tcW w:w="74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tcBorders>
              <w:bottom w:val="single" w:sz="8" w:space="0" w:color="CCEEFF"/>
            </w:tcBorders>
            <w:shd w:val="clear" w:color="auto" w:fill="CCEEFF"/>
            <w:vAlign w:val="bottom"/>
          </w:tcPr>
          <w:p>
            <w:pPr>
              <w:spacing w:after="0"/>
              <w:rPr>
                <w:color w:val="auto"/>
                <w:sz w:val="10"/>
                <w:szCs w:val="10"/>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700</w:t>
            </w:r>
          </w:p>
        </w:tc>
        <w:tc>
          <w:tcPr>
            <w:tcW w:w="1160" w:type="dxa"/>
            <w:tcBorders>
              <w:bottom w:val="single" w:sz="8" w:space="0" w:color="CCEEFF"/>
            </w:tcBorders>
            <w:shd w:val="clear" w:color="auto" w:fill="CCEEFF"/>
            <w:vAlign w:val="bottom"/>
          </w:tcPr>
          <w:p>
            <w:pPr>
              <w:spacing w:after="0"/>
              <w:rPr>
                <w:color w:val="auto"/>
                <w:sz w:val="10"/>
                <w:szCs w:val="10"/>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tcBorders>
              <w:bottom w:val="single" w:sz="8" w:space="0" w:color="CCEEFF"/>
            </w:tcBorders>
            <w:shd w:val="clear" w:color="auto" w:fill="CCEEFF"/>
            <w:vAlign w:val="bottom"/>
          </w:tcPr>
          <w:p>
            <w:pPr>
              <w:spacing w:after="0"/>
              <w:rPr>
                <w:color w:val="auto"/>
                <w:sz w:val="10"/>
                <w:szCs w:val="10"/>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700</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Dividends declared</w:t>
            </w:r>
          </w:p>
        </w:tc>
        <w:tc>
          <w:tcPr>
            <w:tcW w:w="13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(10,179)</w:t>
            </w:r>
          </w:p>
        </w:tc>
        <w:tc>
          <w:tcPr>
            <w:tcW w:w="200" w:type="dxa"/>
            <w:vAlign w:val="bottom"/>
          </w:tcPr>
          <w:p>
            <w:pPr>
              <w:spacing w:after="0"/>
              <w:rPr>
                <w:color w:val="auto"/>
                <w:sz w:val="9"/>
                <w:szCs w:val="9"/>
              </w:rPr>
            </w:pPr>
          </w:p>
        </w:tc>
        <w:tc>
          <w:tcPr>
            <w:tcW w:w="116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(10,179)</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Purchases of treasury stock</w:t>
            </w:r>
          </w:p>
        </w:tc>
        <w:tc>
          <w:tcPr>
            <w:tcW w:w="13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(10)</w:t>
            </w:r>
          </w:p>
        </w:tc>
        <w:tc>
          <w:tcPr>
            <w:tcW w:w="120" w:type="dxa"/>
            <w:tcBorders>
              <w:bottom w:val="single" w:sz="8" w:space="0" w:color="CCEEFF"/>
            </w:tcBorders>
            <w:shd w:val="clear" w:color="auto" w:fill="CCEEFF"/>
            <w:vAlign w:val="bottom"/>
          </w:tcPr>
          <w:p>
            <w:pPr>
              <w:spacing w:after="0"/>
              <w:rPr>
                <w:color w:val="auto"/>
                <w:sz w:val="10"/>
                <w:szCs w:val="10"/>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0"/>
                <w:szCs w:val="10"/>
              </w:rPr>
            </w:pPr>
          </w:p>
        </w:tc>
        <w:tc>
          <w:tcPr>
            <w:tcW w:w="7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(1,487)</w:t>
            </w:r>
          </w:p>
        </w:tc>
        <w:tc>
          <w:tcPr>
            <w:tcW w:w="12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tcBorders>
              <w:bottom w:val="single" w:sz="8" w:space="0" w:color="CCEEFF"/>
            </w:tcBorders>
            <w:shd w:val="clear" w:color="auto" w:fill="CCEEFF"/>
            <w:vAlign w:val="bottom"/>
          </w:tcPr>
          <w:p>
            <w:pPr>
              <w:spacing w:after="0"/>
              <w:rPr>
                <w:color w:val="auto"/>
                <w:sz w:val="10"/>
                <w:szCs w:val="10"/>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tcBorders>
              <w:bottom w:val="single" w:sz="8" w:space="0" w:color="CCEEFF"/>
            </w:tcBorders>
            <w:shd w:val="clear" w:color="auto" w:fill="CCEEFF"/>
            <w:vAlign w:val="bottom"/>
          </w:tcPr>
          <w:p>
            <w:pPr>
              <w:spacing w:after="0"/>
              <w:rPr>
                <w:color w:val="auto"/>
                <w:sz w:val="10"/>
                <w:szCs w:val="10"/>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tcBorders>
              <w:bottom w:val="single" w:sz="8" w:space="0" w:color="CCEEFF"/>
            </w:tcBorders>
            <w:shd w:val="clear" w:color="auto" w:fill="CCEEFF"/>
            <w:vAlign w:val="bottom"/>
          </w:tcPr>
          <w:p>
            <w:pPr>
              <w:spacing w:after="0"/>
              <w:rPr>
                <w:color w:val="auto"/>
                <w:sz w:val="10"/>
                <w:szCs w:val="10"/>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(1,487)</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Stock-based compensaton plans and other</w:t>
            </w:r>
          </w:p>
        </w:tc>
        <w:tc>
          <w:tcPr>
            <w:tcW w:w="13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11</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36</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940</w:t>
            </w:r>
          </w:p>
        </w:tc>
        <w:tc>
          <w:tcPr>
            <w:tcW w:w="180" w:type="dxa"/>
            <w:vAlign w:val="bottom"/>
          </w:tcPr>
          <w:p>
            <w:pPr>
              <w:spacing w:after="0"/>
              <w:rPr>
                <w:color w:val="auto"/>
                <w:sz w:val="9"/>
                <w:szCs w:val="9"/>
              </w:rPr>
            </w:pPr>
          </w:p>
        </w:tc>
        <w:tc>
          <w:tcPr>
            <w:tcW w:w="11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vAlign w:val="bottom"/>
          </w:tcPr>
          <w:p>
            <w:pPr>
              <w:spacing w:after="0"/>
              <w:rPr>
                <w:color w:val="auto"/>
                <w:sz w:val="9"/>
                <w:szCs w:val="9"/>
              </w:rPr>
            </w:pPr>
          </w:p>
        </w:tc>
        <w:tc>
          <w:tcPr>
            <w:tcW w:w="116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976</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Change in noncontrolling interest</w:t>
            </w:r>
          </w:p>
        </w:tc>
        <w:tc>
          <w:tcPr>
            <w:tcW w:w="13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1"/>
                <w:szCs w:val="11"/>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1"/>
                <w:szCs w:val="11"/>
              </w:rPr>
            </w:pPr>
          </w:p>
        </w:tc>
        <w:tc>
          <w:tcPr>
            <w:tcW w:w="74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rPr>
                <w:color w:val="auto"/>
                <w:sz w:val="11"/>
                <w:szCs w:val="11"/>
              </w:rPr>
            </w:pPr>
          </w:p>
        </w:tc>
        <w:tc>
          <w:tcPr>
            <w:tcW w:w="11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tcBorders>
              <w:bottom w:val="single" w:sz="8" w:space="0" w:color="CCEEFF"/>
            </w:tcBorders>
            <w:shd w:val="clear" w:color="auto" w:fill="CCEEFF"/>
            <w:vAlign w:val="bottom"/>
          </w:tcPr>
          <w:p>
            <w:pPr>
              <w:spacing w:after="0"/>
              <w:rPr>
                <w:color w:val="auto"/>
                <w:sz w:val="11"/>
                <w:szCs w:val="11"/>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tcBorders>
              <w:bottom w:val="single" w:sz="8" w:space="0" w:color="CCEEFF"/>
            </w:tcBorders>
            <w:shd w:val="clear" w:color="auto" w:fill="CCEEFF"/>
            <w:vAlign w:val="bottom"/>
          </w:tcPr>
          <w:p>
            <w:pPr>
              <w:spacing w:after="0"/>
              <w:rPr>
                <w:color w:val="auto"/>
                <w:sz w:val="11"/>
                <w:szCs w:val="11"/>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5</w:t>
            </w:r>
          </w:p>
        </w:tc>
        <w:tc>
          <w:tcPr>
            <w:tcW w:w="32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5</w:t>
            </w:r>
          </w:p>
        </w:tc>
        <w:tc>
          <w:tcPr>
            <w:tcW w:w="1" w:type="dxa"/>
            <w:vAlign w:val="bottom"/>
          </w:tcPr>
          <w:p>
            <w:pPr>
              <w:spacing w:after="0"/>
              <w:rPr>
                <w:color w:val="auto"/>
                <w:sz w:val="1"/>
                <w:szCs w:val="1"/>
              </w:rPr>
            </w:pPr>
          </w:p>
        </w:tc>
      </w:tr>
      <w:tr>
        <w:tblPrEx>
          <w:tblInd w:w="0" w:type="dxa"/>
          <w:tblLayout w:type="fixed"/>
        </w:tblPrEx>
        <w:trPr>
          <w:trHeight w:val="101"/>
        </w:trPr>
        <w:tc>
          <w:tcPr>
            <w:tcW w:w="214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b/>
                <w:bCs/>
                <w:color w:val="auto"/>
                <w:sz w:val="10"/>
                <w:szCs w:val="10"/>
              </w:rPr>
              <w:t>Balance at December 31, 2022</w:t>
            </w:r>
          </w:p>
        </w:tc>
        <w:tc>
          <w:tcPr>
            <w:tcW w:w="132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1,769</w:t>
            </w:r>
          </w:p>
        </w:tc>
        <w:tc>
          <w:tcPr>
            <w:tcW w:w="120" w:type="dxa"/>
            <w:tcBorders>
              <w:top w:val="single" w:sz="8" w:space="0" w:color="auto"/>
            </w:tcBorders>
            <w:vAlign w:val="bottom"/>
          </w:tcPr>
          <w:p>
            <w:pPr>
              <w:spacing w:after="0"/>
              <w:rPr>
                <w:color w:val="auto"/>
                <w:sz w:val="8"/>
                <w:szCs w:val="8"/>
              </w:rPr>
            </w:pPr>
          </w:p>
        </w:tc>
        <w:tc>
          <w:tcPr>
            <w:tcW w:w="76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18</w:t>
            </w:r>
          </w:p>
        </w:tc>
        <w:tc>
          <w:tcPr>
            <w:tcW w:w="140" w:type="dxa"/>
            <w:tcBorders>
              <w:top w:val="single" w:sz="8" w:space="0" w:color="auto"/>
            </w:tcBorders>
            <w:vAlign w:val="bottom"/>
          </w:tcPr>
          <w:p>
            <w:pPr>
              <w:spacing w:after="0"/>
              <w:rPr>
                <w:color w:val="auto"/>
                <w:sz w:val="8"/>
                <w:szCs w:val="8"/>
              </w:rPr>
            </w:pPr>
          </w:p>
        </w:tc>
        <w:tc>
          <w:tcPr>
            <w:tcW w:w="74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(4,594)</w:t>
            </w:r>
          </w:p>
        </w:tc>
        <w:tc>
          <w:tcPr>
            <w:tcW w:w="120" w:type="dxa"/>
            <w:tcBorders>
              <w:top w:val="single" w:sz="8" w:space="0" w:color="auto"/>
            </w:tcBorders>
            <w:vAlign w:val="bottom"/>
          </w:tcPr>
          <w:p>
            <w:pPr>
              <w:spacing w:after="0"/>
              <w:rPr>
                <w:color w:val="auto"/>
                <w:sz w:val="8"/>
                <w:szCs w:val="8"/>
              </w:rPr>
            </w:pPr>
          </w:p>
        </w:tc>
        <w:tc>
          <w:tcPr>
            <w:tcW w:w="84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19,245</w:t>
            </w:r>
          </w:p>
        </w:tc>
        <w:tc>
          <w:tcPr>
            <w:tcW w:w="180" w:type="dxa"/>
            <w:tcBorders>
              <w:top w:val="single" w:sz="8" w:space="0" w:color="auto"/>
            </w:tcBorders>
            <w:vAlign w:val="bottom"/>
          </w:tcPr>
          <w:p>
            <w:pPr>
              <w:spacing w:after="0"/>
              <w:rPr>
                <w:color w:val="auto"/>
                <w:sz w:val="8"/>
                <w:szCs w:val="8"/>
              </w:rPr>
            </w:pPr>
          </w:p>
        </w:tc>
        <w:tc>
          <w:tcPr>
            <w:tcW w:w="110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4,784</w:t>
            </w:r>
          </w:p>
        </w:tc>
        <w:tc>
          <w:tcPr>
            <w:tcW w:w="200" w:type="dxa"/>
            <w:tcBorders>
              <w:top w:val="single" w:sz="8" w:space="0" w:color="auto"/>
            </w:tcBorders>
            <w:vAlign w:val="bottom"/>
          </w:tcPr>
          <w:p>
            <w:pPr>
              <w:spacing w:after="0"/>
              <w:rPr>
                <w:color w:val="auto"/>
                <w:sz w:val="8"/>
                <w:szCs w:val="8"/>
              </w:rPr>
            </w:pPr>
          </w:p>
        </w:tc>
        <w:tc>
          <w:tcPr>
            <w:tcW w:w="116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(2,199)</w:t>
            </w:r>
          </w:p>
        </w:tc>
        <w:tc>
          <w:tcPr>
            <w:tcW w:w="1160" w:type="dxa"/>
            <w:tcBorders>
              <w:top w:val="single" w:sz="8" w:space="0" w:color="auto"/>
            </w:tcBorders>
            <w:vAlign w:val="bottom"/>
          </w:tcPr>
          <w:p>
            <w:pPr>
              <w:spacing w:after="0"/>
              <w:rPr>
                <w:color w:val="auto"/>
                <w:sz w:val="8"/>
                <w:szCs w:val="8"/>
              </w:rPr>
            </w:pPr>
          </w:p>
        </w:tc>
        <w:tc>
          <w:tcPr>
            <w:tcW w:w="1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w w:val="98"/>
                <w:sz w:val="10"/>
                <w:szCs w:val="10"/>
              </w:rPr>
              <w:t>33</w:t>
            </w:r>
          </w:p>
        </w:tc>
        <w:tc>
          <w:tcPr>
            <w:tcW w:w="320" w:type="dxa"/>
            <w:tcBorders>
              <w:top w:val="single" w:sz="8" w:space="0" w:color="auto"/>
            </w:tcBorders>
            <w:vAlign w:val="bottom"/>
          </w:tcPr>
          <w:p>
            <w:pPr>
              <w:spacing w:after="0"/>
              <w:rPr>
                <w:color w:val="auto"/>
                <w:sz w:val="8"/>
                <w:szCs w:val="8"/>
              </w:rPr>
            </w:pPr>
          </w:p>
        </w:tc>
        <w:tc>
          <w:tcPr>
            <w:tcW w:w="80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17,287</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Net earnings atributable to AbbVie Inc.</w:t>
            </w:r>
          </w:p>
        </w:tc>
        <w:tc>
          <w:tcPr>
            <w:tcW w:w="13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0"/>
                <w:szCs w:val="10"/>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0"/>
                <w:szCs w:val="10"/>
              </w:rPr>
            </w:pPr>
          </w:p>
        </w:tc>
        <w:tc>
          <w:tcPr>
            <w:tcW w:w="74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4,863</w:t>
            </w:r>
          </w:p>
        </w:tc>
        <w:tc>
          <w:tcPr>
            <w:tcW w:w="200" w:type="dxa"/>
            <w:tcBorders>
              <w:bottom w:val="single" w:sz="8" w:space="0" w:color="CCEEFF"/>
            </w:tcBorders>
            <w:shd w:val="clear" w:color="auto" w:fill="CCEEFF"/>
            <w:vAlign w:val="bottom"/>
          </w:tcPr>
          <w:p>
            <w:pPr>
              <w:spacing w:after="0"/>
              <w:rPr>
                <w:color w:val="auto"/>
                <w:sz w:val="10"/>
                <w:szCs w:val="10"/>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tcBorders>
              <w:bottom w:val="single" w:sz="8" w:space="0" w:color="CCEEFF"/>
            </w:tcBorders>
            <w:shd w:val="clear" w:color="auto" w:fill="CCEEFF"/>
            <w:vAlign w:val="bottom"/>
          </w:tcPr>
          <w:p>
            <w:pPr>
              <w:spacing w:after="0"/>
              <w:rPr>
                <w:color w:val="auto"/>
                <w:sz w:val="10"/>
                <w:szCs w:val="10"/>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tcBorders>
              <w:bottom w:val="single" w:sz="8" w:space="0" w:color="CCEEFF"/>
            </w:tcBorders>
            <w:shd w:val="clear" w:color="auto" w:fill="CCEEFF"/>
            <w:vAlign w:val="bottom"/>
          </w:tcPr>
          <w:p>
            <w:pPr>
              <w:spacing w:after="0"/>
              <w:rPr>
                <w:color w:val="auto"/>
                <w:sz w:val="10"/>
                <w:szCs w:val="10"/>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4,863</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Other comprehensive loss, net of tax</w:t>
            </w:r>
          </w:p>
        </w:tc>
        <w:tc>
          <w:tcPr>
            <w:tcW w:w="13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vAlign w:val="bottom"/>
          </w:tcPr>
          <w:p>
            <w:pPr>
              <w:spacing w:after="0"/>
              <w:rPr>
                <w:color w:val="auto"/>
                <w:sz w:val="9"/>
                <w:szCs w:val="9"/>
              </w:rPr>
            </w:pPr>
          </w:p>
        </w:tc>
        <w:tc>
          <w:tcPr>
            <w:tcW w:w="11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vAlign w:val="bottom"/>
          </w:tcPr>
          <w:p>
            <w:pPr>
              <w:spacing w:after="0"/>
              <w:rPr>
                <w:color w:val="auto"/>
                <w:sz w:val="9"/>
                <w:szCs w:val="9"/>
              </w:rPr>
            </w:pPr>
          </w:p>
        </w:tc>
        <w:tc>
          <w:tcPr>
            <w:tcW w:w="11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(106)</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(106)</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Dividends declared</w:t>
            </w:r>
          </w:p>
        </w:tc>
        <w:tc>
          <w:tcPr>
            <w:tcW w:w="13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0"/>
                <w:szCs w:val="10"/>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0"/>
                <w:szCs w:val="10"/>
              </w:rPr>
            </w:pPr>
          </w:p>
        </w:tc>
        <w:tc>
          <w:tcPr>
            <w:tcW w:w="74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(10,647)</w:t>
            </w:r>
          </w:p>
        </w:tc>
        <w:tc>
          <w:tcPr>
            <w:tcW w:w="200" w:type="dxa"/>
            <w:tcBorders>
              <w:bottom w:val="single" w:sz="8" w:space="0" w:color="CCEEFF"/>
            </w:tcBorders>
            <w:shd w:val="clear" w:color="auto" w:fill="CCEEFF"/>
            <w:vAlign w:val="bottom"/>
          </w:tcPr>
          <w:p>
            <w:pPr>
              <w:spacing w:after="0"/>
              <w:rPr>
                <w:color w:val="auto"/>
                <w:sz w:val="10"/>
                <w:szCs w:val="10"/>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tcBorders>
              <w:bottom w:val="single" w:sz="8" w:space="0" w:color="CCEEFF"/>
            </w:tcBorders>
            <w:shd w:val="clear" w:color="auto" w:fill="CCEEFF"/>
            <w:vAlign w:val="bottom"/>
          </w:tcPr>
          <w:p>
            <w:pPr>
              <w:spacing w:after="0"/>
              <w:rPr>
                <w:color w:val="auto"/>
                <w:sz w:val="10"/>
                <w:szCs w:val="10"/>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tcBorders>
              <w:bottom w:val="single" w:sz="8" w:space="0" w:color="CCEEFF"/>
            </w:tcBorders>
            <w:shd w:val="clear" w:color="auto" w:fill="CCEEFF"/>
            <w:vAlign w:val="bottom"/>
          </w:tcPr>
          <w:p>
            <w:pPr>
              <w:spacing w:after="0"/>
              <w:rPr>
                <w:color w:val="auto"/>
                <w:sz w:val="10"/>
                <w:szCs w:val="10"/>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(10,647)</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Purchases of treasury stock</w:t>
            </w:r>
          </w:p>
        </w:tc>
        <w:tc>
          <w:tcPr>
            <w:tcW w:w="132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(12)</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(1,978)</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vAlign w:val="bottom"/>
          </w:tcPr>
          <w:p>
            <w:pPr>
              <w:spacing w:after="0"/>
              <w:rPr>
                <w:color w:val="auto"/>
                <w:sz w:val="9"/>
                <w:szCs w:val="9"/>
              </w:rPr>
            </w:pPr>
          </w:p>
        </w:tc>
        <w:tc>
          <w:tcPr>
            <w:tcW w:w="11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vAlign w:val="bottom"/>
          </w:tcPr>
          <w:p>
            <w:pPr>
              <w:spacing w:after="0"/>
              <w:rPr>
                <w:color w:val="auto"/>
                <w:sz w:val="9"/>
                <w:szCs w:val="9"/>
              </w:rPr>
            </w:pPr>
          </w:p>
        </w:tc>
        <w:tc>
          <w:tcPr>
            <w:tcW w:w="116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(1,978)</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Stock-based compensaton plans and other</w:t>
            </w:r>
          </w:p>
        </w:tc>
        <w:tc>
          <w:tcPr>
            <w:tcW w:w="13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9</w:t>
            </w:r>
          </w:p>
        </w:tc>
        <w:tc>
          <w:tcPr>
            <w:tcW w:w="120" w:type="dxa"/>
            <w:tcBorders>
              <w:bottom w:val="single" w:sz="8" w:space="0" w:color="CCEEFF"/>
            </w:tcBorders>
            <w:shd w:val="clear" w:color="auto" w:fill="CCEEFF"/>
            <w:vAlign w:val="bottom"/>
          </w:tcPr>
          <w:p>
            <w:pPr>
              <w:spacing w:after="0"/>
              <w:rPr>
                <w:color w:val="auto"/>
                <w:sz w:val="10"/>
                <w:szCs w:val="10"/>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0"/>
                <w:szCs w:val="10"/>
              </w:rPr>
            </w:pPr>
          </w:p>
        </w:tc>
        <w:tc>
          <w:tcPr>
            <w:tcW w:w="74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39</w:t>
            </w:r>
          </w:p>
        </w:tc>
        <w:tc>
          <w:tcPr>
            <w:tcW w:w="12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935</w:t>
            </w:r>
          </w:p>
        </w:tc>
        <w:tc>
          <w:tcPr>
            <w:tcW w:w="1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tcBorders>
              <w:bottom w:val="single" w:sz="8" w:space="0" w:color="CCEEFF"/>
            </w:tcBorders>
            <w:shd w:val="clear" w:color="auto" w:fill="CCEEFF"/>
            <w:vAlign w:val="bottom"/>
          </w:tcPr>
          <w:p>
            <w:pPr>
              <w:spacing w:after="0"/>
              <w:rPr>
                <w:color w:val="auto"/>
                <w:sz w:val="10"/>
                <w:szCs w:val="10"/>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tcBorders>
              <w:bottom w:val="single" w:sz="8" w:space="0" w:color="CCEEFF"/>
            </w:tcBorders>
            <w:shd w:val="clear" w:color="auto" w:fill="CCEEFF"/>
            <w:vAlign w:val="bottom"/>
          </w:tcPr>
          <w:p>
            <w:pPr>
              <w:spacing w:after="0"/>
              <w:rPr>
                <w:color w:val="auto"/>
                <w:sz w:val="10"/>
                <w:szCs w:val="10"/>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tcBorders>
              <w:bottom w:val="single" w:sz="8" w:space="0" w:color="CCEEFF"/>
            </w:tcBorders>
            <w:shd w:val="clear" w:color="auto" w:fill="CCEEFF"/>
            <w:vAlign w:val="bottom"/>
          </w:tcPr>
          <w:p>
            <w:pPr>
              <w:spacing w:after="0"/>
              <w:rPr>
                <w:color w:val="auto"/>
                <w:sz w:val="10"/>
                <w:szCs w:val="10"/>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974</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Change in noncontrolling interest</w:t>
            </w:r>
          </w:p>
        </w:tc>
        <w:tc>
          <w:tcPr>
            <w:tcW w:w="13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vAlign w:val="bottom"/>
          </w:tcPr>
          <w:p>
            <w:pPr>
              <w:spacing w:after="0"/>
              <w:rPr>
                <w:color w:val="auto"/>
                <w:sz w:val="9"/>
                <w:szCs w:val="9"/>
              </w:rPr>
            </w:pPr>
          </w:p>
        </w:tc>
        <w:tc>
          <w:tcPr>
            <w:tcW w:w="11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vAlign w:val="bottom"/>
          </w:tcPr>
          <w:p>
            <w:pPr>
              <w:spacing w:after="0"/>
              <w:rPr>
                <w:color w:val="auto"/>
                <w:sz w:val="9"/>
                <w:szCs w:val="9"/>
              </w:rPr>
            </w:pPr>
          </w:p>
        </w:tc>
        <w:tc>
          <w:tcPr>
            <w:tcW w:w="116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4</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4</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20" w:type="dxa"/>
            <w:tcBorders>
              <w:bottom w:val="single" w:sz="8" w:space="0" w:color="auto"/>
            </w:tcBorders>
            <w:vAlign w:val="bottom"/>
          </w:tcPr>
          <w:p>
            <w:pPr>
              <w:spacing w:after="0"/>
              <w:rPr>
                <w:color w:val="auto"/>
                <w:sz w:val="2"/>
                <w:szCs w:val="2"/>
              </w:rPr>
            </w:pPr>
          </w:p>
        </w:tc>
        <w:tc>
          <w:tcPr>
            <w:tcW w:w="76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740" w:type="dxa"/>
            <w:tcBorders>
              <w:bottom w:val="single" w:sz="8" w:space="0" w:color="auto"/>
            </w:tcBorders>
            <w:vAlign w:val="bottom"/>
          </w:tcPr>
          <w:p>
            <w:pPr>
              <w:spacing w:after="0"/>
              <w:rPr>
                <w:color w:val="auto"/>
                <w:sz w:val="2"/>
                <w:szCs w:val="2"/>
              </w:rPr>
            </w:pPr>
          </w:p>
        </w:tc>
        <w:tc>
          <w:tcPr>
            <w:tcW w:w="12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20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2140" w:type="dxa"/>
            <w:tcBorders>
              <w:bottom w:val="single" w:sz="8" w:space="0" w:color="CCEEFF"/>
            </w:tcBorders>
            <w:shd w:val="clear" w:color="auto" w:fill="CCEEFF"/>
            <w:vAlign w:val="bottom"/>
          </w:tcPr>
          <w:p>
            <w:pPr>
              <w:spacing w:after="0" w:line="101" w:lineRule="exact"/>
              <w:ind w:left="20"/>
              <w:rPr>
                <w:color w:val="auto"/>
                <w:sz w:val="20"/>
                <w:szCs w:val="20"/>
              </w:rPr>
            </w:pPr>
            <w:r>
              <w:rPr>
                <w:rFonts w:ascii="Calibri" w:eastAsia="Calibri" w:hAnsi="Calibri" w:cs="Calibri"/>
                <w:b/>
                <w:bCs/>
                <w:color w:val="auto"/>
                <w:sz w:val="10"/>
                <w:szCs w:val="10"/>
              </w:rPr>
              <w:t>Balance at December 31, 2023</w:t>
            </w:r>
          </w:p>
        </w:tc>
        <w:tc>
          <w:tcPr>
            <w:tcW w:w="132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1,766</w:t>
            </w:r>
          </w:p>
        </w:tc>
        <w:tc>
          <w:tcPr>
            <w:tcW w:w="120" w:type="dxa"/>
            <w:tcBorders>
              <w:bottom w:val="single" w:sz="8" w:space="0" w:color="CCEEFF"/>
            </w:tcBorders>
            <w:shd w:val="clear" w:color="auto" w:fill="CCEEFF"/>
            <w:vAlign w:val="bottom"/>
          </w:tcPr>
          <w:p>
            <w:pPr>
              <w:spacing w:after="0"/>
              <w:rPr>
                <w:color w:val="auto"/>
                <w:sz w:val="9"/>
                <w:szCs w:val="9"/>
              </w:rPr>
            </w:pPr>
          </w:p>
        </w:tc>
        <w:tc>
          <w:tcPr>
            <w:tcW w:w="76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18</w:t>
            </w:r>
          </w:p>
        </w:tc>
        <w:tc>
          <w:tcPr>
            <w:tcW w:w="140" w:type="dxa"/>
            <w:tcBorders>
              <w:bottom w:val="single" w:sz="8" w:space="0" w:color="CCEEFF"/>
            </w:tcBorders>
            <w:shd w:val="clear" w:color="auto" w:fill="CCEEFF"/>
            <w:vAlign w:val="bottom"/>
          </w:tcPr>
          <w:p>
            <w:pPr>
              <w:spacing w:after="0"/>
              <w:rPr>
                <w:color w:val="auto"/>
                <w:sz w:val="9"/>
                <w:szCs w:val="9"/>
              </w:rPr>
            </w:pPr>
          </w:p>
        </w:tc>
        <w:tc>
          <w:tcPr>
            <w:tcW w:w="74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(6,533)</w:t>
            </w:r>
          </w:p>
        </w:tc>
        <w:tc>
          <w:tcPr>
            <w:tcW w:w="120" w:type="dxa"/>
            <w:tcBorders>
              <w:bottom w:val="single" w:sz="8" w:space="0" w:color="CCEEFF"/>
            </w:tcBorders>
            <w:shd w:val="clear" w:color="auto" w:fill="CCEEFF"/>
            <w:vAlign w:val="bottom"/>
          </w:tcPr>
          <w:p>
            <w:pPr>
              <w:spacing w:after="0"/>
              <w:rPr>
                <w:color w:val="auto"/>
                <w:sz w:val="9"/>
                <w:szCs w:val="9"/>
              </w:rPr>
            </w:pPr>
          </w:p>
        </w:tc>
        <w:tc>
          <w:tcPr>
            <w:tcW w:w="84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20,180</w:t>
            </w:r>
          </w:p>
        </w:tc>
        <w:tc>
          <w:tcPr>
            <w:tcW w:w="180" w:type="dxa"/>
            <w:tcBorders>
              <w:bottom w:val="single" w:sz="8" w:space="0" w:color="CCEEFF"/>
            </w:tcBorders>
            <w:shd w:val="clear" w:color="auto" w:fill="CCEEFF"/>
            <w:vAlign w:val="bottom"/>
          </w:tcPr>
          <w:p>
            <w:pPr>
              <w:spacing w:after="0"/>
              <w:rPr>
                <w:color w:val="auto"/>
                <w:sz w:val="9"/>
                <w:szCs w:val="9"/>
              </w:rPr>
            </w:pPr>
          </w:p>
        </w:tc>
        <w:tc>
          <w:tcPr>
            <w:tcW w:w="110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(1,000)</w:t>
            </w:r>
          </w:p>
        </w:tc>
        <w:tc>
          <w:tcPr>
            <w:tcW w:w="200" w:type="dxa"/>
            <w:tcBorders>
              <w:bottom w:val="single" w:sz="8" w:space="0" w:color="CCEEFF"/>
            </w:tcBorders>
            <w:shd w:val="clear" w:color="auto" w:fill="CCEEFF"/>
            <w:vAlign w:val="bottom"/>
          </w:tcPr>
          <w:p>
            <w:pPr>
              <w:spacing w:after="0"/>
              <w:rPr>
                <w:color w:val="auto"/>
                <w:sz w:val="9"/>
                <w:szCs w:val="9"/>
              </w:rPr>
            </w:pPr>
          </w:p>
        </w:tc>
        <w:tc>
          <w:tcPr>
            <w:tcW w:w="116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(2,305)</w:t>
            </w:r>
          </w:p>
        </w:tc>
        <w:tc>
          <w:tcPr>
            <w:tcW w:w="1160" w:type="dxa"/>
            <w:tcBorders>
              <w:bottom w:val="single" w:sz="8" w:space="0" w:color="CCEEFF"/>
            </w:tcBorders>
            <w:shd w:val="clear" w:color="auto" w:fill="CCEEFF"/>
            <w:vAlign w:val="bottom"/>
          </w:tcPr>
          <w:p>
            <w:pPr>
              <w:spacing w:after="0"/>
              <w:rPr>
                <w:color w:val="auto"/>
                <w:sz w:val="9"/>
                <w:szCs w:val="9"/>
              </w:rPr>
            </w:pPr>
          </w:p>
        </w:tc>
        <w:tc>
          <w:tcPr>
            <w:tcW w:w="18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w w:val="98"/>
                <w:sz w:val="10"/>
                <w:szCs w:val="10"/>
              </w:rPr>
              <w:t>37</w:t>
            </w:r>
          </w:p>
        </w:tc>
        <w:tc>
          <w:tcPr>
            <w:tcW w:w="320" w:type="dxa"/>
            <w:tcBorders>
              <w:bottom w:val="single" w:sz="8" w:space="0" w:color="CCEEFF"/>
            </w:tcBorders>
            <w:shd w:val="clear" w:color="auto" w:fill="CCEEFF"/>
            <w:vAlign w:val="bottom"/>
          </w:tcPr>
          <w:p>
            <w:pPr>
              <w:spacing w:after="0"/>
              <w:rPr>
                <w:color w:val="auto"/>
                <w:sz w:val="9"/>
                <w:szCs w:val="9"/>
              </w:rPr>
            </w:pPr>
          </w:p>
        </w:tc>
        <w:tc>
          <w:tcPr>
            <w:tcW w:w="80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10,397</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Net earnings atributable to AbbVie Inc.</w:t>
            </w:r>
          </w:p>
        </w:tc>
        <w:tc>
          <w:tcPr>
            <w:tcW w:w="13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vAlign w:val="bottom"/>
          </w:tcPr>
          <w:p>
            <w:pPr>
              <w:spacing w:after="0"/>
              <w:rPr>
                <w:color w:val="auto"/>
                <w:sz w:val="9"/>
                <w:szCs w:val="9"/>
              </w:rPr>
            </w:pPr>
          </w:p>
        </w:tc>
        <w:tc>
          <w:tcPr>
            <w:tcW w:w="11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4,278</w:t>
            </w:r>
          </w:p>
        </w:tc>
        <w:tc>
          <w:tcPr>
            <w:tcW w:w="200" w:type="dxa"/>
            <w:vAlign w:val="bottom"/>
          </w:tcPr>
          <w:p>
            <w:pPr>
              <w:spacing w:after="0"/>
              <w:rPr>
                <w:color w:val="auto"/>
                <w:sz w:val="9"/>
                <w:szCs w:val="9"/>
              </w:rPr>
            </w:pPr>
          </w:p>
        </w:tc>
        <w:tc>
          <w:tcPr>
            <w:tcW w:w="116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4,278</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Other comprehensive income, net of tax</w:t>
            </w:r>
          </w:p>
        </w:tc>
        <w:tc>
          <w:tcPr>
            <w:tcW w:w="13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0"/>
                <w:szCs w:val="10"/>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0"/>
                <w:szCs w:val="10"/>
              </w:rPr>
            </w:pPr>
          </w:p>
        </w:tc>
        <w:tc>
          <w:tcPr>
            <w:tcW w:w="74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tcBorders>
              <w:bottom w:val="single" w:sz="8" w:space="0" w:color="CCEEFF"/>
            </w:tcBorders>
            <w:shd w:val="clear" w:color="auto" w:fill="CCEEFF"/>
            <w:vAlign w:val="bottom"/>
          </w:tcPr>
          <w:p>
            <w:pPr>
              <w:spacing w:after="0"/>
              <w:rPr>
                <w:color w:val="auto"/>
                <w:sz w:val="10"/>
                <w:szCs w:val="10"/>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380</w:t>
            </w:r>
          </w:p>
        </w:tc>
        <w:tc>
          <w:tcPr>
            <w:tcW w:w="1160" w:type="dxa"/>
            <w:tcBorders>
              <w:bottom w:val="single" w:sz="8" w:space="0" w:color="CCEEFF"/>
            </w:tcBorders>
            <w:shd w:val="clear" w:color="auto" w:fill="CCEEFF"/>
            <w:vAlign w:val="bottom"/>
          </w:tcPr>
          <w:p>
            <w:pPr>
              <w:spacing w:after="0"/>
              <w:rPr>
                <w:color w:val="auto"/>
                <w:sz w:val="10"/>
                <w:szCs w:val="10"/>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tcBorders>
              <w:bottom w:val="single" w:sz="8" w:space="0" w:color="CCEEFF"/>
            </w:tcBorders>
            <w:shd w:val="clear" w:color="auto" w:fill="CCEEFF"/>
            <w:vAlign w:val="bottom"/>
          </w:tcPr>
          <w:p>
            <w:pPr>
              <w:spacing w:after="0"/>
              <w:rPr>
                <w:color w:val="auto"/>
                <w:sz w:val="10"/>
                <w:szCs w:val="10"/>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380</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Dividends declared</w:t>
            </w:r>
          </w:p>
        </w:tc>
        <w:tc>
          <w:tcPr>
            <w:tcW w:w="13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(11,178)</w:t>
            </w:r>
          </w:p>
        </w:tc>
        <w:tc>
          <w:tcPr>
            <w:tcW w:w="200" w:type="dxa"/>
            <w:vAlign w:val="bottom"/>
          </w:tcPr>
          <w:p>
            <w:pPr>
              <w:spacing w:after="0"/>
              <w:rPr>
                <w:color w:val="auto"/>
                <w:sz w:val="9"/>
                <w:szCs w:val="9"/>
              </w:rPr>
            </w:pPr>
          </w:p>
        </w:tc>
        <w:tc>
          <w:tcPr>
            <w:tcW w:w="116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(11,178)</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Purchases of treasury stock</w:t>
            </w:r>
          </w:p>
        </w:tc>
        <w:tc>
          <w:tcPr>
            <w:tcW w:w="13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(9)</w:t>
            </w:r>
          </w:p>
        </w:tc>
        <w:tc>
          <w:tcPr>
            <w:tcW w:w="120" w:type="dxa"/>
            <w:tcBorders>
              <w:bottom w:val="single" w:sz="8" w:space="0" w:color="CCEEFF"/>
            </w:tcBorders>
            <w:shd w:val="clear" w:color="auto" w:fill="CCEEFF"/>
            <w:vAlign w:val="bottom"/>
          </w:tcPr>
          <w:p>
            <w:pPr>
              <w:spacing w:after="0"/>
              <w:rPr>
                <w:color w:val="auto"/>
                <w:sz w:val="10"/>
                <w:szCs w:val="10"/>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0"/>
                <w:szCs w:val="10"/>
              </w:rPr>
            </w:pPr>
          </w:p>
        </w:tc>
        <w:tc>
          <w:tcPr>
            <w:tcW w:w="7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(1,703)</w:t>
            </w:r>
          </w:p>
        </w:tc>
        <w:tc>
          <w:tcPr>
            <w:tcW w:w="12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tcBorders>
              <w:bottom w:val="single" w:sz="8" w:space="0" w:color="CCEEFF"/>
            </w:tcBorders>
            <w:shd w:val="clear" w:color="auto" w:fill="CCEEFF"/>
            <w:vAlign w:val="bottom"/>
          </w:tcPr>
          <w:p>
            <w:pPr>
              <w:spacing w:after="0"/>
              <w:rPr>
                <w:color w:val="auto"/>
                <w:sz w:val="10"/>
                <w:szCs w:val="10"/>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tcBorders>
              <w:bottom w:val="single" w:sz="8" w:space="0" w:color="CCEEFF"/>
            </w:tcBorders>
            <w:shd w:val="clear" w:color="auto" w:fill="CCEEFF"/>
            <w:vAlign w:val="bottom"/>
          </w:tcPr>
          <w:p>
            <w:pPr>
              <w:spacing w:after="0"/>
              <w:rPr>
                <w:color w:val="auto"/>
                <w:sz w:val="10"/>
                <w:szCs w:val="10"/>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tcBorders>
              <w:bottom w:val="single" w:sz="8" w:space="0" w:color="CCEEFF"/>
            </w:tcBorders>
            <w:shd w:val="clear" w:color="auto" w:fill="CCEEFF"/>
            <w:vAlign w:val="bottom"/>
          </w:tcPr>
          <w:p>
            <w:pPr>
              <w:spacing w:after="0"/>
              <w:rPr>
                <w:color w:val="auto"/>
                <w:sz w:val="10"/>
                <w:szCs w:val="10"/>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(1,703)</w:t>
            </w:r>
          </w:p>
        </w:tc>
        <w:tc>
          <w:tcPr>
            <w:tcW w:w="1" w:type="dxa"/>
            <w:vAlign w:val="bottom"/>
          </w:tcPr>
          <w:p>
            <w:pPr>
              <w:spacing w:after="0"/>
              <w:rPr>
                <w:color w:val="auto"/>
                <w:sz w:val="1"/>
                <w:szCs w:val="1"/>
              </w:rPr>
            </w:pPr>
          </w:p>
        </w:tc>
      </w:tr>
      <w:tr>
        <w:tblPrEx>
          <w:tblInd w:w="0" w:type="dxa"/>
          <w:tblLayout w:type="fixed"/>
        </w:tblPrEx>
        <w:trPr>
          <w:trHeight w:val="112"/>
        </w:trPr>
        <w:tc>
          <w:tcPr>
            <w:tcW w:w="2140" w:type="dxa"/>
            <w:vAlign w:val="bottom"/>
          </w:tcPr>
          <w:p>
            <w:pPr>
              <w:spacing w:after="0" w:line="112" w:lineRule="exact"/>
              <w:ind w:left="20"/>
              <w:rPr>
                <w:color w:val="auto"/>
                <w:sz w:val="20"/>
                <w:szCs w:val="20"/>
              </w:rPr>
            </w:pPr>
            <w:r>
              <w:rPr>
                <w:rFonts w:ascii="Calibri" w:eastAsia="Calibri" w:hAnsi="Calibri" w:cs="Calibri"/>
                <w:color w:val="auto"/>
                <w:sz w:val="10"/>
                <w:szCs w:val="10"/>
              </w:rPr>
              <w:t>Stock-based compensaton plans and other</w:t>
            </w:r>
          </w:p>
        </w:tc>
        <w:tc>
          <w:tcPr>
            <w:tcW w:w="13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8</w:t>
            </w:r>
          </w:p>
        </w:tc>
        <w:tc>
          <w:tcPr>
            <w:tcW w:w="120" w:type="dxa"/>
            <w:vAlign w:val="bottom"/>
          </w:tcPr>
          <w:p>
            <w:pPr>
              <w:spacing w:after="0"/>
              <w:rPr>
                <w:color w:val="auto"/>
                <w:sz w:val="9"/>
                <w:szCs w:val="9"/>
              </w:rPr>
            </w:pPr>
          </w:p>
        </w:tc>
        <w:tc>
          <w:tcPr>
            <w:tcW w:w="76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vAlign w:val="bottom"/>
          </w:tcPr>
          <w:p>
            <w:pPr>
              <w:spacing w:after="0"/>
              <w:rPr>
                <w:color w:val="auto"/>
                <w:sz w:val="9"/>
                <w:szCs w:val="9"/>
              </w:rPr>
            </w:pPr>
          </w:p>
        </w:tc>
        <w:tc>
          <w:tcPr>
            <w:tcW w:w="74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35</w:t>
            </w:r>
          </w:p>
        </w:tc>
        <w:tc>
          <w:tcPr>
            <w:tcW w:w="120" w:type="dxa"/>
            <w:vAlign w:val="bottom"/>
          </w:tcPr>
          <w:p>
            <w:pPr>
              <w:spacing w:after="0"/>
              <w:rPr>
                <w:color w:val="auto"/>
                <w:sz w:val="9"/>
                <w:szCs w:val="9"/>
              </w:rPr>
            </w:pPr>
          </w:p>
        </w:tc>
        <w:tc>
          <w:tcPr>
            <w:tcW w:w="8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1,153</w:t>
            </w:r>
          </w:p>
        </w:tc>
        <w:tc>
          <w:tcPr>
            <w:tcW w:w="180" w:type="dxa"/>
            <w:vAlign w:val="bottom"/>
          </w:tcPr>
          <w:p>
            <w:pPr>
              <w:spacing w:after="0"/>
              <w:rPr>
                <w:color w:val="auto"/>
                <w:sz w:val="9"/>
                <w:szCs w:val="9"/>
              </w:rPr>
            </w:pPr>
          </w:p>
        </w:tc>
        <w:tc>
          <w:tcPr>
            <w:tcW w:w="110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vAlign w:val="bottom"/>
          </w:tcPr>
          <w:p>
            <w:pPr>
              <w:spacing w:after="0"/>
              <w:rPr>
                <w:color w:val="auto"/>
                <w:sz w:val="9"/>
                <w:szCs w:val="9"/>
              </w:rPr>
            </w:pPr>
          </w:p>
        </w:tc>
        <w:tc>
          <w:tcPr>
            <w:tcW w:w="116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vAlign w:val="bottom"/>
          </w:tcPr>
          <w:p>
            <w:pPr>
              <w:spacing w:after="0"/>
              <w:rPr>
                <w:color w:val="auto"/>
                <w:sz w:val="9"/>
                <w:szCs w:val="9"/>
              </w:rPr>
            </w:pPr>
          </w:p>
        </w:tc>
        <w:tc>
          <w:tcPr>
            <w:tcW w:w="18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320" w:type="dxa"/>
            <w:vAlign w:val="bottom"/>
          </w:tcPr>
          <w:p>
            <w:pPr>
              <w:spacing w:after="0"/>
              <w:rPr>
                <w:color w:val="auto"/>
                <w:sz w:val="9"/>
                <w:szCs w:val="9"/>
              </w:rPr>
            </w:pPr>
          </w:p>
        </w:tc>
        <w:tc>
          <w:tcPr>
            <w:tcW w:w="800" w:type="dxa"/>
            <w:vAlign w:val="bottom"/>
          </w:tcPr>
          <w:p>
            <w:pPr>
              <w:spacing w:after="0" w:line="112" w:lineRule="exact"/>
              <w:jc w:val="right"/>
              <w:rPr>
                <w:color w:val="auto"/>
                <w:sz w:val="20"/>
                <w:szCs w:val="20"/>
              </w:rPr>
            </w:pPr>
            <w:r>
              <w:rPr>
                <w:rFonts w:ascii="Calibri" w:eastAsia="Calibri" w:hAnsi="Calibri" w:cs="Calibri"/>
                <w:color w:val="auto"/>
                <w:sz w:val="10"/>
                <w:szCs w:val="10"/>
              </w:rPr>
              <w:t>1,188</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vAlign w:val="bottom"/>
          </w:tcPr>
          <w:p>
            <w:pPr>
              <w:spacing w:after="0"/>
              <w:rPr>
                <w:color w:val="auto"/>
                <w:sz w:val="2"/>
                <w:szCs w:val="2"/>
              </w:rPr>
            </w:pPr>
          </w:p>
        </w:tc>
        <w:tc>
          <w:tcPr>
            <w:tcW w:w="1320" w:type="dxa"/>
            <w:vAlign w:val="bottom"/>
          </w:tcPr>
          <w:p>
            <w:pPr>
              <w:spacing w:after="0"/>
              <w:rPr>
                <w:color w:val="auto"/>
                <w:sz w:val="2"/>
                <w:szCs w:val="2"/>
              </w:rPr>
            </w:pPr>
          </w:p>
        </w:tc>
        <w:tc>
          <w:tcPr>
            <w:tcW w:w="120" w:type="dxa"/>
            <w:vAlign w:val="bottom"/>
          </w:tcPr>
          <w:p>
            <w:pPr>
              <w:spacing w:after="0"/>
              <w:rPr>
                <w:color w:val="auto"/>
                <w:sz w:val="2"/>
                <w:szCs w:val="2"/>
              </w:rPr>
            </w:pPr>
          </w:p>
        </w:tc>
        <w:tc>
          <w:tcPr>
            <w:tcW w:w="760" w:type="dxa"/>
            <w:vAlign w:val="bottom"/>
          </w:tcPr>
          <w:p>
            <w:pPr>
              <w:spacing w:after="0"/>
              <w:rPr>
                <w:color w:val="auto"/>
                <w:sz w:val="2"/>
                <w:szCs w:val="2"/>
              </w:rPr>
            </w:pPr>
          </w:p>
        </w:tc>
        <w:tc>
          <w:tcPr>
            <w:tcW w:w="140" w:type="dxa"/>
            <w:vAlign w:val="bottom"/>
          </w:tcPr>
          <w:p>
            <w:pPr>
              <w:spacing w:after="0"/>
              <w:rPr>
                <w:color w:val="auto"/>
                <w:sz w:val="2"/>
                <w:szCs w:val="2"/>
              </w:rPr>
            </w:pPr>
          </w:p>
        </w:tc>
        <w:tc>
          <w:tcPr>
            <w:tcW w:w="740" w:type="dxa"/>
            <w:vAlign w:val="bottom"/>
          </w:tcPr>
          <w:p>
            <w:pPr>
              <w:spacing w:after="0"/>
              <w:rPr>
                <w:color w:val="auto"/>
                <w:sz w:val="2"/>
                <w:szCs w:val="2"/>
              </w:rPr>
            </w:pPr>
          </w:p>
        </w:tc>
        <w:tc>
          <w:tcPr>
            <w:tcW w:w="120" w:type="dxa"/>
            <w:vAlign w:val="bottom"/>
          </w:tcPr>
          <w:p>
            <w:pPr>
              <w:spacing w:after="0"/>
              <w:rPr>
                <w:color w:val="auto"/>
                <w:sz w:val="2"/>
                <w:szCs w:val="2"/>
              </w:rPr>
            </w:pPr>
          </w:p>
        </w:tc>
        <w:tc>
          <w:tcPr>
            <w:tcW w:w="840" w:type="dxa"/>
            <w:vAlign w:val="bottom"/>
          </w:tcPr>
          <w:p>
            <w:pPr>
              <w:spacing w:after="0"/>
              <w:rPr>
                <w:color w:val="auto"/>
                <w:sz w:val="2"/>
                <w:szCs w:val="2"/>
              </w:rPr>
            </w:pPr>
          </w:p>
        </w:tc>
        <w:tc>
          <w:tcPr>
            <w:tcW w:w="180" w:type="dxa"/>
            <w:vAlign w:val="bottom"/>
          </w:tcPr>
          <w:p>
            <w:pPr>
              <w:spacing w:after="0"/>
              <w:rPr>
                <w:color w:val="auto"/>
                <w:sz w:val="2"/>
                <w:szCs w:val="2"/>
              </w:rPr>
            </w:pPr>
          </w:p>
        </w:tc>
        <w:tc>
          <w:tcPr>
            <w:tcW w:w="1100" w:type="dxa"/>
            <w:vAlign w:val="bottom"/>
          </w:tcPr>
          <w:p>
            <w:pPr>
              <w:spacing w:after="0"/>
              <w:rPr>
                <w:color w:val="auto"/>
                <w:sz w:val="2"/>
                <w:szCs w:val="2"/>
              </w:rPr>
            </w:pPr>
          </w:p>
        </w:tc>
        <w:tc>
          <w:tcPr>
            <w:tcW w:w="20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160" w:type="dxa"/>
            <w:vAlign w:val="bottom"/>
          </w:tcPr>
          <w:p>
            <w:pPr>
              <w:spacing w:after="0"/>
              <w:rPr>
                <w:color w:val="auto"/>
                <w:sz w:val="2"/>
                <w:szCs w:val="2"/>
              </w:rPr>
            </w:pPr>
          </w:p>
        </w:tc>
        <w:tc>
          <w:tcPr>
            <w:tcW w:w="180" w:type="dxa"/>
            <w:vAlign w:val="bottom"/>
          </w:tcPr>
          <w:p>
            <w:pPr>
              <w:spacing w:after="0"/>
              <w:rPr>
                <w:color w:val="auto"/>
                <w:sz w:val="2"/>
                <w:szCs w:val="2"/>
              </w:rPr>
            </w:pPr>
          </w:p>
        </w:tc>
        <w:tc>
          <w:tcPr>
            <w:tcW w:w="320" w:type="dxa"/>
            <w:vAlign w:val="bottom"/>
          </w:tcPr>
          <w:p>
            <w:pPr>
              <w:spacing w:after="0"/>
              <w:rPr>
                <w:color w:val="auto"/>
                <w:sz w:val="2"/>
                <w:szCs w:val="2"/>
              </w:rPr>
            </w:pPr>
          </w:p>
        </w:tc>
        <w:tc>
          <w:tcPr>
            <w:tcW w:w="80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40"/>
        </w:trPr>
        <w:tc>
          <w:tcPr>
            <w:tcW w:w="2140" w:type="dxa"/>
            <w:tcBorders>
              <w:bottom w:val="single" w:sz="8" w:space="0" w:color="CCEEFF"/>
            </w:tcBorders>
            <w:shd w:val="clear" w:color="auto" w:fill="CCEEFF"/>
            <w:vAlign w:val="bottom"/>
          </w:tcPr>
          <w:p>
            <w:pPr>
              <w:spacing w:after="0" w:line="112" w:lineRule="exact"/>
              <w:ind w:left="20"/>
              <w:rPr>
                <w:color w:val="auto"/>
                <w:sz w:val="20"/>
                <w:szCs w:val="20"/>
              </w:rPr>
            </w:pPr>
            <w:r>
              <w:rPr>
                <w:rFonts w:ascii="Calibri" w:eastAsia="Calibri" w:hAnsi="Calibri" w:cs="Calibri"/>
                <w:color w:val="auto"/>
                <w:sz w:val="10"/>
                <w:szCs w:val="10"/>
              </w:rPr>
              <w:t>Change in noncontrolling interest</w:t>
            </w:r>
          </w:p>
        </w:tc>
        <w:tc>
          <w:tcPr>
            <w:tcW w:w="13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1"/>
                <w:szCs w:val="11"/>
              </w:rPr>
            </w:pPr>
          </w:p>
        </w:tc>
        <w:tc>
          <w:tcPr>
            <w:tcW w:w="76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40" w:type="dxa"/>
            <w:tcBorders>
              <w:bottom w:val="single" w:sz="8" w:space="0" w:color="CCEEFF"/>
            </w:tcBorders>
            <w:shd w:val="clear" w:color="auto" w:fill="CCEEFF"/>
            <w:vAlign w:val="bottom"/>
          </w:tcPr>
          <w:p>
            <w:pPr>
              <w:spacing w:after="0"/>
              <w:rPr>
                <w:color w:val="auto"/>
                <w:sz w:val="11"/>
                <w:szCs w:val="11"/>
              </w:rPr>
            </w:pPr>
          </w:p>
        </w:tc>
        <w:tc>
          <w:tcPr>
            <w:tcW w:w="74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20" w:type="dxa"/>
            <w:tcBorders>
              <w:bottom w:val="single" w:sz="8" w:space="0" w:color="CCEEFF"/>
            </w:tcBorders>
            <w:shd w:val="clear" w:color="auto" w:fill="CCEEFF"/>
            <w:vAlign w:val="bottom"/>
          </w:tcPr>
          <w:p>
            <w:pPr>
              <w:spacing w:after="0"/>
              <w:rPr>
                <w:color w:val="auto"/>
                <w:sz w:val="11"/>
                <w:szCs w:val="11"/>
              </w:rPr>
            </w:pPr>
          </w:p>
        </w:tc>
        <w:tc>
          <w:tcPr>
            <w:tcW w:w="8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c>
          <w:tcPr>
            <w:tcW w:w="180" w:type="dxa"/>
            <w:tcBorders>
              <w:bottom w:val="single" w:sz="8" w:space="0" w:color="CCEEFF"/>
            </w:tcBorders>
            <w:shd w:val="clear" w:color="auto" w:fill="CCEEFF"/>
            <w:vAlign w:val="bottom"/>
          </w:tcPr>
          <w:p>
            <w:pPr>
              <w:spacing w:after="0"/>
              <w:rPr>
                <w:color w:val="auto"/>
                <w:sz w:val="11"/>
                <w:szCs w:val="11"/>
              </w:rPr>
            </w:pPr>
          </w:p>
        </w:tc>
        <w:tc>
          <w:tcPr>
            <w:tcW w:w="110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200" w:type="dxa"/>
            <w:tcBorders>
              <w:bottom w:val="single" w:sz="8" w:space="0" w:color="CCEEFF"/>
            </w:tcBorders>
            <w:shd w:val="clear" w:color="auto" w:fill="CCEEFF"/>
            <w:vAlign w:val="bottom"/>
          </w:tcPr>
          <w:p>
            <w:pPr>
              <w:spacing w:after="0"/>
              <w:rPr>
                <w:color w:val="auto"/>
                <w:sz w:val="11"/>
                <w:szCs w:val="11"/>
              </w:rPr>
            </w:pPr>
          </w:p>
        </w:tc>
        <w:tc>
          <w:tcPr>
            <w:tcW w:w="116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160" w:type="dxa"/>
            <w:tcBorders>
              <w:bottom w:val="single" w:sz="8" w:space="0" w:color="CCEEFF"/>
            </w:tcBorders>
            <w:shd w:val="clear" w:color="auto" w:fill="CCEEFF"/>
            <w:vAlign w:val="bottom"/>
          </w:tcPr>
          <w:p>
            <w:pPr>
              <w:spacing w:after="0"/>
              <w:rPr>
                <w:color w:val="auto"/>
                <w:sz w:val="11"/>
                <w:szCs w:val="11"/>
              </w:rPr>
            </w:pPr>
          </w:p>
        </w:tc>
        <w:tc>
          <w:tcPr>
            <w:tcW w:w="18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2</w:t>
            </w:r>
          </w:p>
        </w:tc>
        <w:tc>
          <w:tcPr>
            <w:tcW w:w="320" w:type="dxa"/>
            <w:tcBorders>
              <w:bottom w:val="single" w:sz="8" w:space="0" w:color="CCEEFF"/>
            </w:tcBorders>
            <w:shd w:val="clear" w:color="auto" w:fill="CCEEFF"/>
            <w:vAlign w:val="bottom"/>
          </w:tcPr>
          <w:p>
            <w:pPr>
              <w:spacing w:after="0"/>
              <w:rPr>
                <w:color w:val="auto"/>
                <w:sz w:val="11"/>
                <w:szCs w:val="11"/>
              </w:rPr>
            </w:pPr>
          </w:p>
        </w:tc>
        <w:tc>
          <w:tcPr>
            <w:tcW w:w="8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w:t>
            </w:r>
          </w:p>
        </w:tc>
        <w:tc>
          <w:tcPr>
            <w:tcW w:w="1" w:type="dxa"/>
            <w:vAlign w:val="bottom"/>
          </w:tcPr>
          <w:p>
            <w:pPr>
              <w:spacing w:after="0"/>
              <w:rPr>
                <w:color w:val="auto"/>
                <w:sz w:val="1"/>
                <w:szCs w:val="1"/>
              </w:rPr>
            </w:pPr>
          </w:p>
        </w:tc>
      </w:tr>
      <w:tr>
        <w:tblPrEx>
          <w:tblInd w:w="0" w:type="dxa"/>
          <w:tblLayout w:type="fixed"/>
        </w:tblPrEx>
        <w:trPr>
          <w:trHeight w:val="101"/>
        </w:trPr>
        <w:tc>
          <w:tcPr>
            <w:tcW w:w="2140" w:type="dxa"/>
            <w:tcBorders>
              <w:top w:val="single" w:sz="8" w:space="0" w:color="auto"/>
            </w:tcBorders>
            <w:vAlign w:val="bottom"/>
          </w:tcPr>
          <w:p>
            <w:pPr>
              <w:spacing w:after="0" w:line="101" w:lineRule="exact"/>
              <w:ind w:left="20"/>
              <w:rPr>
                <w:color w:val="auto"/>
                <w:sz w:val="20"/>
                <w:szCs w:val="20"/>
              </w:rPr>
            </w:pPr>
            <w:r>
              <w:rPr>
                <w:rFonts w:ascii="Calibri" w:eastAsia="Calibri" w:hAnsi="Calibri" w:cs="Calibri"/>
                <w:b/>
                <w:bCs/>
                <w:color w:val="auto"/>
                <w:sz w:val="10"/>
                <w:szCs w:val="10"/>
              </w:rPr>
              <w:t>Balance at December 31, 2024</w:t>
            </w:r>
          </w:p>
        </w:tc>
        <w:tc>
          <w:tcPr>
            <w:tcW w:w="132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1,765</w:t>
            </w:r>
          </w:p>
        </w:tc>
        <w:tc>
          <w:tcPr>
            <w:tcW w:w="12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w:t>
            </w:r>
          </w:p>
        </w:tc>
        <w:tc>
          <w:tcPr>
            <w:tcW w:w="76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18</w:t>
            </w:r>
          </w:p>
        </w:tc>
        <w:tc>
          <w:tcPr>
            <w:tcW w:w="14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w:t>
            </w:r>
          </w:p>
        </w:tc>
        <w:tc>
          <w:tcPr>
            <w:tcW w:w="74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(8,201)</w:t>
            </w:r>
          </w:p>
        </w:tc>
        <w:tc>
          <w:tcPr>
            <w:tcW w:w="12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w:t>
            </w:r>
          </w:p>
        </w:tc>
        <w:tc>
          <w:tcPr>
            <w:tcW w:w="84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21,333</w:t>
            </w:r>
          </w:p>
        </w:tc>
        <w:tc>
          <w:tcPr>
            <w:tcW w:w="1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w:t>
            </w:r>
          </w:p>
        </w:tc>
        <w:tc>
          <w:tcPr>
            <w:tcW w:w="110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(7,900)</w:t>
            </w:r>
          </w:p>
        </w:tc>
        <w:tc>
          <w:tcPr>
            <w:tcW w:w="200" w:type="dxa"/>
            <w:tcBorders>
              <w:top w:val="single" w:sz="8" w:space="0" w:color="auto"/>
            </w:tcBorders>
            <w:vAlign w:val="bottom"/>
          </w:tcPr>
          <w:p>
            <w:pPr>
              <w:spacing w:after="0" w:line="101" w:lineRule="exact"/>
              <w:ind w:right="52"/>
              <w:jc w:val="right"/>
              <w:rPr>
                <w:color w:val="auto"/>
                <w:sz w:val="20"/>
                <w:szCs w:val="20"/>
              </w:rPr>
            </w:pPr>
            <w:r>
              <w:rPr>
                <w:rFonts w:ascii="Calibri" w:eastAsia="Calibri" w:hAnsi="Calibri" w:cs="Calibri"/>
                <w:color w:val="auto"/>
                <w:sz w:val="10"/>
                <w:szCs w:val="10"/>
              </w:rPr>
              <w:t>$</w:t>
            </w:r>
          </w:p>
        </w:tc>
        <w:tc>
          <w:tcPr>
            <w:tcW w:w="116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(1,925)</w:t>
            </w:r>
          </w:p>
        </w:tc>
        <w:tc>
          <w:tcPr>
            <w:tcW w:w="1160" w:type="dxa"/>
            <w:tcBorders>
              <w:top w:val="single" w:sz="8" w:space="0" w:color="auto"/>
            </w:tcBorders>
            <w:vAlign w:val="bottom"/>
          </w:tcPr>
          <w:p>
            <w:pPr>
              <w:spacing w:after="0" w:line="101" w:lineRule="exact"/>
              <w:ind w:right="992"/>
              <w:jc w:val="right"/>
              <w:rPr>
                <w:color w:val="auto"/>
                <w:sz w:val="20"/>
                <w:szCs w:val="20"/>
              </w:rPr>
            </w:pPr>
            <w:r>
              <w:rPr>
                <w:rFonts w:ascii="Calibri" w:eastAsia="Calibri" w:hAnsi="Calibri" w:cs="Calibri"/>
                <w:color w:val="auto"/>
                <w:sz w:val="10"/>
                <w:szCs w:val="10"/>
              </w:rPr>
              <w:t>$</w:t>
            </w:r>
          </w:p>
        </w:tc>
        <w:tc>
          <w:tcPr>
            <w:tcW w:w="18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w w:val="98"/>
                <w:sz w:val="10"/>
                <w:szCs w:val="10"/>
              </w:rPr>
              <w:t>39</w:t>
            </w:r>
          </w:p>
        </w:tc>
        <w:tc>
          <w:tcPr>
            <w:tcW w:w="320" w:type="dxa"/>
            <w:tcBorders>
              <w:top w:val="single" w:sz="8" w:space="0" w:color="auto"/>
            </w:tcBorders>
            <w:vAlign w:val="bottom"/>
          </w:tcPr>
          <w:p>
            <w:pPr>
              <w:spacing w:after="0" w:line="101" w:lineRule="exact"/>
              <w:ind w:right="152"/>
              <w:jc w:val="right"/>
              <w:rPr>
                <w:color w:val="auto"/>
                <w:sz w:val="20"/>
                <w:szCs w:val="20"/>
              </w:rPr>
            </w:pPr>
            <w:r>
              <w:rPr>
                <w:rFonts w:ascii="Calibri" w:eastAsia="Calibri" w:hAnsi="Calibri" w:cs="Calibri"/>
                <w:color w:val="auto"/>
                <w:sz w:val="10"/>
                <w:szCs w:val="10"/>
              </w:rPr>
              <w:t>$</w:t>
            </w:r>
          </w:p>
        </w:tc>
        <w:tc>
          <w:tcPr>
            <w:tcW w:w="80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3,364</w:t>
            </w:r>
          </w:p>
        </w:tc>
        <w:tc>
          <w:tcPr>
            <w:tcW w:w="1" w:type="dxa"/>
            <w:vAlign w:val="bottom"/>
          </w:tcPr>
          <w:p>
            <w:pPr>
              <w:spacing w:after="0"/>
              <w:rPr>
                <w:color w:val="auto"/>
                <w:sz w:val="1"/>
                <w:szCs w:val="1"/>
              </w:rPr>
            </w:pPr>
          </w:p>
        </w:tc>
      </w:tr>
      <w:tr>
        <w:tblPrEx>
          <w:tblInd w:w="0" w:type="dxa"/>
          <w:tblLayout w:type="fixed"/>
        </w:tblPrEx>
        <w:trPr>
          <w:trHeight w:val="23"/>
        </w:trPr>
        <w:tc>
          <w:tcPr>
            <w:tcW w:w="214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20" w:type="dxa"/>
            <w:tcBorders>
              <w:bottom w:val="single" w:sz="8" w:space="0" w:color="auto"/>
            </w:tcBorders>
            <w:vAlign w:val="bottom"/>
          </w:tcPr>
          <w:p>
            <w:pPr>
              <w:spacing w:after="0"/>
              <w:rPr>
                <w:color w:val="auto"/>
                <w:sz w:val="2"/>
                <w:szCs w:val="2"/>
              </w:rPr>
            </w:pPr>
          </w:p>
        </w:tc>
        <w:tc>
          <w:tcPr>
            <w:tcW w:w="76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740" w:type="dxa"/>
            <w:tcBorders>
              <w:bottom w:val="single" w:sz="8" w:space="0" w:color="auto"/>
            </w:tcBorders>
            <w:vAlign w:val="bottom"/>
          </w:tcPr>
          <w:p>
            <w:pPr>
              <w:spacing w:after="0"/>
              <w:rPr>
                <w:color w:val="auto"/>
                <w:sz w:val="2"/>
                <w:szCs w:val="2"/>
              </w:rPr>
            </w:pPr>
          </w:p>
        </w:tc>
        <w:tc>
          <w:tcPr>
            <w:tcW w:w="12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20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20"/>
        </w:trPr>
        <w:tc>
          <w:tcPr>
            <w:tcW w:w="2140" w:type="dxa"/>
            <w:tcBorders>
              <w:bottom w:val="single" w:sz="8" w:space="0" w:color="auto"/>
            </w:tcBorders>
            <w:vAlign w:val="bottom"/>
          </w:tcPr>
          <w:p>
            <w:pPr>
              <w:spacing w:after="0" w:line="20" w:lineRule="exact"/>
              <w:rPr>
                <w:color w:val="auto"/>
                <w:sz w:val="1"/>
                <w:szCs w:val="1"/>
              </w:rPr>
            </w:pPr>
          </w:p>
        </w:tc>
        <w:tc>
          <w:tcPr>
            <w:tcW w:w="1320" w:type="dxa"/>
            <w:tcBorders>
              <w:bottom w:val="single" w:sz="8" w:space="0" w:color="auto"/>
            </w:tcBorders>
            <w:vAlign w:val="bottom"/>
          </w:tcPr>
          <w:p>
            <w:pPr>
              <w:spacing w:after="0" w:line="20" w:lineRule="exact"/>
              <w:rPr>
                <w:color w:val="auto"/>
                <w:sz w:val="1"/>
                <w:szCs w:val="1"/>
              </w:rPr>
            </w:pPr>
          </w:p>
        </w:tc>
        <w:tc>
          <w:tcPr>
            <w:tcW w:w="120" w:type="dxa"/>
            <w:tcBorders>
              <w:bottom w:val="single" w:sz="8" w:space="0" w:color="auto"/>
            </w:tcBorders>
            <w:vAlign w:val="bottom"/>
          </w:tcPr>
          <w:p>
            <w:pPr>
              <w:spacing w:after="0" w:line="20" w:lineRule="exact"/>
              <w:rPr>
                <w:color w:val="auto"/>
                <w:sz w:val="1"/>
                <w:szCs w:val="1"/>
              </w:rPr>
            </w:pPr>
          </w:p>
        </w:tc>
        <w:tc>
          <w:tcPr>
            <w:tcW w:w="760" w:type="dxa"/>
            <w:tcBorders>
              <w:bottom w:val="single" w:sz="8" w:space="0" w:color="auto"/>
            </w:tcBorders>
            <w:vAlign w:val="bottom"/>
          </w:tcPr>
          <w:p>
            <w:pPr>
              <w:spacing w:after="0" w:line="20" w:lineRule="exact"/>
              <w:rPr>
                <w:color w:val="auto"/>
                <w:sz w:val="1"/>
                <w:szCs w:val="1"/>
              </w:rPr>
            </w:pPr>
          </w:p>
        </w:tc>
        <w:tc>
          <w:tcPr>
            <w:tcW w:w="140" w:type="dxa"/>
            <w:tcBorders>
              <w:bottom w:val="single" w:sz="8" w:space="0" w:color="auto"/>
            </w:tcBorders>
            <w:vAlign w:val="bottom"/>
          </w:tcPr>
          <w:p>
            <w:pPr>
              <w:spacing w:after="0" w:line="20" w:lineRule="exact"/>
              <w:rPr>
                <w:color w:val="auto"/>
                <w:sz w:val="1"/>
                <w:szCs w:val="1"/>
              </w:rPr>
            </w:pPr>
          </w:p>
        </w:tc>
        <w:tc>
          <w:tcPr>
            <w:tcW w:w="740" w:type="dxa"/>
            <w:tcBorders>
              <w:bottom w:val="single" w:sz="8" w:space="0" w:color="auto"/>
            </w:tcBorders>
            <w:vAlign w:val="bottom"/>
          </w:tcPr>
          <w:p>
            <w:pPr>
              <w:spacing w:after="0" w:line="20" w:lineRule="exact"/>
              <w:rPr>
                <w:color w:val="auto"/>
                <w:sz w:val="1"/>
                <w:szCs w:val="1"/>
              </w:rPr>
            </w:pPr>
          </w:p>
        </w:tc>
        <w:tc>
          <w:tcPr>
            <w:tcW w:w="120" w:type="dxa"/>
            <w:tcBorders>
              <w:bottom w:val="single" w:sz="8" w:space="0" w:color="auto"/>
            </w:tcBorders>
            <w:vAlign w:val="bottom"/>
          </w:tcPr>
          <w:p>
            <w:pPr>
              <w:spacing w:after="0" w:line="20" w:lineRule="exact"/>
              <w:rPr>
                <w:color w:val="auto"/>
                <w:sz w:val="1"/>
                <w:szCs w:val="1"/>
              </w:rPr>
            </w:pPr>
          </w:p>
        </w:tc>
        <w:tc>
          <w:tcPr>
            <w:tcW w:w="840" w:type="dxa"/>
            <w:tcBorders>
              <w:bottom w:val="single" w:sz="8" w:space="0" w:color="auto"/>
            </w:tcBorders>
            <w:vAlign w:val="bottom"/>
          </w:tcPr>
          <w:p>
            <w:pPr>
              <w:spacing w:after="0" w:line="20" w:lineRule="exact"/>
              <w:rPr>
                <w:color w:val="auto"/>
                <w:sz w:val="1"/>
                <w:szCs w:val="1"/>
              </w:rPr>
            </w:pPr>
          </w:p>
        </w:tc>
        <w:tc>
          <w:tcPr>
            <w:tcW w:w="180" w:type="dxa"/>
            <w:tcBorders>
              <w:bottom w:val="single" w:sz="8" w:space="0" w:color="auto"/>
            </w:tcBorders>
            <w:vAlign w:val="bottom"/>
          </w:tcPr>
          <w:p>
            <w:pPr>
              <w:spacing w:after="0" w:line="20" w:lineRule="exact"/>
              <w:rPr>
                <w:color w:val="auto"/>
                <w:sz w:val="1"/>
                <w:szCs w:val="1"/>
              </w:rPr>
            </w:pPr>
          </w:p>
        </w:tc>
        <w:tc>
          <w:tcPr>
            <w:tcW w:w="1100" w:type="dxa"/>
            <w:tcBorders>
              <w:bottom w:val="single" w:sz="8" w:space="0" w:color="auto"/>
            </w:tcBorders>
            <w:vAlign w:val="bottom"/>
          </w:tcPr>
          <w:p>
            <w:pPr>
              <w:spacing w:after="0" w:line="20" w:lineRule="exact"/>
              <w:rPr>
                <w:color w:val="auto"/>
                <w:sz w:val="1"/>
                <w:szCs w:val="1"/>
              </w:rPr>
            </w:pPr>
          </w:p>
        </w:tc>
        <w:tc>
          <w:tcPr>
            <w:tcW w:w="200" w:type="dxa"/>
            <w:tcBorders>
              <w:bottom w:val="single" w:sz="8" w:space="0" w:color="auto"/>
            </w:tcBorders>
            <w:vAlign w:val="bottom"/>
          </w:tcPr>
          <w:p>
            <w:pPr>
              <w:spacing w:after="0" w:line="20" w:lineRule="exact"/>
              <w:rPr>
                <w:color w:val="auto"/>
                <w:sz w:val="1"/>
                <w:szCs w:val="1"/>
              </w:rPr>
            </w:pPr>
          </w:p>
        </w:tc>
        <w:tc>
          <w:tcPr>
            <w:tcW w:w="1160" w:type="dxa"/>
            <w:tcBorders>
              <w:bottom w:val="single" w:sz="8" w:space="0" w:color="auto"/>
            </w:tcBorders>
            <w:vAlign w:val="bottom"/>
          </w:tcPr>
          <w:p>
            <w:pPr>
              <w:spacing w:after="0" w:line="20" w:lineRule="exact"/>
              <w:rPr>
                <w:color w:val="auto"/>
                <w:sz w:val="1"/>
                <w:szCs w:val="1"/>
              </w:rPr>
            </w:pPr>
          </w:p>
        </w:tc>
        <w:tc>
          <w:tcPr>
            <w:tcW w:w="1160" w:type="dxa"/>
            <w:tcBorders>
              <w:bottom w:val="single" w:sz="8" w:space="0" w:color="auto"/>
            </w:tcBorders>
            <w:vAlign w:val="bottom"/>
          </w:tcPr>
          <w:p>
            <w:pPr>
              <w:spacing w:after="0" w:line="20" w:lineRule="exact"/>
              <w:rPr>
                <w:color w:val="auto"/>
                <w:sz w:val="1"/>
                <w:szCs w:val="1"/>
              </w:rPr>
            </w:pPr>
          </w:p>
        </w:tc>
        <w:tc>
          <w:tcPr>
            <w:tcW w:w="180" w:type="dxa"/>
            <w:tcBorders>
              <w:bottom w:val="single" w:sz="8" w:space="0" w:color="auto"/>
            </w:tcBorders>
            <w:vAlign w:val="bottom"/>
          </w:tcPr>
          <w:p>
            <w:pPr>
              <w:spacing w:after="0" w:line="20" w:lineRule="exact"/>
              <w:rPr>
                <w:color w:val="auto"/>
                <w:sz w:val="1"/>
                <w:szCs w:val="1"/>
              </w:rPr>
            </w:pPr>
          </w:p>
        </w:tc>
        <w:tc>
          <w:tcPr>
            <w:tcW w:w="320" w:type="dxa"/>
            <w:tcBorders>
              <w:bottom w:val="single" w:sz="8" w:space="0" w:color="auto"/>
            </w:tcBorders>
            <w:vAlign w:val="bottom"/>
          </w:tcPr>
          <w:p>
            <w:pPr>
              <w:spacing w:after="0" w:line="20" w:lineRule="exact"/>
              <w:rPr>
                <w:color w:val="auto"/>
                <w:sz w:val="1"/>
                <w:szCs w:val="1"/>
              </w:rPr>
            </w:pPr>
          </w:p>
        </w:tc>
        <w:tc>
          <w:tcPr>
            <w:tcW w:w="800" w:type="dxa"/>
            <w:tcBorders>
              <w:bottom w:val="single" w:sz="8" w:space="0" w:color="auto"/>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bl>
    <w:p>
      <w:pPr>
        <w:spacing w:after="0" w:line="197" w:lineRule="exact"/>
        <w:rPr>
          <w:color w:val="auto"/>
          <w:sz w:val="20"/>
          <w:szCs w:val="20"/>
        </w:rPr>
      </w:pPr>
    </w:p>
    <w:p>
      <w:pPr>
        <w:spacing w:after="0"/>
        <w:jc w:val="center"/>
        <w:rPr>
          <w:color w:val="auto"/>
          <w:sz w:val="20"/>
          <w:szCs w:val="20"/>
        </w:rPr>
      </w:pPr>
      <w:r>
        <w:rPr>
          <w:rFonts w:ascii="Calibri" w:eastAsia="Calibri" w:hAnsi="Calibri" w:cs="Calibri"/>
          <w:color w:val="auto"/>
          <w:sz w:val="10"/>
          <w:szCs w:val="10"/>
        </w:rPr>
        <w:t>The accompanying notes are an integral part of these consolidated fnancial statements.</w:t>
      </w:r>
    </w:p>
    <w:p>
      <w:pPr>
        <w:spacing w:after="0" w:line="20" w:lineRule="exact"/>
        <w:rPr>
          <w:color w:val="auto"/>
          <w:sz w:val="20"/>
          <w:szCs w:val="20"/>
        </w:rPr>
      </w:pPr>
      <w:r>
        <w:rPr>
          <w:color w:val="auto"/>
          <w:sz w:val="20"/>
          <w:szCs w:val="20"/>
        </w:rPr>
        <w:drawing>
          <wp:anchor simplePos="0" relativeHeight="251796480" behindDoc="1" locked="0" layoutInCell="0" allowOverlap="1">
            <wp:simplePos x="0" y="0"/>
            <wp:positionH relativeFrom="column">
              <wp:posOffset>6475730</wp:posOffset>
            </wp:positionH>
            <wp:positionV relativeFrom="paragraph">
              <wp:posOffset>191770</wp:posOffset>
            </wp:positionV>
            <wp:extent cx="400050" cy="74295"/>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7"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54</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797504" behindDoc="1" locked="0" layoutInCell="0" allowOverlap="1">
            <wp:simplePos x="0" y="0"/>
            <wp:positionH relativeFrom="column">
              <wp:posOffset>7154545</wp:posOffset>
            </wp:positionH>
            <wp:positionV relativeFrom="paragraph">
              <wp:posOffset>-23495</wp:posOffset>
            </wp:positionV>
            <wp:extent cx="31115" cy="3683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798528" behindDoc="1" locked="0" layoutInCell="0" allowOverlap="1">
            <wp:simplePos x="0" y="0"/>
            <wp:positionH relativeFrom="column">
              <wp:posOffset>-17145</wp:posOffset>
            </wp:positionH>
            <wp:positionV relativeFrom="paragraph">
              <wp:posOffset>-23495</wp:posOffset>
            </wp:positionV>
            <wp:extent cx="31115" cy="3683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1" w:right="299" w:bottom="1440" w:left="300" w:header="0" w:footer="0" w:gutter="0"/>
          <w:cols w:num="1" w:space="720" w:equalWidth="0">
            <w:col w:w="11300" w:space="0"/>
          </w:cols>
        </w:sectPr>
      </w:pPr>
    </w:p>
    <w:bookmarkStart w:id="56" w:name="page57"/>
    <w:bookmarkEnd w:id="56"/>
    <w:p>
      <w:pPr>
        <w:spacing w:after="0"/>
        <w:rPr>
          <w:color w:val="auto"/>
          <w:sz w:val="20"/>
          <w:szCs w:val="20"/>
        </w:rPr>
      </w:pPr>
      <w:r>
        <w:rPr>
          <w:rFonts w:ascii="Calibri" w:eastAsia="Calibri" w:hAnsi="Calibri" w:cs="Calibri"/>
          <w:b/>
          <w:bCs/>
          <w:color w:val="444867"/>
          <w:sz w:val="14"/>
          <w:szCs w:val="14"/>
        </w:rPr>
        <w:t>AbbVie Inc. and Subsidiaries</w:t>
      </w:r>
    </w:p>
    <w:p>
      <w:pPr>
        <w:spacing w:after="0"/>
        <w:rPr>
          <w:color w:val="auto"/>
          <w:sz w:val="20"/>
          <w:szCs w:val="20"/>
        </w:rPr>
      </w:pPr>
      <w:r>
        <w:rPr>
          <w:rFonts w:ascii="Calibri" w:eastAsia="Calibri" w:hAnsi="Calibri" w:cs="Calibri"/>
          <w:b/>
          <w:bCs/>
          <w:color w:val="444867"/>
          <w:sz w:val="14"/>
          <w:szCs w:val="14"/>
        </w:rPr>
        <w:t>Consolidated Statements of Cash Flows</w:t>
      </w:r>
    </w:p>
    <w:p>
      <w:pPr>
        <w:spacing w:after="0" w:line="19" w:lineRule="exact"/>
        <w:rPr>
          <w:color w:val="auto"/>
          <w:sz w:val="20"/>
          <w:szCs w:val="20"/>
        </w:rPr>
      </w:pPr>
    </w:p>
    <w:tbl>
      <w:tblPr>
        <w:tblInd w:w="0" w:type="dxa"/>
        <w:tblLayout w:type="fixed"/>
        <w:tblCellMar>
          <w:top w:w="0" w:type="dxa"/>
          <w:left w:w="0" w:type="dxa"/>
          <w:bottom w:w="0" w:type="dxa"/>
          <w:right w:w="0" w:type="dxa"/>
        </w:tblCellMar>
      </w:tblPr>
      <w:tblGrid>
        <w:gridCol w:w="4860"/>
        <w:gridCol w:w="2880"/>
        <w:gridCol w:w="520"/>
        <w:gridCol w:w="1000"/>
        <w:gridCol w:w="540"/>
        <w:gridCol w:w="380"/>
        <w:gridCol w:w="1100"/>
      </w:tblGrid>
      <w:tr>
        <w:tblPrEx>
          <w:tblInd w:w="0" w:type="dxa"/>
          <w:tblLayout w:type="fixed"/>
        </w:tblPrEx>
        <w:trPr>
          <w:trHeight w:val="122"/>
        </w:trPr>
        <w:tc>
          <w:tcPr>
            <w:tcW w:w="4860" w:type="dxa"/>
            <w:vAlign w:val="bottom"/>
          </w:tcPr>
          <w:p>
            <w:pPr>
              <w:spacing w:after="0"/>
              <w:rPr>
                <w:color w:val="auto"/>
                <w:sz w:val="20"/>
                <w:szCs w:val="20"/>
              </w:rPr>
            </w:pPr>
            <w:r>
              <w:rPr>
                <w:rFonts w:ascii="Calibri" w:eastAsia="Calibri" w:hAnsi="Calibri" w:cs="Calibri"/>
                <w:b/>
                <w:bCs/>
                <w:color w:val="auto"/>
                <w:sz w:val="10"/>
                <w:szCs w:val="10"/>
              </w:rPr>
              <w:t>years ended December 31 (in millions) (brackets denote cash outlows)</w:t>
            </w:r>
          </w:p>
        </w:tc>
        <w:tc>
          <w:tcPr>
            <w:tcW w:w="2880" w:type="dxa"/>
            <w:vAlign w:val="bottom"/>
          </w:tcPr>
          <w:p>
            <w:pPr>
              <w:spacing w:after="0"/>
              <w:ind w:right="92"/>
              <w:jc w:val="right"/>
              <w:rPr>
                <w:color w:val="auto"/>
                <w:sz w:val="20"/>
                <w:szCs w:val="20"/>
              </w:rPr>
            </w:pPr>
            <w:r>
              <w:rPr>
                <w:rFonts w:ascii="Calibri" w:eastAsia="Calibri" w:hAnsi="Calibri" w:cs="Calibri"/>
                <w:b/>
                <w:bCs/>
                <w:color w:val="auto"/>
                <w:sz w:val="10"/>
                <w:szCs w:val="10"/>
              </w:rPr>
              <w:t>2024</w:t>
            </w:r>
          </w:p>
        </w:tc>
        <w:tc>
          <w:tcPr>
            <w:tcW w:w="520" w:type="dxa"/>
            <w:vAlign w:val="bottom"/>
          </w:tcPr>
          <w:p>
            <w:pPr>
              <w:spacing w:after="0"/>
              <w:rPr>
                <w:color w:val="auto"/>
                <w:sz w:val="10"/>
                <w:szCs w:val="10"/>
              </w:rPr>
            </w:pPr>
          </w:p>
        </w:tc>
        <w:tc>
          <w:tcPr>
            <w:tcW w:w="1000" w:type="dxa"/>
            <w:vAlign w:val="bottom"/>
          </w:tcPr>
          <w:p>
            <w:pPr>
              <w:spacing w:after="0"/>
              <w:ind w:right="92"/>
              <w:jc w:val="right"/>
              <w:rPr>
                <w:color w:val="auto"/>
                <w:sz w:val="20"/>
                <w:szCs w:val="20"/>
              </w:rPr>
            </w:pPr>
            <w:r>
              <w:rPr>
                <w:rFonts w:ascii="Calibri" w:eastAsia="Calibri" w:hAnsi="Calibri" w:cs="Calibri"/>
                <w:b/>
                <w:bCs/>
                <w:color w:val="auto"/>
                <w:sz w:val="10"/>
                <w:szCs w:val="10"/>
              </w:rPr>
              <w:t>2023</w:t>
            </w:r>
          </w:p>
        </w:tc>
        <w:tc>
          <w:tcPr>
            <w:tcW w:w="540" w:type="dxa"/>
            <w:vAlign w:val="bottom"/>
          </w:tcPr>
          <w:p>
            <w:pPr>
              <w:spacing w:after="0"/>
              <w:rPr>
                <w:color w:val="auto"/>
                <w:sz w:val="10"/>
                <w:szCs w:val="10"/>
              </w:rPr>
            </w:pPr>
          </w:p>
        </w:tc>
        <w:tc>
          <w:tcPr>
            <w:tcW w:w="380" w:type="dxa"/>
            <w:vAlign w:val="bottom"/>
          </w:tcPr>
          <w:p>
            <w:pPr>
              <w:spacing w:after="0"/>
              <w:rPr>
                <w:color w:val="auto"/>
                <w:sz w:val="10"/>
                <w:szCs w:val="10"/>
              </w:rPr>
            </w:pPr>
          </w:p>
        </w:tc>
        <w:tc>
          <w:tcPr>
            <w:tcW w:w="1100" w:type="dxa"/>
            <w:vAlign w:val="bottom"/>
          </w:tcPr>
          <w:p>
            <w:pPr>
              <w:spacing w:after="0"/>
              <w:ind w:right="572"/>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860" w:type="dxa"/>
            <w:tcBorders>
              <w:bottom w:val="single" w:sz="8" w:space="0" w:color="auto"/>
            </w:tcBorders>
            <w:vAlign w:val="bottom"/>
          </w:tcPr>
          <w:p>
            <w:pPr>
              <w:spacing w:after="0"/>
              <w:rPr>
                <w:color w:val="auto"/>
                <w:sz w:val="2"/>
                <w:szCs w:val="2"/>
              </w:rPr>
            </w:pPr>
          </w:p>
        </w:tc>
        <w:tc>
          <w:tcPr>
            <w:tcW w:w="2880" w:type="dxa"/>
            <w:tcBorders>
              <w:bottom w:val="single" w:sz="8" w:space="0" w:color="auto"/>
            </w:tcBorders>
            <w:vAlign w:val="bottom"/>
          </w:tcPr>
          <w:p>
            <w:pPr>
              <w:spacing w:after="0"/>
              <w:rPr>
                <w:color w:val="auto"/>
                <w:sz w:val="2"/>
                <w:szCs w:val="2"/>
              </w:rPr>
            </w:pPr>
          </w:p>
        </w:tc>
        <w:tc>
          <w:tcPr>
            <w:tcW w:w="52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54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01"/>
        </w:trPr>
        <w:tc>
          <w:tcPr>
            <w:tcW w:w="4860" w:type="dxa"/>
            <w:vAlign w:val="bottom"/>
          </w:tcPr>
          <w:p>
            <w:pPr>
              <w:spacing w:after="0" w:line="101" w:lineRule="exact"/>
              <w:rPr>
                <w:color w:val="auto"/>
                <w:sz w:val="20"/>
                <w:szCs w:val="20"/>
              </w:rPr>
            </w:pPr>
            <w:r>
              <w:rPr>
                <w:rFonts w:ascii="Calibri" w:eastAsia="Calibri" w:hAnsi="Calibri" w:cs="Calibri"/>
                <w:b/>
                <w:bCs/>
                <w:color w:val="auto"/>
                <w:sz w:val="10"/>
                <w:szCs w:val="10"/>
              </w:rPr>
              <w:t>Cash fows from operatng actvites</w:t>
            </w:r>
          </w:p>
        </w:tc>
        <w:tc>
          <w:tcPr>
            <w:tcW w:w="2880" w:type="dxa"/>
            <w:vAlign w:val="bottom"/>
          </w:tcPr>
          <w:p>
            <w:pPr>
              <w:spacing w:after="0"/>
              <w:rPr>
                <w:color w:val="auto"/>
                <w:sz w:val="8"/>
                <w:szCs w:val="8"/>
              </w:rPr>
            </w:pPr>
          </w:p>
        </w:tc>
        <w:tc>
          <w:tcPr>
            <w:tcW w:w="520" w:type="dxa"/>
            <w:vAlign w:val="bottom"/>
          </w:tcPr>
          <w:p>
            <w:pPr>
              <w:spacing w:after="0"/>
              <w:rPr>
                <w:color w:val="auto"/>
                <w:sz w:val="8"/>
                <w:szCs w:val="8"/>
              </w:rPr>
            </w:pPr>
          </w:p>
        </w:tc>
        <w:tc>
          <w:tcPr>
            <w:tcW w:w="1000" w:type="dxa"/>
            <w:vAlign w:val="bottom"/>
          </w:tcPr>
          <w:p>
            <w:pPr>
              <w:spacing w:after="0"/>
              <w:rPr>
                <w:color w:val="auto"/>
                <w:sz w:val="8"/>
                <w:szCs w:val="8"/>
              </w:rPr>
            </w:pPr>
          </w:p>
        </w:tc>
        <w:tc>
          <w:tcPr>
            <w:tcW w:w="540" w:type="dxa"/>
            <w:vAlign w:val="bottom"/>
          </w:tcPr>
          <w:p>
            <w:pPr>
              <w:spacing w:after="0"/>
              <w:rPr>
                <w:color w:val="auto"/>
                <w:sz w:val="8"/>
                <w:szCs w:val="8"/>
              </w:rPr>
            </w:pPr>
          </w:p>
        </w:tc>
        <w:tc>
          <w:tcPr>
            <w:tcW w:w="380" w:type="dxa"/>
            <w:vAlign w:val="bottom"/>
          </w:tcPr>
          <w:p>
            <w:pPr>
              <w:spacing w:after="0"/>
              <w:rPr>
                <w:color w:val="auto"/>
                <w:sz w:val="8"/>
                <w:szCs w:val="8"/>
              </w:rPr>
            </w:pPr>
          </w:p>
        </w:tc>
        <w:tc>
          <w:tcPr>
            <w:tcW w:w="1100" w:type="dxa"/>
            <w:vAlign w:val="bottom"/>
          </w:tcPr>
          <w:p>
            <w:pPr>
              <w:spacing w:after="0"/>
              <w:rPr>
                <w:color w:val="auto"/>
                <w:sz w:val="8"/>
                <w:szCs w:val="8"/>
              </w:rPr>
            </w:pP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Net earnings</w:t>
            </w:r>
          </w:p>
        </w:tc>
        <w:tc>
          <w:tcPr>
            <w:tcW w:w="2880" w:type="dxa"/>
            <w:tcBorders>
              <w:bottom w:val="single" w:sz="8" w:space="0" w:color="CCEEFF"/>
            </w:tcBorders>
            <w:shd w:val="clear" w:color="auto" w:fill="CCEEFF"/>
            <w:vAlign w:val="bottom"/>
          </w:tcPr>
          <w:p>
            <w:pPr>
              <w:spacing w:after="0" w:line="112" w:lineRule="exact"/>
              <w:ind w:right="832"/>
              <w:jc w:val="right"/>
              <w:rPr>
                <w:color w:val="auto"/>
                <w:sz w:val="20"/>
                <w:szCs w:val="20"/>
              </w:rPr>
            </w:pPr>
            <w:r>
              <w:rPr>
                <w:rFonts w:ascii="Calibri" w:eastAsia="Calibri" w:hAnsi="Calibri" w:cs="Calibri"/>
                <w:color w:val="auto"/>
                <w:sz w:val="10"/>
                <w:szCs w:val="10"/>
              </w:rPr>
              <w:t>$</w:t>
            </w: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4,286</w:t>
            </w:r>
          </w:p>
        </w:tc>
        <w:tc>
          <w:tcPr>
            <w:tcW w:w="1000" w:type="dxa"/>
            <w:tcBorders>
              <w:bottom w:val="single" w:sz="8" w:space="0" w:color="CCEEFF"/>
            </w:tcBorders>
            <w:shd w:val="clear" w:color="auto" w:fill="CCEEFF"/>
            <w:vAlign w:val="bottom"/>
          </w:tcPr>
          <w:p>
            <w:pPr>
              <w:spacing w:after="0" w:line="112" w:lineRule="exact"/>
              <w:ind w:right="832"/>
              <w:jc w:val="right"/>
              <w:rPr>
                <w:color w:val="auto"/>
                <w:sz w:val="20"/>
                <w:szCs w:val="20"/>
              </w:rPr>
            </w:pPr>
            <w:r>
              <w:rPr>
                <w:rFonts w:ascii="Calibri" w:eastAsia="Calibri" w:hAnsi="Calibri" w:cs="Calibri"/>
                <w:color w:val="auto"/>
                <w:sz w:val="10"/>
                <w:szCs w:val="10"/>
              </w:rPr>
              <w:t>$</w:t>
            </w: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4,873</w:t>
            </w:r>
          </w:p>
        </w:tc>
        <w:tc>
          <w:tcPr>
            <w:tcW w:w="380" w:type="dxa"/>
            <w:tcBorders>
              <w:bottom w:val="single" w:sz="8" w:space="0" w:color="CCEEFF"/>
            </w:tcBorders>
            <w:shd w:val="clear" w:color="auto" w:fill="CCEEFF"/>
            <w:vAlign w:val="bottom"/>
          </w:tcPr>
          <w:p>
            <w:pPr>
              <w:spacing w:after="0" w:line="112" w:lineRule="exact"/>
              <w:ind w:right="232"/>
              <w:jc w:val="right"/>
              <w:rPr>
                <w:color w:val="auto"/>
                <w:sz w:val="20"/>
                <w:szCs w:val="20"/>
              </w:rPr>
            </w:pPr>
            <w:r>
              <w:rPr>
                <w:rFonts w:ascii="Calibri" w:eastAsia="Calibri" w:hAnsi="Calibri" w:cs="Calibri"/>
                <w:color w:val="auto"/>
                <w:sz w:val="10"/>
                <w:szCs w:val="10"/>
              </w:rPr>
              <w:t>$</w:t>
            </w: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11,845</w:t>
            </w: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Adjustments to reconcile net earnings to net cash from operatng actvites:</w:t>
            </w:r>
          </w:p>
        </w:tc>
        <w:tc>
          <w:tcPr>
            <w:tcW w:w="2880" w:type="dxa"/>
            <w:vAlign w:val="bottom"/>
          </w:tcPr>
          <w:p>
            <w:pPr>
              <w:spacing w:after="0"/>
              <w:rPr>
                <w:color w:val="auto"/>
                <w:sz w:val="9"/>
                <w:szCs w:val="9"/>
              </w:rPr>
            </w:pPr>
          </w:p>
        </w:tc>
        <w:tc>
          <w:tcPr>
            <w:tcW w:w="520" w:type="dxa"/>
            <w:vAlign w:val="bottom"/>
          </w:tcPr>
          <w:p>
            <w:pPr>
              <w:spacing w:after="0"/>
              <w:rPr>
                <w:color w:val="auto"/>
                <w:sz w:val="9"/>
                <w:szCs w:val="9"/>
              </w:rPr>
            </w:pPr>
          </w:p>
        </w:tc>
        <w:tc>
          <w:tcPr>
            <w:tcW w:w="1000" w:type="dxa"/>
            <w:vAlign w:val="bottom"/>
          </w:tcPr>
          <w:p>
            <w:pPr>
              <w:spacing w:after="0"/>
              <w:rPr>
                <w:color w:val="auto"/>
                <w:sz w:val="9"/>
                <w:szCs w:val="9"/>
              </w:rPr>
            </w:pPr>
          </w:p>
        </w:tc>
        <w:tc>
          <w:tcPr>
            <w:tcW w:w="540" w:type="dxa"/>
            <w:vAlign w:val="bottom"/>
          </w:tcPr>
          <w:p>
            <w:pPr>
              <w:spacing w:after="0"/>
              <w:rPr>
                <w:color w:val="auto"/>
                <w:sz w:val="9"/>
                <w:szCs w:val="9"/>
              </w:rPr>
            </w:pPr>
          </w:p>
        </w:tc>
        <w:tc>
          <w:tcPr>
            <w:tcW w:w="380" w:type="dxa"/>
            <w:vAlign w:val="bottom"/>
          </w:tcPr>
          <w:p>
            <w:pPr>
              <w:spacing w:after="0"/>
              <w:rPr>
                <w:color w:val="auto"/>
                <w:sz w:val="9"/>
                <w:szCs w:val="9"/>
              </w:rPr>
            </w:pPr>
          </w:p>
        </w:tc>
        <w:tc>
          <w:tcPr>
            <w:tcW w:w="1100" w:type="dxa"/>
            <w:vAlign w:val="bottom"/>
          </w:tcPr>
          <w:p>
            <w:pPr>
              <w:spacing w:after="0"/>
              <w:rPr>
                <w:color w:val="auto"/>
                <w:sz w:val="9"/>
                <w:szCs w:val="9"/>
              </w:rPr>
            </w:pP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ind w:left="80"/>
              <w:rPr>
                <w:color w:val="auto"/>
                <w:sz w:val="20"/>
                <w:szCs w:val="20"/>
              </w:rPr>
            </w:pPr>
            <w:r>
              <w:rPr>
                <w:rFonts w:ascii="Calibri" w:eastAsia="Calibri" w:hAnsi="Calibri" w:cs="Calibri"/>
                <w:color w:val="auto"/>
                <w:sz w:val="10"/>
                <w:szCs w:val="10"/>
              </w:rPr>
              <w:t>Depreciaton</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764</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752</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778</w:t>
            </w:r>
          </w:p>
        </w:tc>
      </w:tr>
      <w:tr>
        <w:tblPrEx>
          <w:tblInd w:w="0" w:type="dxa"/>
          <w:tblLayout w:type="fixed"/>
        </w:tblPrEx>
        <w:trPr>
          <w:trHeight w:val="112"/>
        </w:trPr>
        <w:tc>
          <w:tcPr>
            <w:tcW w:w="4860" w:type="dxa"/>
            <w:vAlign w:val="bottom"/>
          </w:tcPr>
          <w:p>
            <w:pPr>
              <w:spacing w:after="0" w:line="112" w:lineRule="exact"/>
              <w:ind w:left="80"/>
              <w:rPr>
                <w:color w:val="auto"/>
                <w:sz w:val="20"/>
                <w:szCs w:val="20"/>
              </w:rPr>
            </w:pPr>
            <w:r>
              <w:rPr>
                <w:rFonts w:ascii="Calibri" w:eastAsia="Calibri" w:hAnsi="Calibri" w:cs="Calibri"/>
                <w:color w:val="auto"/>
                <w:sz w:val="10"/>
                <w:szCs w:val="10"/>
              </w:rPr>
              <w:t>Amortzaton of intangible assets</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7,622</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7,946</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7,689</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ind w:left="80"/>
              <w:rPr>
                <w:color w:val="auto"/>
                <w:sz w:val="20"/>
                <w:szCs w:val="20"/>
              </w:rPr>
            </w:pPr>
            <w:r>
              <w:rPr>
                <w:rFonts w:ascii="Calibri" w:eastAsia="Calibri" w:hAnsi="Calibri" w:cs="Calibri"/>
                <w:color w:val="auto"/>
                <w:sz w:val="10"/>
                <w:szCs w:val="10"/>
              </w:rPr>
              <w:t>Deferred income taxes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(1,449)</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(2,889)</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(1,931)</w:t>
            </w:r>
          </w:p>
        </w:tc>
      </w:tr>
      <w:tr>
        <w:tblPrEx>
          <w:tblInd w:w="0" w:type="dxa"/>
          <w:tblLayout w:type="fixed"/>
        </w:tblPrEx>
        <w:trPr>
          <w:trHeight w:val="112"/>
        </w:trPr>
        <w:tc>
          <w:tcPr>
            <w:tcW w:w="4860" w:type="dxa"/>
            <w:vAlign w:val="bottom"/>
          </w:tcPr>
          <w:p>
            <w:pPr>
              <w:spacing w:after="0" w:line="112" w:lineRule="exact"/>
              <w:ind w:left="80"/>
              <w:rPr>
                <w:color w:val="auto"/>
                <w:sz w:val="20"/>
                <w:szCs w:val="20"/>
              </w:rPr>
            </w:pPr>
            <w:r>
              <w:rPr>
                <w:rFonts w:ascii="Calibri" w:eastAsia="Calibri" w:hAnsi="Calibri" w:cs="Calibri"/>
                <w:color w:val="auto"/>
                <w:sz w:val="10"/>
                <w:szCs w:val="10"/>
              </w:rPr>
              <w:t>Change in fair value of contngent consideraton liabilites</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3,771</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5,128</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2,761</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ind w:left="80"/>
              <w:rPr>
                <w:color w:val="auto"/>
                <w:sz w:val="20"/>
                <w:szCs w:val="20"/>
              </w:rPr>
            </w:pPr>
            <w:r>
              <w:rPr>
                <w:rFonts w:ascii="Calibri" w:eastAsia="Calibri" w:hAnsi="Calibri" w:cs="Calibri"/>
                <w:color w:val="auto"/>
                <w:sz w:val="10"/>
                <w:szCs w:val="10"/>
              </w:rPr>
              <w:t>Payments of contngent consideraton liabilites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(1,995)</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(870)</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(164)</w:t>
            </w:r>
          </w:p>
        </w:tc>
      </w:tr>
      <w:tr>
        <w:tblPrEx>
          <w:tblInd w:w="0" w:type="dxa"/>
          <w:tblLayout w:type="fixed"/>
        </w:tblPrEx>
        <w:trPr>
          <w:trHeight w:val="112"/>
        </w:trPr>
        <w:tc>
          <w:tcPr>
            <w:tcW w:w="4860" w:type="dxa"/>
            <w:vAlign w:val="bottom"/>
          </w:tcPr>
          <w:p>
            <w:pPr>
              <w:spacing w:after="0" w:line="112" w:lineRule="exact"/>
              <w:ind w:left="80"/>
              <w:rPr>
                <w:color w:val="auto"/>
                <w:sz w:val="20"/>
                <w:szCs w:val="20"/>
              </w:rPr>
            </w:pPr>
            <w:r>
              <w:rPr>
                <w:rFonts w:ascii="Calibri" w:eastAsia="Calibri" w:hAnsi="Calibri" w:cs="Calibri"/>
                <w:color w:val="auto"/>
                <w:sz w:val="10"/>
                <w:szCs w:val="10"/>
              </w:rPr>
              <w:t>Stock-based compensaton</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911</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747</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671</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ind w:left="80"/>
              <w:rPr>
                <w:color w:val="auto"/>
                <w:sz w:val="20"/>
                <w:szCs w:val="20"/>
              </w:rPr>
            </w:pPr>
            <w:r>
              <w:rPr>
                <w:rFonts w:ascii="Calibri" w:eastAsia="Calibri" w:hAnsi="Calibri" w:cs="Calibri"/>
                <w:color w:val="auto"/>
                <w:sz w:val="10"/>
                <w:szCs w:val="10"/>
              </w:rPr>
              <w:t>Acquired IPR&amp;D and milestones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2,757</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778</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697</w:t>
            </w:r>
          </w:p>
        </w:tc>
      </w:tr>
      <w:tr>
        <w:tblPrEx>
          <w:tblInd w:w="0" w:type="dxa"/>
          <w:tblLayout w:type="fixed"/>
        </w:tblPrEx>
        <w:trPr>
          <w:trHeight w:val="112"/>
        </w:trPr>
        <w:tc>
          <w:tcPr>
            <w:tcW w:w="4860" w:type="dxa"/>
            <w:vAlign w:val="bottom"/>
          </w:tcPr>
          <w:p>
            <w:pPr>
              <w:spacing w:after="0" w:line="112" w:lineRule="exact"/>
              <w:ind w:left="80"/>
              <w:rPr>
                <w:color w:val="auto"/>
                <w:sz w:val="20"/>
                <w:szCs w:val="20"/>
              </w:rPr>
            </w:pPr>
            <w:r>
              <w:rPr>
                <w:rFonts w:ascii="Calibri" w:eastAsia="Calibri" w:hAnsi="Calibri" w:cs="Calibri"/>
                <w:color w:val="auto"/>
                <w:sz w:val="10"/>
                <w:szCs w:val="10"/>
              </w:rPr>
              <w:t>Gain on divesttures</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w:t>
            </w:r>
          </w:p>
        </w:tc>
        <w:tc>
          <w:tcPr>
            <w:tcW w:w="380" w:type="dxa"/>
            <w:vAlign w:val="bottom"/>
          </w:tcPr>
          <w:p>
            <w:pPr>
              <w:spacing w:after="0"/>
              <w:rPr>
                <w:color w:val="auto"/>
                <w:sz w:val="9"/>
                <w:szCs w:val="9"/>
              </w:rPr>
            </w:pPr>
          </w:p>
        </w:tc>
        <w:tc>
          <w:tcPr>
            <w:tcW w:w="1100" w:type="dxa"/>
            <w:vAlign w:val="bottom"/>
          </w:tcPr>
          <w:p>
            <w:pPr>
              <w:spacing w:after="0" w:line="112" w:lineRule="exact"/>
              <w:jc w:val="right"/>
              <w:rPr>
                <w:color w:val="auto"/>
                <w:sz w:val="20"/>
                <w:szCs w:val="20"/>
              </w:rPr>
            </w:pPr>
            <w:r>
              <w:rPr>
                <w:rFonts w:ascii="Calibri" w:eastAsia="Calibri" w:hAnsi="Calibri" w:cs="Calibri"/>
                <w:color w:val="auto"/>
                <w:sz w:val="10"/>
                <w:szCs w:val="10"/>
              </w:rPr>
              <w:t>(172)</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ind w:left="80"/>
              <w:rPr>
                <w:color w:val="auto"/>
                <w:sz w:val="20"/>
                <w:szCs w:val="20"/>
              </w:rPr>
            </w:pPr>
            <w:r>
              <w:rPr>
                <w:rFonts w:ascii="Calibri" w:eastAsia="Calibri" w:hAnsi="Calibri" w:cs="Calibri"/>
                <w:color w:val="auto"/>
                <w:sz w:val="10"/>
                <w:szCs w:val="10"/>
              </w:rPr>
              <w:t>Non-cash litgaton reserve adjustments, net of cash payments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508</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(443)</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2,243</w:t>
            </w:r>
          </w:p>
        </w:tc>
      </w:tr>
      <w:tr>
        <w:tblPrEx>
          <w:tblInd w:w="0" w:type="dxa"/>
          <w:tblLayout w:type="fixed"/>
        </w:tblPrEx>
        <w:trPr>
          <w:trHeight w:val="112"/>
        </w:trPr>
        <w:tc>
          <w:tcPr>
            <w:tcW w:w="4860" w:type="dxa"/>
            <w:vAlign w:val="bottom"/>
          </w:tcPr>
          <w:p>
            <w:pPr>
              <w:spacing w:after="0" w:line="112" w:lineRule="exact"/>
              <w:ind w:left="80"/>
              <w:rPr>
                <w:color w:val="auto"/>
                <w:sz w:val="20"/>
                <w:szCs w:val="20"/>
              </w:rPr>
            </w:pPr>
            <w:r>
              <w:rPr>
                <w:rFonts w:ascii="Calibri" w:eastAsia="Calibri" w:hAnsi="Calibri" w:cs="Calibri"/>
                <w:color w:val="auto"/>
                <w:sz w:val="10"/>
                <w:szCs w:val="10"/>
              </w:rPr>
              <w:t>Impairment of intangible assets</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4,476</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4,229</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770</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ind w:left="80"/>
              <w:rPr>
                <w:color w:val="auto"/>
                <w:sz w:val="20"/>
                <w:szCs w:val="20"/>
              </w:rPr>
            </w:pPr>
            <w:r>
              <w:rPr>
                <w:rFonts w:ascii="Calibri" w:eastAsia="Calibri" w:hAnsi="Calibri" w:cs="Calibri"/>
                <w:color w:val="auto"/>
                <w:sz w:val="10"/>
                <w:szCs w:val="10"/>
              </w:rPr>
              <w:t>Other, net</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(63)</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(225)</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(150)</w:t>
            </w:r>
          </w:p>
        </w:tc>
      </w:tr>
      <w:tr>
        <w:tblPrEx>
          <w:tblInd w:w="0" w:type="dxa"/>
          <w:tblLayout w:type="fixed"/>
        </w:tblPrEx>
        <w:trPr>
          <w:trHeight w:val="112"/>
        </w:trPr>
        <w:tc>
          <w:tcPr>
            <w:tcW w:w="4860" w:type="dxa"/>
            <w:vAlign w:val="bottom"/>
          </w:tcPr>
          <w:p>
            <w:pPr>
              <w:spacing w:after="0" w:line="112" w:lineRule="exact"/>
              <w:ind w:left="80"/>
              <w:rPr>
                <w:color w:val="auto"/>
                <w:sz w:val="20"/>
                <w:szCs w:val="20"/>
              </w:rPr>
            </w:pPr>
            <w:r>
              <w:rPr>
                <w:rFonts w:ascii="Calibri" w:eastAsia="Calibri" w:hAnsi="Calibri" w:cs="Calibri"/>
                <w:color w:val="auto"/>
                <w:sz w:val="10"/>
                <w:szCs w:val="10"/>
              </w:rPr>
              <w:t>Changes in operatng assets and liabilites, net of acquisitons:</w:t>
            </w:r>
          </w:p>
        </w:tc>
        <w:tc>
          <w:tcPr>
            <w:tcW w:w="2880" w:type="dxa"/>
            <w:vAlign w:val="bottom"/>
          </w:tcPr>
          <w:p>
            <w:pPr>
              <w:spacing w:after="0"/>
              <w:rPr>
                <w:color w:val="auto"/>
                <w:sz w:val="9"/>
                <w:szCs w:val="9"/>
              </w:rPr>
            </w:pPr>
          </w:p>
        </w:tc>
        <w:tc>
          <w:tcPr>
            <w:tcW w:w="520" w:type="dxa"/>
            <w:vAlign w:val="bottom"/>
          </w:tcPr>
          <w:p>
            <w:pPr>
              <w:spacing w:after="0"/>
              <w:rPr>
                <w:color w:val="auto"/>
                <w:sz w:val="9"/>
                <w:szCs w:val="9"/>
              </w:rPr>
            </w:pPr>
          </w:p>
        </w:tc>
        <w:tc>
          <w:tcPr>
            <w:tcW w:w="1000" w:type="dxa"/>
            <w:vAlign w:val="bottom"/>
          </w:tcPr>
          <w:p>
            <w:pPr>
              <w:spacing w:after="0"/>
              <w:rPr>
                <w:color w:val="auto"/>
                <w:sz w:val="9"/>
                <w:szCs w:val="9"/>
              </w:rPr>
            </w:pPr>
          </w:p>
        </w:tc>
        <w:tc>
          <w:tcPr>
            <w:tcW w:w="540" w:type="dxa"/>
            <w:vAlign w:val="bottom"/>
          </w:tcPr>
          <w:p>
            <w:pPr>
              <w:spacing w:after="0"/>
              <w:rPr>
                <w:color w:val="auto"/>
                <w:sz w:val="9"/>
                <w:szCs w:val="9"/>
              </w:rPr>
            </w:pPr>
          </w:p>
        </w:tc>
        <w:tc>
          <w:tcPr>
            <w:tcW w:w="380" w:type="dxa"/>
            <w:vAlign w:val="bottom"/>
          </w:tcPr>
          <w:p>
            <w:pPr>
              <w:spacing w:after="0"/>
              <w:rPr>
                <w:color w:val="auto"/>
                <w:sz w:val="9"/>
                <w:szCs w:val="9"/>
              </w:rPr>
            </w:pPr>
          </w:p>
        </w:tc>
        <w:tc>
          <w:tcPr>
            <w:tcW w:w="1100" w:type="dxa"/>
            <w:vAlign w:val="bottom"/>
          </w:tcPr>
          <w:p>
            <w:pPr>
              <w:spacing w:after="0"/>
              <w:rPr>
                <w:color w:val="auto"/>
                <w:sz w:val="9"/>
                <w:szCs w:val="9"/>
              </w:rPr>
            </w:pP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ind w:left="140"/>
              <w:rPr>
                <w:color w:val="auto"/>
                <w:sz w:val="20"/>
                <w:szCs w:val="20"/>
              </w:rPr>
            </w:pPr>
            <w:r>
              <w:rPr>
                <w:rFonts w:ascii="Calibri" w:eastAsia="Calibri" w:hAnsi="Calibri" w:cs="Calibri"/>
                <w:color w:val="auto"/>
                <w:sz w:val="10"/>
                <w:szCs w:val="10"/>
              </w:rPr>
              <w:t>Accounts receivable</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207</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66</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(1,455)</w:t>
            </w:r>
          </w:p>
        </w:tc>
      </w:tr>
      <w:tr>
        <w:tblPrEx>
          <w:tblInd w:w="0" w:type="dxa"/>
          <w:tblLayout w:type="fixed"/>
        </w:tblPrEx>
        <w:trPr>
          <w:trHeight w:val="112"/>
        </w:trPr>
        <w:tc>
          <w:tcPr>
            <w:tcW w:w="4860" w:type="dxa"/>
            <w:vAlign w:val="bottom"/>
          </w:tcPr>
          <w:p>
            <w:pPr>
              <w:spacing w:after="0" w:line="112" w:lineRule="exact"/>
              <w:ind w:left="140"/>
              <w:rPr>
                <w:color w:val="auto"/>
                <w:sz w:val="20"/>
                <w:szCs w:val="20"/>
              </w:rPr>
            </w:pPr>
            <w:r>
              <w:rPr>
                <w:rFonts w:ascii="Calibri" w:eastAsia="Calibri" w:hAnsi="Calibri" w:cs="Calibri"/>
                <w:color w:val="auto"/>
                <w:sz w:val="10"/>
                <w:szCs w:val="10"/>
              </w:rPr>
              <w:t>Inventories</w:t>
            </w:r>
          </w:p>
        </w:tc>
        <w:tc>
          <w:tcPr>
            <w:tcW w:w="2880" w:type="dxa"/>
            <w:vAlign w:val="bottom"/>
          </w:tcPr>
          <w:p>
            <w:pPr>
              <w:spacing w:after="0"/>
              <w:rPr>
                <w:color w:val="auto"/>
                <w:sz w:val="9"/>
                <w:szCs w:val="9"/>
              </w:rPr>
            </w:pPr>
          </w:p>
        </w:tc>
        <w:tc>
          <w:tcPr>
            <w:tcW w:w="52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(319)</w:t>
            </w:r>
          </w:p>
        </w:tc>
        <w:tc>
          <w:tcPr>
            <w:tcW w:w="1000" w:type="dxa"/>
            <w:vAlign w:val="bottom"/>
          </w:tcPr>
          <w:p>
            <w:pPr>
              <w:spacing w:after="0"/>
              <w:rPr>
                <w:color w:val="auto"/>
                <w:sz w:val="9"/>
                <w:szCs w:val="9"/>
              </w:rPr>
            </w:pPr>
          </w:p>
        </w:tc>
        <w:tc>
          <w:tcPr>
            <w:tcW w:w="5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(417)</w:t>
            </w:r>
          </w:p>
        </w:tc>
        <w:tc>
          <w:tcPr>
            <w:tcW w:w="380" w:type="dxa"/>
            <w:vAlign w:val="bottom"/>
          </w:tcPr>
          <w:p>
            <w:pPr>
              <w:spacing w:after="0"/>
              <w:rPr>
                <w:color w:val="auto"/>
                <w:sz w:val="9"/>
                <w:szCs w:val="9"/>
              </w:rPr>
            </w:pPr>
          </w:p>
        </w:tc>
        <w:tc>
          <w:tcPr>
            <w:tcW w:w="1100" w:type="dxa"/>
            <w:vAlign w:val="bottom"/>
          </w:tcPr>
          <w:p>
            <w:pPr>
              <w:spacing w:after="0" w:line="112" w:lineRule="exact"/>
              <w:jc w:val="right"/>
              <w:rPr>
                <w:color w:val="auto"/>
                <w:sz w:val="20"/>
                <w:szCs w:val="20"/>
              </w:rPr>
            </w:pPr>
            <w:r>
              <w:rPr>
                <w:rFonts w:ascii="Calibri" w:eastAsia="Calibri" w:hAnsi="Calibri" w:cs="Calibri"/>
                <w:color w:val="auto"/>
                <w:sz w:val="10"/>
                <w:szCs w:val="10"/>
              </w:rPr>
              <w:t>(686)</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ind w:left="140"/>
              <w:rPr>
                <w:color w:val="auto"/>
                <w:sz w:val="20"/>
                <w:szCs w:val="20"/>
              </w:rPr>
            </w:pPr>
            <w:r>
              <w:rPr>
                <w:rFonts w:ascii="Calibri" w:eastAsia="Calibri" w:hAnsi="Calibri" w:cs="Calibri"/>
                <w:color w:val="auto"/>
                <w:sz w:val="10"/>
                <w:szCs w:val="10"/>
              </w:rPr>
              <w:t>Prepaid expenses and other assets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361</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(188)</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(264)</w:t>
            </w:r>
          </w:p>
        </w:tc>
      </w:tr>
      <w:tr>
        <w:tblPrEx>
          <w:tblInd w:w="0" w:type="dxa"/>
          <w:tblLayout w:type="fixed"/>
        </w:tblPrEx>
        <w:trPr>
          <w:trHeight w:val="112"/>
        </w:trPr>
        <w:tc>
          <w:tcPr>
            <w:tcW w:w="4860" w:type="dxa"/>
            <w:vAlign w:val="bottom"/>
          </w:tcPr>
          <w:p>
            <w:pPr>
              <w:spacing w:after="0" w:line="112" w:lineRule="exact"/>
              <w:ind w:left="140"/>
              <w:rPr>
                <w:color w:val="auto"/>
                <w:sz w:val="20"/>
                <w:szCs w:val="20"/>
              </w:rPr>
            </w:pPr>
            <w:r>
              <w:rPr>
                <w:rFonts w:ascii="Calibri" w:eastAsia="Calibri" w:hAnsi="Calibri" w:cs="Calibri"/>
                <w:color w:val="auto"/>
                <w:sz w:val="10"/>
                <w:szCs w:val="10"/>
              </w:rPr>
              <w:t>Accounts payable and other liabilites</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177</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3,840</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1,769</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40"/>
        </w:trPr>
        <w:tc>
          <w:tcPr>
            <w:tcW w:w="4860" w:type="dxa"/>
            <w:tcBorders>
              <w:bottom w:val="single" w:sz="8" w:space="0" w:color="CCEEFF"/>
            </w:tcBorders>
            <w:shd w:val="clear" w:color="auto" w:fill="CCEEFF"/>
            <w:vAlign w:val="bottom"/>
          </w:tcPr>
          <w:p>
            <w:pPr>
              <w:spacing w:after="0" w:line="112" w:lineRule="exact"/>
              <w:ind w:left="140"/>
              <w:rPr>
                <w:color w:val="auto"/>
                <w:sz w:val="20"/>
                <w:szCs w:val="20"/>
              </w:rPr>
            </w:pPr>
            <w:r>
              <w:rPr>
                <w:rFonts w:ascii="Calibri" w:eastAsia="Calibri" w:hAnsi="Calibri" w:cs="Calibri"/>
                <w:color w:val="auto"/>
                <w:sz w:val="10"/>
                <w:szCs w:val="10"/>
              </w:rPr>
              <w:t>Income tax assets and liabilites, net</w:t>
            </w:r>
          </w:p>
        </w:tc>
        <w:tc>
          <w:tcPr>
            <w:tcW w:w="2880" w:type="dxa"/>
            <w:tcBorders>
              <w:bottom w:val="single" w:sz="8" w:space="0" w:color="CCEEFF"/>
            </w:tcBorders>
            <w:shd w:val="clear" w:color="auto" w:fill="CCEEFF"/>
            <w:vAlign w:val="bottom"/>
          </w:tcPr>
          <w:p>
            <w:pPr>
              <w:spacing w:after="0"/>
              <w:rPr>
                <w:color w:val="auto"/>
                <w:sz w:val="11"/>
                <w:szCs w:val="11"/>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(3,208)</w:t>
            </w:r>
          </w:p>
        </w:tc>
        <w:tc>
          <w:tcPr>
            <w:tcW w:w="1000" w:type="dxa"/>
            <w:tcBorders>
              <w:bottom w:val="single" w:sz="8" w:space="0" w:color="CCEEFF"/>
            </w:tcBorders>
            <w:shd w:val="clear" w:color="auto" w:fill="CCEEFF"/>
            <w:vAlign w:val="bottom"/>
          </w:tcPr>
          <w:p>
            <w:pPr>
              <w:spacing w:after="0"/>
              <w:rPr>
                <w:color w:val="auto"/>
                <w:sz w:val="11"/>
                <w:szCs w:val="11"/>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(488)</w:t>
            </w:r>
          </w:p>
        </w:tc>
        <w:tc>
          <w:tcPr>
            <w:tcW w:w="380" w:type="dxa"/>
            <w:tcBorders>
              <w:bottom w:val="single" w:sz="8" w:space="0" w:color="CCEEFF"/>
            </w:tcBorders>
            <w:shd w:val="clear" w:color="auto" w:fill="CCEEFF"/>
            <w:vAlign w:val="bottom"/>
          </w:tcPr>
          <w:p>
            <w:pPr>
              <w:spacing w:after="0"/>
              <w:rPr>
                <w:color w:val="auto"/>
                <w:sz w:val="11"/>
                <w:szCs w:val="11"/>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542</w:t>
            </w:r>
          </w:p>
        </w:tc>
      </w:tr>
      <w:tr>
        <w:tblPrEx>
          <w:tblInd w:w="0" w:type="dxa"/>
          <w:tblLayout w:type="fixed"/>
        </w:tblPrEx>
        <w:trPr>
          <w:trHeight w:val="101"/>
        </w:trPr>
        <w:tc>
          <w:tcPr>
            <w:tcW w:w="4860" w:type="dxa"/>
            <w:tcBorders>
              <w:top w:val="single" w:sz="8" w:space="0" w:color="auto"/>
            </w:tcBorders>
            <w:vAlign w:val="bottom"/>
          </w:tcPr>
          <w:p>
            <w:pPr>
              <w:spacing w:after="0" w:line="101" w:lineRule="exact"/>
              <w:rPr>
                <w:color w:val="auto"/>
                <w:sz w:val="20"/>
                <w:szCs w:val="20"/>
              </w:rPr>
            </w:pPr>
            <w:r>
              <w:rPr>
                <w:rFonts w:ascii="Calibri" w:eastAsia="Calibri" w:hAnsi="Calibri" w:cs="Calibri"/>
                <w:b/>
                <w:bCs/>
                <w:color w:val="auto"/>
                <w:sz w:val="10"/>
                <w:szCs w:val="10"/>
              </w:rPr>
              <w:t>Cash fows from operatng actvites</w:t>
            </w:r>
          </w:p>
        </w:tc>
        <w:tc>
          <w:tcPr>
            <w:tcW w:w="2880" w:type="dxa"/>
            <w:tcBorders>
              <w:top w:val="single" w:sz="8" w:space="0" w:color="auto"/>
            </w:tcBorders>
            <w:vAlign w:val="bottom"/>
          </w:tcPr>
          <w:p>
            <w:pPr>
              <w:spacing w:after="0"/>
              <w:rPr>
                <w:color w:val="auto"/>
                <w:sz w:val="8"/>
                <w:szCs w:val="8"/>
              </w:rPr>
            </w:pPr>
          </w:p>
        </w:tc>
        <w:tc>
          <w:tcPr>
            <w:tcW w:w="520" w:type="dxa"/>
            <w:tcBorders>
              <w:top w:val="single" w:sz="8" w:space="0" w:color="auto"/>
            </w:tcBorders>
            <w:vAlign w:val="bottom"/>
          </w:tcPr>
          <w:p>
            <w:pPr>
              <w:spacing w:after="0" w:line="101" w:lineRule="exact"/>
              <w:ind w:right="32"/>
              <w:jc w:val="right"/>
              <w:rPr>
                <w:color w:val="auto"/>
                <w:sz w:val="20"/>
                <w:szCs w:val="20"/>
              </w:rPr>
            </w:pPr>
            <w:r>
              <w:rPr>
                <w:rFonts w:ascii="Calibri" w:eastAsia="Calibri" w:hAnsi="Calibri" w:cs="Calibri"/>
                <w:color w:val="auto"/>
                <w:sz w:val="10"/>
                <w:szCs w:val="10"/>
              </w:rPr>
              <w:t>18,806</w:t>
            </w:r>
          </w:p>
        </w:tc>
        <w:tc>
          <w:tcPr>
            <w:tcW w:w="1000" w:type="dxa"/>
            <w:tcBorders>
              <w:top w:val="single" w:sz="8" w:space="0" w:color="auto"/>
            </w:tcBorders>
            <w:vAlign w:val="bottom"/>
          </w:tcPr>
          <w:p>
            <w:pPr>
              <w:spacing w:after="0"/>
              <w:rPr>
                <w:color w:val="auto"/>
                <w:sz w:val="8"/>
                <w:szCs w:val="8"/>
              </w:rPr>
            </w:pPr>
          </w:p>
        </w:tc>
        <w:tc>
          <w:tcPr>
            <w:tcW w:w="540" w:type="dxa"/>
            <w:tcBorders>
              <w:top w:val="single" w:sz="8" w:space="0" w:color="auto"/>
            </w:tcBorders>
            <w:vAlign w:val="bottom"/>
          </w:tcPr>
          <w:p>
            <w:pPr>
              <w:spacing w:after="0" w:line="101" w:lineRule="exact"/>
              <w:ind w:right="52"/>
              <w:jc w:val="right"/>
              <w:rPr>
                <w:color w:val="auto"/>
                <w:sz w:val="20"/>
                <w:szCs w:val="20"/>
              </w:rPr>
            </w:pPr>
            <w:r>
              <w:rPr>
                <w:rFonts w:ascii="Calibri" w:eastAsia="Calibri" w:hAnsi="Calibri" w:cs="Calibri"/>
                <w:color w:val="auto"/>
                <w:sz w:val="10"/>
                <w:szCs w:val="10"/>
              </w:rPr>
              <w:t>22,839</w:t>
            </w:r>
          </w:p>
        </w:tc>
        <w:tc>
          <w:tcPr>
            <w:tcW w:w="380" w:type="dxa"/>
            <w:tcBorders>
              <w:top w:val="single" w:sz="8" w:space="0" w:color="auto"/>
            </w:tcBorders>
            <w:vAlign w:val="bottom"/>
          </w:tcPr>
          <w:p>
            <w:pPr>
              <w:spacing w:after="0"/>
              <w:rPr>
                <w:color w:val="auto"/>
                <w:sz w:val="8"/>
                <w:szCs w:val="8"/>
              </w:rPr>
            </w:pPr>
          </w:p>
        </w:tc>
        <w:tc>
          <w:tcPr>
            <w:tcW w:w="110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24,943</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99"/>
        </w:trPr>
        <w:tc>
          <w:tcPr>
            <w:tcW w:w="4860" w:type="dxa"/>
            <w:shd w:val="clear" w:color="auto" w:fill="CCEEFF"/>
            <w:vAlign w:val="bottom"/>
          </w:tcPr>
          <w:p>
            <w:pPr>
              <w:spacing w:after="0"/>
              <w:rPr>
                <w:color w:val="auto"/>
                <w:sz w:val="8"/>
                <w:szCs w:val="8"/>
              </w:rPr>
            </w:pPr>
          </w:p>
        </w:tc>
        <w:tc>
          <w:tcPr>
            <w:tcW w:w="2880" w:type="dxa"/>
            <w:shd w:val="clear" w:color="auto" w:fill="CCEEFF"/>
            <w:vAlign w:val="bottom"/>
          </w:tcPr>
          <w:p>
            <w:pPr>
              <w:spacing w:after="0"/>
              <w:rPr>
                <w:color w:val="auto"/>
                <w:sz w:val="8"/>
                <w:szCs w:val="8"/>
              </w:rPr>
            </w:pPr>
          </w:p>
        </w:tc>
        <w:tc>
          <w:tcPr>
            <w:tcW w:w="520" w:type="dxa"/>
            <w:shd w:val="clear" w:color="auto" w:fill="CCEEFF"/>
            <w:vAlign w:val="bottom"/>
          </w:tcPr>
          <w:p>
            <w:pPr>
              <w:spacing w:after="0"/>
              <w:rPr>
                <w:color w:val="auto"/>
                <w:sz w:val="8"/>
                <w:szCs w:val="8"/>
              </w:rPr>
            </w:pPr>
          </w:p>
        </w:tc>
        <w:tc>
          <w:tcPr>
            <w:tcW w:w="1000" w:type="dxa"/>
            <w:shd w:val="clear" w:color="auto" w:fill="CCEEFF"/>
            <w:vAlign w:val="bottom"/>
          </w:tcPr>
          <w:p>
            <w:pPr>
              <w:spacing w:after="0"/>
              <w:rPr>
                <w:color w:val="auto"/>
                <w:sz w:val="8"/>
                <w:szCs w:val="8"/>
              </w:rPr>
            </w:pPr>
          </w:p>
        </w:tc>
        <w:tc>
          <w:tcPr>
            <w:tcW w:w="540" w:type="dxa"/>
            <w:shd w:val="clear" w:color="auto" w:fill="CCEEFF"/>
            <w:vAlign w:val="bottom"/>
          </w:tcPr>
          <w:p>
            <w:pPr>
              <w:spacing w:after="0"/>
              <w:rPr>
                <w:color w:val="auto"/>
                <w:sz w:val="8"/>
                <w:szCs w:val="8"/>
              </w:rPr>
            </w:pPr>
          </w:p>
        </w:tc>
        <w:tc>
          <w:tcPr>
            <w:tcW w:w="380" w:type="dxa"/>
            <w:shd w:val="clear" w:color="auto" w:fill="CCEEFF"/>
            <w:vAlign w:val="bottom"/>
          </w:tcPr>
          <w:p>
            <w:pPr>
              <w:spacing w:after="0"/>
              <w:rPr>
                <w:color w:val="auto"/>
                <w:sz w:val="8"/>
                <w:szCs w:val="8"/>
              </w:rPr>
            </w:pPr>
          </w:p>
        </w:tc>
        <w:tc>
          <w:tcPr>
            <w:tcW w:w="1100" w:type="dxa"/>
            <w:shd w:val="clear" w:color="auto" w:fill="CCEEFF"/>
            <w:vAlign w:val="bottom"/>
          </w:tcPr>
          <w:p>
            <w:pPr>
              <w:spacing w:after="0"/>
              <w:rPr>
                <w:color w:val="auto"/>
                <w:sz w:val="8"/>
                <w:szCs w:val="8"/>
              </w:rPr>
            </w:pP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b/>
                <w:bCs/>
                <w:color w:val="auto"/>
                <w:sz w:val="10"/>
                <w:szCs w:val="10"/>
              </w:rPr>
              <w:t>Cash fows from investng actvites</w:t>
            </w:r>
          </w:p>
        </w:tc>
        <w:tc>
          <w:tcPr>
            <w:tcW w:w="2880" w:type="dxa"/>
            <w:vAlign w:val="bottom"/>
          </w:tcPr>
          <w:p>
            <w:pPr>
              <w:spacing w:after="0"/>
              <w:rPr>
                <w:color w:val="auto"/>
                <w:sz w:val="9"/>
                <w:szCs w:val="9"/>
              </w:rPr>
            </w:pPr>
          </w:p>
        </w:tc>
        <w:tc>
          <w:tcPr>
            <w:tcW w:w="520" w:type="dxa"/>
            <w:vAlign w:val="bottom"/>
          </w:tcPr>
          <w:p>
            <w:pPr>
              <w:spacing w:after="0"/>
              <w:rPr>
                <w:color w:val="auto"/>
                <w:sz w:val="9"/>
                <w:szCs w:val="9"/>
              </w:rPr>
            </w:pPr>
          </w:p>
        </w:tc>
        <w:tc>
          <w:tcPr>
            <w:tcW w:w="1000" w:type="dxa"/>
            <w:vAlign w:val="bottom"/>
          </w:tcPr>
          <w:p>
            <w:pPr>
              <w:spacing w:after="0"/>
              <w:rPr>
                <w:color w:val="auto"/>
                <w:sz w:val="9"/>
                <w:szCs w:val="9"/>
              </w:rPr>
            </w:pPr>
          </w:p>
        </w:tc>
        <w:tc>
          <w:tcPr>
            <w:tcW w:w="540" w:type="dxa"/>
            <w:vAlign w:val="bottom"/>
          </w:tcPr>
          <w:p>
            <w:pPr>
              <w:spacing w:after="0"/>
              <w:rPr>
                <w:color w:val="auto"/>
                <w:sz w:val="9"/>
                <w:szCs w:val="9"/>
              </w:rPr>
            </w:pPr>
          </w:p>
        </w:tc>
        <w:tc>
          <w:tcPr>
            <w:tcW w:w="380" w:type="dxa"/>
            <w:vAlign w:val="bottom"/>
          </w:tcPr>
          <w:p>
            <w:pPr>
              <w:spacing w:after="0"/>
              <w:rPr>
                <w:color w:val="auto"/>
                <w:sz w:val="9"/>
                <w:szCs w:val="9"/>
              </w:rPr>
            </w:pPr>
          </w:p>
        </w:tc>
        <w:tc>
          <w:tcPr>
            <w:tcW w:w="1100" w:type="dxa"/>
            <w:vAlign w:val="bottom"/>
          </w:tcPr>
          <w:p>
            <w:pPr>
              <w:spacing w:after="0"/>
              <w:rPr>
                <w:color w:val="auto"/>
                <w:sz w:val="9"/>
                <w:szCs w:val="9"/>
              </w:rPr>
            </w:pP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Acquisiton of businesses, net of cash acquired</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(17,493)</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(255)</w:t>
            </w: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Other acquisitons and investments</w:t>
            </w:r>
          </w:p>
        </w:tc>
        <w:tc>
          <w:tcPr>
            <w:tcW w:w="2880" w:type="dxa"/>
            <w:vAlign w:val="bottom"/>
          </w:tcPr>
          <w:p>
            <w:pPr>
              <w:spacing w:after="0"/>
              <w:rPr>
                <w:color w:val="auto"/>
                <w:sz w:val="9"/>
                <w:szCs w:val="9"/>
              </w:rPr>
            </w:pPr>
          </w:p>
        </w:tc>
        <w:tc>
          <w:tcPr>
            <w:tcW w:w="52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(3,024)</w:t>
            </w:r>
          </w:p>
        </w:tc>
        <w:tc>
          <w:tcPr>
            <w:tcW w:w="1000" w:type="dxa"/>
            <w:vAlign w:val="bottom"/>
          </w:tcPr>
          <w:p>
            <w:pPr>
              <w:spacing w:after="0"/>
              <w:rPr>
                <w:color w:val="auto"/>
                <w:sz w:val="9"/>
                <w:szCs w:val="9"/>
              </w:rPr>
            </w:pPr>
          </w:p>
        </w:tc>
        <w:tc>
          <w:tcPr>
            <w:tcW w:w="5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(1,223)</w:t>
            </w:r>
          </w:p>
        </w:tc>
        <w:tc>
          <w:tcPr>
            <w:tcW w:w="380" w:type="dxa"/>
            <w:vAlign w:val="bottom"/>
          </w:tcPr>
          <w:p>
            <w:pPr>
              <w:spacing w:after="0"/>
              <w:rPr>
                <w:color w:val="auto"/>
                <w:sz w:val="9"/>
                <w:szCs w:val="9"/>
              </w:rPr>
            </w:pPr>
          </w:p>
        </w:tc>
        <w:tc>
          <w:tcPr>
            <w:tcW w:w="1100" w:type="dxa"/>
            <w:vAlign w:val="bottom"/>
          </w:tcPr>
          <w:p>
            <w:pPr>
              <w:spacing w:after="0" w:line="112" w:lineRule="exact"/>
              <w:jc w:val="right"/>
              <w:rPr>
                <w:color w:val="auto"/>
                <w:sz w:val="20"/>
                <w:szCs w:val="20"/>
              </w:rPr>
            </w:pPr>
            <w:r>
              <w:rPr>
                <w:rFonts w:ascii="Calibri" w:eastAsia="Calibri" w:hAnsi="Calibri" w:cs="Calibri"/>
                <w:color w:val="auto"/>
                <w:sz w:val="10"/>
                <w:szCs w:val="10"/>
              </w:rPr>
              <w:t>(539)</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Acquisitons of property and equipment</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(974)</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(777)</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(695)</w:t>
            </w: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Purchases of investment securites</w:t>
            </w:r>
          </w:p>
        </w:tc>
        <w:tc>
          <w:tcPr>
            <w:tcW w:w="2880" w:type="dxa"/>
            <w:vAlign w:val="bottom"/>
          </w:tcPr>
          <w:p>
            <w:pPr>
              <w:spacing w:after="0"/>
              <w:rPr>
                <w:color w:val="auto"/>
                <w:sz w:val="9"/>
                <w:szCs w:val="9"/>
              </w:rPr>
            </w:pPr>
          </w:p>
        </w:tc>
        <w:tc>
          <w:tcPr>
            <w:tcW w:w="52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(73)</w:t>
            </w:r>
          </w:p>
        </w:tc>
        <w:tc>
          <w:tcPr>
            <w:tcW w:w="1000" w:type="dxa"/>
            <w:vAlign w:val="bottom"/>
          </w:tcPr>
          <w:p>
            <w:pPr>
              <w:spacing w:after="0"/>
              <w:rPr>
                <w:color w:val="auto"/>
                <w:sz w:val="9"/>
                <w:szCs w:val="9"/>
              </w:rPr>
            </w:pPr>
          </w:p>
        </w:tc>
        <w:tc>
          <w:tcPr>
            <w:tcW w:w="5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(77)</w:t>
            </w:r>
          </w:p>
        </w:tc>
        <w:tc>
          <w:tcPr>
            <w:tcW w:w="380" w:type="dxa"/>
            <w:vAlign w:val="bottom"/>
          </w:tcPr>
          <w:p>
            <w:pPr>
              <w:spacing w:after="0"/>
              <w:rPr>
                <w:color w:val="auto"/>
                <w:sz w:val="9"/>
                <w:szCs w:val="9"/>
              </w:rPr>
            </w:pPr>
          </w:p>
        </w:tc>
        <w:tc>
          <w:tcPr>
            <w:tcW w:w="1100" w:type="dxa"/>
            <w:vAlign w:val="bottom"/>
          </w:tcPr>
          <w:p>
            <w:pPr>
              <w:spacing w:after="0" w:line="112" w:lineRule="exact"/>
              <w:jc w:val="right"/>
              <w:rPr>
                <w:color w:val="auto"/>
                <w:sz w:val="20"/>
                <w:szCs w:val="20"/>
              </w:rPr>
            </w:pPr>
            <w:r>
              <w:rPr>
                <w:rFonts w:ascii="Calibri" w:eastAsia="Calibri" w:hAnsi="Calibri" w:cs="Calibri"/>
                <w:color w:val="auto"/>
                <w:sz w:val="10"/>
                <w:szCs w:val="10"/>
              </w:rPr>
              <w:t>(1,438)</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Sales and maturites of investment securites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555</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55</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1,530</w:t>
            </w: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Other, net</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189</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13</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774</w:t>
            </w:r>
          </w:p>
        </w:tc>
      </w:tr>
      <w:tr>
        <w:tblPrEx>
          <w:tblInd w:w="0" w:type="dxa"/>
          <w:tblLayout w:type="fixed"/>
        </w:tblPrEx>
        <w:trPr>
          <w:trHeight w:val="23"/>
        </w:trPr>
        <w:tc>
          <w:tcPr>
            <w:tcW w:w="4860" w:type="dxa"/>
            <w:tcBorders>
              <w:bottom w:val="single" w:sz="8" w:space="0" w:color="auto"/>
            </w:tcBorders>
            <w:vAlign w:val="bottom"/>
          </w:tcPr>
          <w:p>
            <w:pPr>
              <w:spacing w:after="0"/>
              <w:rPr>
                <w:color w:val="auto"/>
                <w:sz w:val="2"/>
                <w:szCs w:val="2"/>
              </w:rPr>
            </w:pPr>
          </w:p>
        </w:tc>
        <w:tc>
          <w:tcPr>
            <w:tcW w:w="2880" w:type="dxa"/>
            <w:tcBorders>
              <w:bottom w:val="single" w:sz="8" w:space="0" w:color="auto"/>
            </w:tcBorders>
            <w:vAlign w:val="bottom"/>
          </w:tcPr>
          <w:p>
            <w:pPr>
              <w:spacing w:after="0"/>
              <w:rPr>
                <w:color w:val="auto"/>
                <w:sz w:val="2"/>
                <w:szCs w:val="2"/>
              </w:rPr>
            </w:pPr>
          </w:p>
        </w:tc>
        <w:tc>
          <w:tcPr>
            <w:tcW w:w="52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54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04"/>
        </w:trPr>
        <w:tc>
          <w:tcPr>
            <w:tcW w:w="486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b/>
                <w:bCs/>
                <w:color w:val="auto"/>
                <w:sz w:val="10"/>
                <w:szCs w:val="10"/>
              </w:rPr>
              <w:t>Cash fows from investng actvites</w:t>
            </w:r>
          </w:p>
        </w:tc>
        <w:tc>
          <w:tcPr>
            <w:tcW w:w="2880" w:type="dxa"/>
            <w:tcBorders>
              <w:bottom w:val="single" w:sz="8" w:space="0" w:color="CCEEFF"/>
            </w:tcBorders>
            <w:shd w:val="clear" w:color="auto" w:fill="CCEEFF"/>
            <w:vAlign w:val="bottom"/>
          </w:tcPr>
          <w:p>
            <w:pPr>
              <w:spacing w:after="0"/>
              <w:rPr>
                <w:color w:val="auto"/>
                <w:sz w:val="9"/>
                <w:szCs w:val="9"/>
              </w:rPr>
            </w:pPr>
          </w:p>
        </w:tc>
        <w:tc>
          <w:tcPr>
            <w:tcW w:w="52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(20,820)</w:t>
            </w:r>
          </w:p>
        </w:tc>
        <w:tc>
          <w:tcPr>
            <w:tcW w:w="1000" w:type="dxa"/>
            <w:tcBorders>
              <w:bottom w:val="single" w:sz="8" w:space="0" w:color="CCEEFF"/>
            </w:tcBorders>
            <w:shd w:val="clear" w:color="auto" w:fill="CCEEFF"/>
            <w:vAlign w:val="bottom"/>
          </w:tcPr>
          <w:p>
            <w:pPr>
              <w:spacing w:after="0"/>
              <w:rPr>
                <w:color w:val="auto"/>
                <w:sz w:val="9"/>
                <w:szCs w:val="9"/>
              </w:rPr>
            </w:pPr>
          </w:p>
        </w:tc>
        <w:tc>
          <w:tcPr>
            <w:tcW w:w="54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(2,009)</w:t>
            </w:r>
          </w:p>
        </w:tc>
        <w:tc>
          <w:tcPr>
            <w:tcW w:w="380" w:type="dxa"/>
            <w:tcBorders>
              <w:bottom w:val="single" w:sz="8" w:space="0" w:color="CCEEFF"/>
            </w:tcBorders>
            <w:shd w:val="clear" w:color="auto" w:fill="CCEEFF"/>
            <w:vAlign w:val="bottom"/>
          </w:tcPr>
          <w:p>
            <w:pPr>
              <w:spacing w:after="0"/>
              <w:rPr>
                <w:color w:val="auto"/>
                <w:sz w:val="9"/>
                <w:szCs w:val="9"/>
              </w:rPr>
            </w:pPr>
          </w:p>
        </w:tc>
        <w:tc>
          <w:tcPr>
            <w:tcW w:w="110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(623)</w:t>
            </w:r>
          </w:p>
        </w:tc>
      </w:tr>
      <w:tr>
        <w:tblPrEx>
          <w:tblInd w:w="0" w:type="dxa"/>
          <w:tblLayout w:type="fixed"/>
        </w:tblPrEx>
        <w:trPr>
          <w:trHeight w:val="99"/>
        </w:trPr>
        <w:tc>
          <w:tcPr>
            <w:tcW w:w="4860" w:type="dxa"/>
            <w:vAlign w:val="bottom"/>
          </w:tcPr>
          <w:p>
            <w:pPr>
              <w:spacing w:after="0"/>
              <w:rPr>
                <w:color w:val="auto"/>
                <w:sz w:val="8"/>
                <w:szCs w:val="8"/>
              </w:rPr>
            </w:pPr>
          </w:p>
        </w:tc>
        <w:tc>
          <w:tcPr>
            <w:tcW w:w="2880" w:type="dxa"/>
            <w:vAlign w:val="bottom"/>
          </w:tcPr>
          <w:p>
            <w:pPr>
              <w:spacing w:after="0"/>
              <w:rPr>
                <w:color w:val="auto"/>
                <w:sz w:val="8"/>
                <w:szCs w:val="8"/>
              </w:rPr>
            </w:pPr>
          </w:p>
        </w:tc>
        <w:tc>
          <w:tcPr>
            <w:tcW w:w="520" w:type="dxa"/>
            <w:vAlign w:val="bottom"/>
          </w:tcPr>
          <w:p>
            <w:pPr>
              <w:spacing w:after="0"/>
              <w:rPr>
                <w:color w:val="auto"/>
                <w:sz w:val="8"/>
                <w:szCs w:val="8"/>
              </w:rPr>
            </w:pPr>
          </w:p>
        </w:tc>
        <w:tc>
          <w:tcPr>
            <w:tcW w:w="1000" w:type="dxa"/>
            <w:vAlign w:val="bottom"/>
          </w:tcPr>
          <w:p>
            <w:pPr>
              <w:spacing w:after="0"/>
              <w:rPr>
                <w:color w:val="auto"/>
                <w:sz w:val="8"/>
                <w:szCs w:val="8"/>
              </w:rPr>
            </w:pPr>
          </w:p>
        </w:tc>
        <w:tc>
          <w:tcPr>
            <w:tcW w:w="540" w:type="dxa"/>
            <w:vAlign w:val="bottom"/>
          </w:tcPr>
          <w:p>
            <w:pPr>
              <w:spacing w:after="0"/>
              <w:rPr>
                <w:color w:val="auto"/>
                <w:sz w:val="8"/>
                <w:szCs w:val="8"/>
              </w:rPr>
            </w:pPr>
          </w:p>
        </w:tc>
        <w:tc>
          <w:tcPr>
            <w:tcW w:w="380" w:type="dxa"/>
            <w:vAlign w:val="bottom"/>
          </w:tcPr>
          <w:p>
            <w:pPr>
              <w:spacing w:after="0"/>
              <w:rPr>
                <w:color w:val="auto"/>
                <w:sz w:val="8"/>
                <w:szCs w:val="8"/>
              </w:rPr>
            </w:pPr>
          </w:p>
        </w:tc>
        <w:tc>
          <w:tcPr>
            <w:tcW w:w="1100" w:type="dxa"/>
            <w:vAlign w:val="bottom"/>
          </w:tcPr>
          <w:p>
            <w:pPr>
              <w:spacing w:after="0"/>
              <w:rPr>
                <w:color w:val="auto"/>
                <w:sz w:val="8"/>
                <w:szCs w:val="8"/>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b/>
                <w:bCs/>
                <w:color w:val="auto"/>
                <w:sz w:val="10"/>
                <w:szCs w:val="10"/>
              </w:rPr>
              <w:t>Cash fows from fnancing actvites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rPr>
                <w:color w:val="auto"/>
                <w:sz w:val="10"/>
                <w:szCs w:val="10"/>
              </w:rPr>
            </w:pP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rPr>
                <w:color w:val="auto"/>
                <w:sz w:val="10"/>
                <w:szCs w:val="10"/>
              </w:rPr>
            </w:pP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rPr>
                <w:color w:val="auto"/>
                <w:sz w:val="10"/>
                <w:szCs w:val="10"/>
              </w:rPr>
            </w:pP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Proceeds from issuance of other short-term borrowings</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5,008</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Repayments of other short-term borrowings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(5,008)</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Proceeds from issuance of long-term debt</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16,963</w:t>
            </w:r>
          </w:p>
        </w:tc>
        <w:tc>
          <w:tcPr>
            <w:tcW w:w="1000" w:type="dxa"/>
            <w:vAlign w:val="bottom"/>
          </w:tcPr>
          <w:p>
            <w:pPr>
              <w:spacing w:after="0"/>
              <w:rPr>
                <w:color w:val="auto"/>
                <w:sz w:val="9"/>
                <w:szCs w:val="9"/>
              </w:rPr>
            </w:pP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2,000</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Repayments of long-term debt and fnance lease obligatons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(9,613)</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(4,149)</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(14,433)</w:t>
            </w: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Debt issuance costs</w:t>
            </w:r>
          </w:p>
        </w:tc>
        <w:tc>
          <w:tcPr>
            <w:tcW w:w="2880" w:type="dxa"/>
            <w:vAlign w:val="bottom"/>
          </w:tcPr>
          <w:p>
            <w:pPr>
              <w:spacing w:after="0"/>
              <w:rPr>
                <w:color w:val="auto"/>
                <w:sz w:val="9"/>
                <w:szCs w:val="9"/>
              </w:rPr>
            </w:pPr>
          </w:p>
        </w:tc>
        <w:tc>
          <w:tcPr>
            <w:tcW w:w="52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(99)</w:t>
            </w:r>
          </w:p>
        </w:tc>
        <w:tc>
          <w:tcPr>
            <w:tcW w:w="1000" w:type="dxa"/>
            <w:vAlign w:val="bottom"/>
          </w:tcPr>
          <w:p>
            <w:pPr>
              <w:spacing w:after="0"/>
              <w:rPr>
                <w:color w:val="auto"/>
                <w:sz w:val="9"/>
                <w:szCs w:val="9"/>
              </w:rPr>
            </w:pPr>
          </w:p>
        </w:tc>
        <w:tc>
          <w:tcPr>
            <w:tcW w:w="5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(38)</w:t>
            </w:r>
          </w:p>
        </w:tc>
        <w:tc>
          <w:tcPr>
            <w:tcW w:w="380" w:type="dxa"/>
            <w:vAlign w:val="bottom"/>
          </w:tcPr>
          <w:p>
            <w:pPr>
              <w:spacing w:after="0"/>
              <w:rPr>
                <w:color w:val="auto"/>
                <w:sz w:val="9"/>
                <w:szCs w:val="9"/>
              </w:rPr>
            </w:pP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Dividends paid</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(11,025)</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(10,539)</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(10,043)</w:t>
            </w: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Purchases of treasury stock</w:t>
            </w:r>
          </w:p>
        </w:tc>
        <w:tc>
          <w:tcPr>
            <w:tcW w:w="2880" w:type="dxa"/>
            <w:vAlign w:val="bottom"/>
          </w:tcPr>
          <w:p>
            <w:pPr>
              <w:spacing w:after="0"/>
              <w:rPr>
                <w:color w:val="auto"/>
                <w:sz w:val="9"/>
                <w:szCs w:val="9"/>
              </w:rPr>
            </w:pPr>
          </w:p>
        </w:tc>
        <w:tc>
          <w:tcPr>
            <w:tcW w:w="52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(1,708)</w:t>
            </w:r>
          </w:p>
        </w:tc>
        <w:tc>
          <w:tcPr>
            <w:tcW w:w="1000" w:type="dxa"/>
            <w:vAlign w:val="bottom"/>
          </w:tcPr>
          <w:p>
            <w:pPr>
              <w:spacing w:after="0"/>
              <w:rPr>
                <w:color w:val="auto"/>
                <w:sz w:val="9"/>
                <w:szCs w:val="9"/>
              </w:rPr>
            </w:pPr>
          </w:p>
        </w:tc>
        <w:tc>
          <w:tcPr>
            <w:tcW w:w="5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(1,972)</w:t>
            </w:r>
          </w:p>
        </w:tc>
        <w:tc>
          <w:tcPr>
            <w:tcW w:w="380" w:type="dxa"/>
            <w:vAlign w:val="bottom"/>
          </w:tcPr>
          <w:p>
            <w:pPr>
              <w:spacing w:after="0"/>
              <w:rPr>
                <w:color w:val="auto"/>
                <w:sz w:val="9"/>
                <w:szCs w:val="9"/>
              </w:rPr>
            </w:pPr>
          </w:p>
        </w:tc>
        <w:tc>
          <w:tcPr>
            <w:tcW w:w="1100" w:type="dxa"/>
            <w:vAlign w:val="bottom"/>
          </w:tcPr>
          <w:p>
            <w:pPr>
              <w:spacing w:after="0" w:line="112" w:lineRule="exact"/>
              <w:jc w:val="right"/>
              <w:rPr>
                <w:color w:val="auto"/>
                <w:sz w:val="20"/>
                <w:szCs w:val="20"/>
              </w:rPr>
            </w:pPr>
            <w:r>
              <w:rPr>
                <w:rFonts w:ascii="Calibri" w:eastAsia="Calibri" w:hAnsi="Calibri" w:cs="Calibri"/>
                <w:color w:val="auto"/>
                <w:sz w:val="10"/>
                <w:szCs w:val="10"/>
              </w:rPr>
              <w:t>(1,487)</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Proceeds from the exercise of stock optons</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214</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180</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262</w:t>
            </w: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Payments of contngent consideraton liabilites</w:t>
            </w:r>
          </w:p>
        </w:tc>
        <w:tc>
          <w:tcPr>
            <w:tcW w:w="2880" w:type="dxa"/>
            <w:vAlign w:val="bottom"/>
          </w:tcPr>
          <w:p>
            <w:pPr>
              <w:spacing w:after="0"/>
              <w:rPr>
                <w:color w:val="auto"/>
                <w:sz w:val="9"/>
                <w:szCs w:val="9"/>
              </w:rPr>
            </w:pP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w:t>
            </w:r>
          </w:p>
        </w:tc>
        <w:tc>
          <w:tcPr>
            <w:tcW w:w="1000" w:type="dxa"/>
            <w:vAlign w:val="bottom"/>
          </w:tcPr>
          <w:p>
            <w:pPr>
              <w:spacing w:after="0"/>
              <w:rPr>
                <w:color w:val="auto"/>
                <w:sz w:val="9"/>
                <w:szCs w:val="9"/>
              </w:rPr>
            </w:pPr>
          </w:p>
        </w:tc>
        <w:tc>
          <w:tcPr>
            <w:tcW w:w="54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(752)</w:t>
            </w:r>
          </w:p>
        </w:tc>
        <w:tc>
          <w:tcPr>
            <w:tcW w:w="380" w:type="dxa"/>
            <w:vAlign w:val="bottom"/>
          </w:tcPr>
          <w:p>
            <w:pPr>
              <w:spacing w:after="0"/>
              <w:rPr>
                <w:color w:val="auto"/>
                <w:sz w:val="9"/>
                <w:szCs w:val="9"/>
              </w:rPr>
            </w:pPr>
          </w:p>
        </w:tc>
        <w:tc>
          <w:tcPr>
            <w:tcW w:w="1100" w:type="dxa"/>
            <w:vAlign w:val="bottom"/>
          </w:tcPr>
          <w:p>
            <w:pPr>
              <w:spacing w:after="0" w:line="112" w:lineRule="exact"/>
              <w:jc w:val="right"/>
              <w:rPr>
                <w:color w:val="auto"/>
                <w:sz w:val="20"/>
                <w:szCs w:val="20"/>
              </w:rPr>
            </w:pPr>
            <w:r>
              <w:rPr>
                <w:rFonts w:ascii="Calibri" w:eastAsia="Calibri" w:hAnsi="Calibri" w:cs="Calibri"/>
                <w:color w:val="auto"/>
                <w:sz w:val="10"/>
                <w:szCs w:val="10"/>
              </w:rPr>
              <w:t>(1,132)</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40"/>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Other, net</w:t>
            </w:r>
          </w:p>
        </w:tc>
        <w:tc>
          <w:tcPr>
            <w:tcW w:w="2880" w:type="dxa"/>
            <w:tcBorders>
              <w:bottom w:val="single" w:sz="8" w:space="0" w:color="CCEEFF"/>
            </w:tcBorders>
            <w:shd w:val="clear" w:color="auto" w:fill="CCEEFF"/>
            <w:vAlign w:val="bottom"/>
          </w:tcPr>
          <w:p>
            <w:pPr>
              <w:spacing w:after="0"/>
              <w:rPr>
                <w:color w:val="auto"/>
                <w:sz w:val="11"/>
                <w:szCs w:val="11"/>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57</w:t>
            </w:r>
          </w:p>
        </w:tc>
        <w:tc>
          <w:tcPr>
            <w:tcW w:w="1000" w:type="dxa"/>
            <w:tcBorders>
              <w:bottom w:val="single" w:sz="8" w:space="0" w:color="CCEEFF"/>
            </w:tcBorders>
            <w:shd w:val="clear" w:color="auto" w:fill="CCEEFF"/>
            <w:vAlign w:val="bottom"/>
          </w:tcPr>
          <w:p>
            <w:pPr>
              <w:spacing w:after="0"/>
              <w:rPr>
                <w:color w:val="auto"/>
                <w:sz w:val="11"/>
                <w:szCs w:val="11"/>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48</w:t>
            </w:r>
          </w:p>
        </w:tc>
        <w:tc>
          <w:tcPr>
            <w:tcW w:w="380" w:type="dxa"/>
            <w:tcBorders>
              <w:bottom w:val="single" w:sz="8" w:space="0" w:color="CCEEFF"/>
            </w:tcBorders>
            <w:shd w:val="clear" w:color="auto" w:fill="CCEEFF"/>
            <w:vAlign w:val="bottom"/>
          </w:tcPr>
          <w:p>
            <w:pPr>
              <w:spacing w:after="0"/>
              <w:rPr>
                <w:color w:val="auto"/>
                <w:sz w:val="11"/>
                <w:szCs w:val="11"/>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30</w:t>
            </w:r>
          </w:p>
        </w:tc>
      </w:tr>
      <w:tr>
        <w:tblPrEx>
          <w:tblInd w:w="0" w:type="dxa"/>
          <w:tblLayout w:type="fixed"/>
        </w:tblPrEx>
        <w:trPr>
          <w:trHeight w:val="101"/>
        </w:trPr>
        <w:tc>
          <w:tcPr>
            <w:tcW w:w="4860" w:type="dxa"/>
            <w:tcBorders>
              <w:top w:val="single" w:sz="8" w:space="0" w:color="auto"/>
            </w:tcBorders>
            <w:vAlign w:val="bottom"/>
          </w:tcPr>
          <w:p>
            <w:pPr>
              <w:spacing w:after="0" w:line="101" w:lineRule="exact"/>
              <w:rPr>
                <w:color w:val="auto"/>
                <w:sz w:val="20"/>
                <w:szCs w:val="20"/>
              </w:rPr>
            </w:pPr>
            <w:r>
              <w:rPr>
                <w:rFonts w:ascii="Calibri" w:eastAsia="Calibri" w:hAnsi="Calibri" w:cs="Calibri"/>
                <w:b/>
                <w:bCs/>
                <w:color w:val="auto"/>
                <w:sz w:val="10"/>
                <w:szCs w:val="10"/>
              </w:rPr>
              <w:t>Cash fows from fnancing actvites</w:t>
            </w:r>
          </w:p>
        </w:tc>
        <w:tc>
          <w:tcPr>
            <w:tcW w:w="2880" w:type="dxa"/>
            <w:tcBorders>
              <w:top w:val="single" w:sz="8" w:space="0" w:color="auto"/>
            </w:tcBorders>
            <w:vAlign w:val="bottom"/>
          </w:tcPr>
          <w:p>
            <w:pPr>
              <w:spacing w:after="0"/>
              <w:rPr>
                <w:color w:val="auto"/>
                <w:sz w:val="8"/>
                <w:szCs w:val="8"/>
              </w:rPr>
            </w:pPr>
          </w:p>
        </w:tc>
        <w:tc>
          <w:tcPr>
            <w:tcW w:w="52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(5,211)</w:t>
            </w:r>
          </w:p>
        </w:tc>
        <w:tc>
          <w:tcPr>
            <w:tcW w:w="1000" w:type="dxa"/>
            <w:tcBorders>
              <w:top w:val="single" w:sz="8" w:space="0" w:color="auto"/>
            </w:tcBorders>
            <w:vAlign w:val="bottom"/>
          </w:tcPr>
          <w:p>
            <w:pPr>
              <w:spacing w:after="0"/>
              <w:rPr>
                <w:color w:val="auto"/>
                <w:sz w:val="8"/>
                <w:szCs w:val="8"/>
              </w:rPr>
            </w:pPr>
          </w:p>
        </w:tc>
        <w:tc>
          <w:tcPr>
            <w:tcW w:w="54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(17,222)</w:t>
            </w:r>
          </w:p>
        </w:tc>
        <w:tc>
          <w:tcPr>
            <w:tcW w:w="380" w:type="dxa"/>
            <w:tcBorders>
              <w:top w:val="single" w:sz="8" w:space="0" w:color="auto"/>
            </w:tcBorders>
            <w:vAlign w:val="bottom"/>
          </w:tcPr>
          <w:p>
            <w:pPr>
              <w:spacing w:after="0"/>
              <w:rPr>
                <w:color w:val="auto"/>
                <w:sz w:val="8"/>
                <w:szCs w:val="8"/>
              </w:rPr>
            </w:pPr>
          </w:p>
        </w:tc>
        <w:tc>
          <w:tcPr>
            <w:tcW w:w="110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(24,803)</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40"/>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Efect of exchange rate changes on cash and equivalents</w:t>
            </w:r>
          </w:p>
        </w:tc>
        <w:tc>
          <w:tcPr>
            <w:tcW w:w="2880" w:type="dxa"/>
            <w:tcBorders>
              <w:bottom w:val="single" w:sz="8" w:space="0" w:color="CCEEFF"/>
            </w:tcBorders>
            <w:shd w:val="clear" w:color="auto" w:fill="CCEEFF"/>
            <w:vAlign w:val="bottom"/>
          </w:tcPr>
          <w:p>
            <w:pPr>
              <w:spacing w:after="0"/>
              <w:rPr>
                <w:color w:val="auto"/>
                <w:sz w:val="11"/>
                <w:szCs w:val="11"/>
              </w:rPr>
            </w:pPr>
          </w:p>
        </w:tc>
        <w:tc>
          <w:tcPr>
            <w:tcW w:w="52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(65)</w:t>
            </w:r>
          </w:p>
        </w:tc>
        <w:tc>
          <w:tcPr>
            <w:tcW w:w="1000" w:type="dxa"/>
            <w:tcBorders>
              <w:bottom w:val="single" w:sz="8" w:space="0" w:color="CCEEFF"/>
            </w:tcBorders>
            <w:shd w:val="clear" w:color="auto" w:fill="CCEEFF"/>
            <w:vAlign w:val="bottom"/>
          </w:tcPr>
          <w:p>
            <w:pPr>
              <w:spacing w:after="0"/>
              <w:rPr>
                <w:color w:val="auto"/>
                <w:sz w:val="11"/>
                <w:szCs w:val="11"/>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5</w:t>
            </w:r>
          </w:p>
        </w:tc>
        <w:tc>
          <w:tcPr>
            <w:tcW w:w="380" w:type="dxa"/>
            <w:tcBorders>
              <w:bottom w:val="single" w:sz="8" w:space="0" w:color="CCEEFF"/>
            </w:tcBorders>
            <w:shd w:val="clear" w:color="auto" w:fill="CCEEFF"/>
            <w:vAlign w:val="bottom"/>
          </w:tcPr>
          <w:p>
            <w:pPr>
              <w:spacing w:after="0"/>
              <w:rPr>
                <w:color w:val="auto"/>
                <w:sz w:val="11"/>
                <w:szCs w:val="11"/>
              </w:rPr>
            </w:pPr>
          </w:p>
        </w:tc>
        <w:tc>
          <w:tcPr>
            <w:tcW w:w="110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(62)</w:t>
            </w:r>
          </w:p>
        </w:tc>
      </w:tr>
      <w:tr>
        <w:tblPrEx>
          <w:tblInd w:w="0" w:type="dxa"/>
          <w:tblLayout w:type="fixed"/>
        </w:tblPrEx>
        <w:trPr>
          <w:trHeight w:val="101"/>
        </w:trPr>
        <w:tc>
          <w:tcPr>
            <w:tcW w:w="4860" w:type="dxa"/>
            <w:tcBorders>
              <w:top w:val="single" w:sz="8" w:space="0" w:color="auto"/>
            </w:tcBorders>
            <w:vAlign w:val="bottom"/>
          </w:tcPr>
          <w:p>
            <w:pPr>
              <w:spacing w:after="0" w:line="101" w:lineRule="exact"/>
              <w:rPr>
                <w:color w:val="auto"/>
                <w:sz w:val="20"/>
                <w:szCs w:val="20"/>
              </w:rPr>
            </w:pPr>
            <w:r>
              <w:rPr>
                <w:rFonts w:ascii="Calibri" w:eastAsia="Calibri" w:hAnsi="Calibri" w:cs="Calibri"/>
                <w:color w:val="auto"/>
                <w:sz w:val="10"/>
                <w:szCs w:val="10"/>
              </w:rPr>
              <w:t>Net change in cash and equivalents</w:t>
            </w:r>
          </w:p>
        </w:tc>
        <w:tc>
          <w:tcPr>
            <w:tcW w:w="2880" w:type="dxa"/>
            <w:tcBorders>
              <w:top w:val="single" w:sz="8" w:space="0" w:color="auto"/>
            </w:tcBorders>
            <w:vAlign w:val="bottom"/>
          </w:tcPr>
          <w:p>
            <w:pPr>
              <w:spacing w:after="0"/>
              <w:rPr>
                <w:color w:val="auto"/>
                <w:sz w:val="8"/>
                <w:szCs w:val="8"/>
              </w:rPr>
            </w:pPr>
          </w:p>
        </w:tc>
        <w:tc>
          <w:tcPr>
            <w:tcW w:w="520" w:type="dxa"/>
            <w:tcBorders>
              <w:top w:val="single" w:sz="8" w:space="0" w:color="auto"/>
            </w:tcBorders>
            <w:vAlign w:val="bottom"/>
          </w:tcPr>
          <w:p>
            <w:pPr>
              <w:spacing w:after="0" w:line="101" w:lineRule="exact"/>
              <w:ind w:right="12"/>
              <w:jc w:val="right"/>
              <w:rPr>
                <w:color w:val="auto"/>
                <w:sz w:val="20"/>
                <w:szCs w:val="20"/>
              </w:rPr>
            </w:pPr>
            <w:r>
              <w:rPr>
                <w:rFonts w:ascii="Calibri" w:eastAsia="Calibri" w:hAnsi="Calibri" w:cs="Calibri"/>
                <w:color w:val="auto"/>
                <w:sz w:val="10"/>
                <w:szCs w:val="10"/>
              </w:rPr>
              <w:t>(7,290)</w:t>
            </w:r>
          </w:p>
        </w:tc>
        <w:tc>
          <w:tcPr>
            <w:tcW w:w="1000" w:type="dxa"/>
            <w:tcBorders>
              <w:top w:val="single" w:sz="8" w:space="0" w:color="auto"/>
            </w:tcBorders>
            <w:vAlign w:val="bottom"/>
          </w:tcPr>
          <w:p>
            <w:pPr>
              <w:spacing w:after="0"/>
              <w:rPr>
                <w:color w:val="auto"/>
                <w:sz w:val="8"/>
                <w:szCs w:val="8"/>
              </w:rPr>
            </w:pPr>
          </w:p>
        </w:tc>
        <w:tc>
          <w:tcPr>
            <w:tcW w:w="540" w:type="dxa"/>
            <w:tcBorders>
              <w:top w:val="single" w:sz="8" w:space="0" w:color="auto"/>
            </w:tcBorders>
            <w:vAlign w:val="bottom"/>
          </w:tcPr>
          <w:p>
            <w:pPr>
              <w:spacing w:after="0" w:line="101" w:lineRule="exact"/>
              <w:ind w:right="52"/>
              <w:jc w:val="right"/>
              <w:rPr>
                <w:color w:val="auto"/>
                <w:sz w:val="20"/>
                <w:szCs w:val="20"/>
              </w:rPr>
            </w:pPr>
            <w:r>
              <w:rPr>
                <w:rFonts w:ascii="Calibri" w:eastAsia="Calibri" w:hAnsi="Calibri" w:cs="Calibri"/>
                <w:color w:val="auto"/>
                <w:sz w:val="10"/>
                <w:szCs w:val="10"/>
              </w:rPr>
              <w:t>3,613</w:t>
            </w:r>
          </w:p>
        </w:tc>
        <w:tc>
          <w:tcPr>
            <w:tcW w:w="380" w:type="dxa"/>
            <w:tcBorders>
              <w:top w:val="single" w:sz="8" w:space="0" w:color="auto"/>
            </w:tcBorders>
            <w:vAlign w:val="bottom"/>
          </w:tcPr>
          <w:p>
            <w:pPr>
              <w:spacing w:after="0"/>
              <w:rPr>
                <w:color w:val="auto"/>
                <w:sz w:val="8"/>
                <w:szCs w:val="8"/>
              </w:rPr>
            </w:pPr>
          </w:p>
        </w:tc>
        <w:tc>
          <w:tcPr>
            <w:tcW w:w="1100" w:type="dxa"/>
            <w:tcBorders>
              <w:top w:val="single" w:sz="8" w:space="0" w:color="auto"/>
            </w:tcBorders>
            <w:vAlign w:val="bottom"/>
          </w:tcPr>
          <w:p>
            <w:pPr>
              <w:spacing w:after="0" w:line="101" w:lineRule="exact"/>
              <w:jc w:val="right"/>
              <w:rPr>
                <w:color w:val="auto"/>
                <w:sz w:val="20"/>
                <w:szCs w:val="20"/>
              </w:rPr>
            </w:pPr>
            <w:r>
              <w:rPr>
                <w:rFonts w:ascii="Calibri" w:eastAsia="Calibri" w:hAnsi="Calibri" w:cs="Calibri"/>
                <w:color w:val="auto"/>
                <w:sz w:val="10"/>
                <w:szCs w:val="10"/>
              </w:rPr>
              <w:t>(545)</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40"/>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Cash and equivalents, beginning of year</w:t>
            </w:r>
          </w:p>
        </w:tc>
        <w:tc>
          <w:tcPr>
            <w:tcW w:w="2880" w:type="dxa"/>
            <w:tcBorders>
              <w:bottom w:val="single" w:sz="8" w:space="0" w:color="CCEEFF"/>
            </w:tcBorders>
            <w:shd w:val="clear" w:color="auto" w:fill="CCEEFF"/>
            <w:vAlign w:val="bottom"/>
          </w:tcPr>
          <w:p>
            <w:pPr>
              <w:spacing w:after="0"/>
              <w:rPr>
                <w:color w:val="auto"/>
                <w:sz w:val="11"/>
                <w:szCs w:val="11"/>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12,814</w:t>
            </w:r>
          </w:p>
        </w:tc>
        <w:tc>
          <w:tcPr>
            <w:tcW w:w="1000" w:type="dxa"/>
            <w:tcBorders>
              <w:bottom w:val="single" w:sz="8" w:space="0" w:color="CCEEFF"/>
            </w:tcBorders>
            <w:shd w:val="clear" w:color="auto" w:fill="CCEEFF"/>
            <w:vAlign w:val="bottom"/>
          </w:tcPr>
          <w:p>
            <w:pPr>
              <w:spacing w:after="0"/>
              <w:rPr>
                <w:color w:val="auto"/>
                <w:sz w:val="11"/>
                <w:szCs w:val="11"/>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9,201</w:t>
            </w:r>
          </w:p>
        </w:tc>
        <w:tc>
          <w:tcPr>
            <w:tcW w:w="380" w:type="dxa"/>
            <w:tcBorders>
              <w:bottom w:val="single" w:sz="8" w:space="0" w:color="CCEEFF"/>
            </w:tcBorders>
            <w:shd w:val="clear" w:color="auto" w:fill="CCEEFF"/>
            <w:vAlign w:val="bottom"/>
          </w:tcPr>
          <w:p>
            <w:pPr>
              <w:spacing w:after="0"/>
              <w:rPr>
                <w:color w:val="auto"/>
                <w:sz w:val="11"/>
                <w:szCs w:val="11"/>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9,746</w:t>
            </w:r>
          </w:p>
        </w:tc>
      </w:tr>
      <w:tr>
        <w:tblPrEx>
          <w:tblInd w:w="0" w:type="dxa"/>
          <w:tblLayout w:type="fixed"/>
        </w:tblPrEx>
        <w:trPr>
          <w:trHeight w:val="79"/>
        </w:trPr>
        <w:tc>
          <w:tcPr>
            <w:tcW w:w="4860" w:type="dxa"/>
            <w:tcBorders>
              <w:top w:val="single" w:sz="8" w:space="0" w:color="auto"/>
              <w:bottom w:val="single" w:sz="8" w:space="0" w:color="auto"/>
            </w:tcBorders>
            <w:vAlign w:val="bottom"/>
          </w:tcPr>
          <w:p>
            <w:pPr>
              <w:spacing w:after="0"/>
              <w:rPr>
                <w:color w:val="auto"/>
                <w:sz w:val="6"/>
                <w:szCs w:val="6"/>
              </w:rPr>
            </w:pPr>
          </w:p>
        </w:tc>
        <w:tc>
          <w:tcPr>
            <w:tcW w:w="2880" w:type="dxa"/>
            <w:tcBorders>
              <w:top w:val="single" w:sz="8" w:space="0" w:color="auto"/>
              <w:bottom w:val="single" w:sz="8" w:space="0" w:color="auto"/>
            </w:tcBorders>
            <w:vAlign w:val="bottom"/>
          </w:tcPr>
          <w:p>
            <w:pPr>
              <w:spacing w:after="0"/>
              <w:rPr>
                <w:color w:val="auto"/>
                <w:sz w:val="6"/>
                <w:szCs w:val="6"/>
              </w:rPr>
            </w:pPr>
          </w:p>
        </w:tc>
        <w:tc>
          <w:tcPr>
            <w:tcW w:w="520" w:type="dxa"/>
            <w:tcBorders>
              <w:top w:val="single" w:sz="8" w:space="0" w:color="auto"/>
              <w:bottom w:val="single" w:sz="8" w:space="0" w:color="auto"/>
            </w:tcBorders>
            <w:vAlign w:val="bottom"/>
          </w:tcPr>
          <w:p>
            <w:pPr>
              <w:spacing w:after="0"/>
              <w:rPr>
                <w:color w:val="auto"/>
                <w:sz w:val="6"/>
                <w:szCs w:val="6"/>
              </w:rPr>
            </w:pPr>
          </w:p>
        </w:tc>
        <w:tc>
          <w:tcPr>
            <w:tcW w:w="1000" w:type="dxa"/>
            <w:tcBorders>
              <w:top w:val="single" w:sz="8" w:space="0" w:color="auto"/>
              <w:bottom w:val="single" w:sz="8" w:space="0" w:color="auto"/>
            </w:tcBorders>
            <w:vAlign w:val="bottom"/>
          </w:tcPr>
          <w:p>
            <w:pPr>
              <w:spacing w:after="0"/>
              <w:rPr>
                <w:color w:val="auto"/>
                <w:sz w:val="6"/>
                <w:szCs w:val="6"/>
              </w:rPr>
            </w:pPr>
          </w:p>
        </w:tc>
        <w:tc>
          <w:tcPr>
            <w:tcW w:w="540" w:type="dxa"/>
            <w:tcBorders>
              <w:top w:val="single" w:sz="8" w:space="0" w:color="auto"/>
              <w:bottom w:val="single" w:sz="8" w:space="0" w:color="auto"/>
            </w:tcBorders>
            <w:vAlign w:val="bottom"/>
          </w:tcPr>
          <w:p>
            <w:pPr>
              <w:spacing w:after="0"/>
              <w:rPr>
                <w:color w:val="auto"/>
                <w:sz w:val="6"/>
                <w:szCs w:val="6"/>
              </w:rPr>
            </w:pPr>
          </w:p>
        </w:tc>
        <w:tc>
          <w:tcPr>
            <w:tcW w:w="380" w:type="dxa"/>
            <w:tcBorders>
              <w:top w:val="single" w:sz="8" w:space="0" w:color="auto"/>
              <w:bottom w:val="single" w:sz="8" w:space="0" w:color="auto"/>
            </w:tcBorders>
            <w:vAlign w:val="bottom"/>
          </w:tcPr>
          <w:p>
            <w:pPr>
              <w:spacing w:after="0"/>
              <w:rPr>
                <w:color w:val="auto"/>
                <w:sz w:val="6"/>
                <w:szCs w:val="6"/>
              </w:rPr>
            </w:pPr>
          </w:p>
        </w:tc>
        <w:tc>
          <w:tcPr>
            <w:tcW w:w="1100" w:type="dxa"/>
            <w:tcBorders>
              <w:top w:val="single" w:sz="8" w:space="0" w:color="auto"/>
              <w:bottom w:val="single" w:sz="8" w:space="0" w:color="auto"/>
            </w:tcBorders>
            <w:vAlign w:val="bottom"/>
          </w:tcPr>
          <w:p>
            <w:pPr>
              <w:spacing w:after="0"/>
              <w:rPr>
                <w:color w:val="auto"/>
                <w:sz w:val="6"/>
                <w:szCs w:val="6"/>
              </w:rPr>
            </w:pPr>
          </w:p>
        </w:tc>
      </w:tr>
      <w:tr>
        <w:tblPrEx>
          <w:tblInd w:w="0" w:type="dxa"/>
          <w:tblLayout w:type="fixed"/>
        </w:tblPrEx>
        <w:trPr>
          <w:trHeight w:val="145"/>
        </w:trPr>
        <w:tc>
          <w:tcPr>
            <w:tcW w:w="486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b/>
                <w:bCs/>
                <w:color w:val="auto"/>
                <w:sz w:val="10"/>
                <w:szCs w:val="10"/>
              </w:rPr>
              <w:t>Cash and equivalents, end of year</w:t>
            </w:r>
          </w:p>
        </w:tc>
        <w:tc>
          <w:tcPr>
            <w:tcW w:w="2880" w:type="dxa"/>
            <w:tcBorders>
              <w:bottom w:val="single" w:sz="8" w:space="0" w:color="CCEEFF"/>
            </w:tcBorders>
            <w:shd w:val="clear" w:color="auto" w:fill="CCEEFF"/>
            <w:vAlign w:val="bottom"/>
          </w:tcPr>
          <w:p>
            <w:pPr>
              <w:spacing w:after="0" w:line="101" w:lineRule="exact"/>
              <w:ind w:right="832"/>
              <w:jc w:val="right"/>
              <w:rPr>
                <w:color w:val="auto"/>
                <w:sz w:val="20"/>
                <w:szCs w:val="20"/>
              </w:rPr>
            </w:pPr>
            <w:r>
              <w:rPr>
                <w:rFonts w:ascii="Calibri" w:eastAsia="Calibri" w:hAnsi="Calibri" w:cs="Calibri"/>
                <w:color w:val="auto"/>
                <w:sz w:val="10"/>
                <w:szCs w:val="10"/>
              </w:rPr>
              <w:t>$</w:t>
            </w:r>
          </w:p>
        </w:tc>
        <w:tc>
          <w:tcPr>
            <w:tcW w:w="520" w:type="dxa"/>
            <w:tcBorders>
              <w:bottom w:val="single" w:sz="8" w:space="0" w:color="CCEEFF"/>
            </w:tcBorders>
            <w:shd w:val="clear" w:color="auto" w:fill="CCEEFF"/>
            <w:vAlign w:val="bottom"/>
          </w:tcPr>
          <w:p>
            <w:pPr>
              <w:spacing w:after="0" w:line="101" w:lineRule="exact"/>
              <w:ind w:right="32"/>
              <w:jc w:val="right"/>
              <w:rPr>
                <w:color w:val="auto"/>
                <w:sz w:val="20"/>
                <w:szCs w:val="20"/>
              </w:rPr>
            </w:pPr>
            <w:r>
              <w:rPr>
                <w:rFonts w:ascii="Calibri" w:eastAsia="Calibri" w:hAnsi="Calibri" w:cs="Calibri"/>
                <w:color w:val="auto"/>
                <w:sz w:val="10"/>
                <w:szCs w:val="10"/>
              </w:rPr>
              <w:t>5,524</w:t>
            </w:r>
          </w:p>
        </w:tc>
        <w:tc>
          <w:tcPr>
            <w:tcW w:w="1000" w:type="dxa"/>
            <w:tcBorders>
              <w:bottom w:val="single" w:sz="8" w:space="0" w:color="CCEEFF"/>
            </w:tcBorders>
            <w:shd w:val="clear" w:color="auto" w:fill="CCEEFF"/>
            <w:vAlign w:val="bottom"/>
          </w:tcPr>
          <w:p>
            <w:pPr>
              <w:spacing w:after="0" w:line="101" w:lineRule="exact"/>
              <w:ind w:right="832"/>
              <w:jc w:val="right"/>
              <w:rPr>
                <w:color w:val="auto"/>
                <w:sz w:val="20"/>
                <w:szCs w:val="20"/>
              </w:rPr>
            </w:pPr>
            <w:r>
              <w:rPr>
                <w:rFonts w:ascii="Calibri" w:eastAsia="Calibri" w:hAnsi="Calibri" w:cs="Calibri"/>
                <w:color w:val="auto"/>
                <w:sz w:val="10"/>
                <w:szCs w:val="10"/>
              </w:rPr>
              <w:t>$</w:t>
            </w:r>
          </w:p>
        </w:tc>
        <w:tc>
          <w:tcPr>
            <w:tcW w:w="540" w:type="dxa"/>
            <w:tcBorders>
              <w:bottom w:val="single" w:sz="8" w:space="0" w:color="CCEEFF"/>
            </w:tcBorders>
            <w:shd w:val="clear" w:color="auto" w:fill="CCEEFF"/>
            <w:vAlign w:val="bottom"/>
          </w:tcPr>
          <w:p>
            <w:pPr>
              <w:spacing w:after="0" w:line="101" w:lineRule="exact"/>
              <w:ind w:right="52"/>
              <w:jc w:val="right"/>
              <w:rPr>
                <w:color w:val="auto"/>
                <w:sz w:val="20"/>
                <w:szCs w:val="20"/>
              </w:rPr>
            </w:pPr>
            <w:r>
              <w:rPr>
                <w:rFonts w:ascii="Calibri" w:eastAsia="Calibri" w:hAnsi="Calibri" w:cs="Calibri"/>
                <w:color w:val="auto"/>
                <w:sz w:val="10"/>
                <w:szCs w:val="10"/>
              </w:rPr>
              <w:t>12,814</w:t>
            </w:r>
          </w:p>
        </w:tc>
        <w:tc>
          <w:tcPr>
            <w:tcW w:w="380" w:type="dxa"/>
            <w:tcBorders>
              <w:bottom w:val="single" w:sz="8" w:space="0" w:color="CCEEFF"/>
            </w:tcBorders>
            <w:shd w:val="clear" w:color="auto" w:fill="CCEEFF"/>
            <w:vAlign w:val="bottom"/>
          </w:tcPr>
          <w:p>
            <w:pPr>
              <w:spacing w:after="0" w:line="101" w:lineRule="exact"/>
              <w:ind w:right="232"/>
              <w:jc w:val="right"/>
              <w:rPr>
                <w:color w:val="auto"/>
                <w:sz w:val="20"/>
                <w:szCs w:val="20"/>
              </w:rPr>
            </w:pPr>
            <w:r>
              <w:rPr>
                <w:rFonts w:ascii="Calibri" w:eastAsia="Calibri" w:hAnsi="Calibri" w:cs="Calibri"/>
                <w:color w:val="auto"/>
                <w:sz w:val="10"/>
                <w:szCs w:val="10"/>
              </w:rPr>
              <w:t>$</w:t>
            </w:r>
          </w:p>
        </w:tc>
        <w:tc>
          <w:tcPr>
            <w:tcW w:w="1100" w:type="dxa"/>
            <w:tcBorders>
              <w:bottom w:val="single" w:sz="8" w:space="0" w:color="CCEEFF"/>
            </w:tcBorders>
            <w:shd w:val="clear" w:color="auto" w:fill="CCEEFF"/>
            <w:vAlign w:val="bottom"/>
          </w:tcPr>
          <w:p>
            <w:pPr>
              <w:spacing w:after="0" w:line="101" w:lineRule="exact"/>
              <w:ind w:right="12"/>
              <w:jc w:val="right"/>
              <w:rPr>
                <w:color w:val="auto"/>
                <w:sz w:val="20"/>
                <w:szCs w:val="20"/>
              </w:rPr>
            </w:pPr>
            <w:r>
              <w:rPr>
                <w:rFonts w:ascii="Calibri" w:eastAsia="Calibri" w:hAnsi="Calibri" w:cs="Calibri"/>
                <w:color w:val="auto"/>
                <w:sz w:val="10"/>
                <w:szCs w:val="10"/>
              </w:rPr>
              <w:t>9,201</w:t>
            </w:r>
          </w:p>
        </w:tc>
      </w:tr>
      <w:tr>
        <w:tblPrEx>
          <w:tblInd w:w="0" w:type="dxa"/>
          <w:tblLayout w:type="fixed"/>
        </w:tblPrEx>
        <w:trPr>
          <w:trHeight w:val="81"/>
        </w:trPr>
        <w:tc>
          <w:tcPr>
            <w:tcW w:w="4860" w:type="dxa"/>
            <w:tcBorders>
              <w:top w:val="single" w:sz="8" w:space="0" w:color="auto"/>
            </w:tcBorders>
            <w:vAlign w:val="bottom"/>
          </w:tcPr>
          <w:p>
            <w:pPr>
              <w:spacing w:after="0"/>
              <w:rPr>
                <w:color w:val="auto"/>
                <w:sz w:val="7"/>
                <w:szCs w:val="7"/>
              </w:rPr>
            </w:pPr>
          </w:p>
        </w:tc>
        <w:tc>
          <w:tcPr>
            <w:tcW w:w="2880" w:type="dxa"/>
            <w:tcBorders>
              <w:top w:val="single" w:sz="8" w:space="0" w:color="auto"/>
            </w:tcBorders>
            <w:vAlign w:val="bottom"/>
          </w:tcPr>
          <w:p>
            <w:pPr>
              <w:spacing w:after="0"/>
              <w:rPr>
                <w:color w:val="auto"/>
                <w:sz w:val="7"/>
                <w:szCs w:val="7"/>
              </w:rPr>
            </w:pPr>
          </w:p>
        </w:tc>
        <w:tc>
          <w:tcPr>
            <w:tcW w:w="520" w:type="dxa"/>
            <w:tcBorders>
              <w:top w:val="single" w:sz="8" w:space="0" w:color="auto"/>
            </w:tcBorders>
            <w:vAlign w:val="bottom"/>
          </w:tcPr>
          <w:p>
            <w:pPr>
              <w:spacing w:after="0"/>
              <w:rPr>
                <w:color w:val="auto"/>
                <w:sz w:val="7"/>
                <w:szCs w:val="7"/>
              </w:rPr>
            </w:pPr>
          </w:p>
        </w:tc>
        <w:tc>
          <w:tcPr>
            <w:tcW w:w="1000" w:type="dxa"/>
            <w:tcBorders>
              <w:top w:val="single" w:sz="8" w:space="0" w:color="auto"/>
            </w:tcBorders>
            <w:vAlign w:val="bottom"/>
          </w:tcPr>
          <w:p>
            <w:pPr>
              <w:spacing w:after="0"/>
              <w:rPr>
                <w:color w:val="auto"/>
                <w:sz w:val="7"/>
                <w:szCs w:val="7"/>
              </w:rPr>
            </w:pPr>
          </w:p>
        </w:tc>
        <w:tc>
          <w:tcPr>
            <w:tcW w:w="540" w:type="dxa"/>
            <w:tcBorders>
              <w:top w:val="single" w:sz="8" w:space="0" w:color="auto"/>
            </w:tcBorders>
            <w:vAlign w:val="bottom"/>
          </w:tcPr>
          <w:p>
            <w:pPr>
              <w:spacing w:after="0"/>
              <w:rPr>
                <w:color w:val="auto"/>
                <w:sz w:val="7"/>
                <w:szCs w:val="7"/>
              </w:rPr>
            </w:pPr>
          </w:p>
        </w:tc>
        <w:tc>
          <w:tcPr>
            <w:tcW w:w="380" w:type="dxa"/>
            <w:tcBorders>
              <w:top w:val="single" w:sz="8" w:space="0" w:color="auto"/>
            </w:tcBorders>
            <w:vAlign w:val="bottom"/>
          </w:tcPr>
          <w:p>
            <w:pPr>
              <w:spacing w:after="0"/>
              <w:rPr>
                <w:color w:val="auto"/>
                <w:sz w:val="7"/>
                <w:szCs w:val="7"/>
              </w:rPr>
            </w:pPr>
          </w:p>
        </w:tc>
        <w:tc>
          <w:tcPr>
            <w:tcW w:w="1100" w:type="dxa"/>
            <w:tcBorders>
              <w:top w:val="single" w:sz="8" w:space="0" w:color="auto"/>
            </w:tcBorders>
            <w:vAlign w:val="bottom"/>
          </w:tcPr>
          <w:p>
            <w:pPr>
              <w:spacing w:after="0"/>
              <w:rPr>
                <w:color w:val="auto"/>
                <w:sz w:val="7"/>
                <w:szCs w:val="7"/>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b/>
                <w:bCs/>
                <w:color w:val="auto"/>
                <w:sz w:val="10"/>
                <w:szCs w:val="10"/>
              </w:rPr>
              <w:t>Other supplemental informaton</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rPr>
                <w:color w:val="auto"/>
                <w:sz w:val="10"/>
                <w:szCs w:val="10"/>
              </w:rPr>
            </w:pP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rPr>
                <w:color w:val="auto"/>
                <w:sz w:val="10"/>
                <w:szCs w:val="10"/>
              </w:rPr>
            </w:pP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rPr>
                <w:color w:val="auto"/>
                <w:sz w:val="10"/>
                <w:szCs w:val="10"/>
              </w:rPr>
            </w:pPr>
          </w:p>
        </w:tc>
      </w:tr>
      <w:tr>
        <w:tblPrEx>
          <w:tblInd w:w="0" w:type="dxa"/>
          <w:tblLayout w:type="fixed"/>
        </w:tblPrEx>
        <w:trPr>
          <w:trHeight w:val="112"/>
        </w:trPr>
        <w:tc>
          <w:tcPr>
            <w:tcW w:w="4860" w:type="dxa"/>
            <w:vAlign w:val="bottom"/>
          </w:tcPr>
          <w:p>
            <w:pPr>
              <w:spacing w:after="0" w:line="112" w:lineRule="exact"/>
              <w:rPr>
                <w:color w:val="auto"/>
                <w:sz w:val="20"/>
                <w:szCs w:val="20"/>
              </w:rPr>
            </w:pPr>
            <w:r>
              <w:rPr>
                <w:rFonts w:ascii="Calibri" w:eastAsia="Calibri" w:hAnsi="Calibri" w:cs="Calibri"/>
                <w:color w:val="auto"/>
                <w:sz w:val="10"/>
                <w:szCs w:val="10"/>
              </w:rPr>
              <w:t>Interest paid, net of porton capitalized</w:t>
            </w:r>
          </w:p>
        </w:tc>
        <w:tc>
          <w:tcPr>
            <w:tcW w:w="2880" w:type="dxa"/>
            <w:vAlign w:val="bottom"/>
          </w:tcPr>
          <w:p>
            <w:pPr>
              <w:spacing w:after="0" w:line="112" w:lineRule="exact"/>
              <w:ind w:right="832"/>
              <w:jc w:val="right"/>
              <w:rPr>
                <w:color w:val="auto"/>
                <w:sz w:val="20"/>
                <w:szCs w:val="20"/>
              </w:rPr>
            </w:pPr>
            <w:r>
              <w:rPr>
                <w:rFonts w:ascii="Calibri" w:eastAsia="Calibri" w:hAnsi="Calibri" w:cs="Calibri"/>
                <w:color w:val="auto"/>
                <w:sz w:val="10"/>
                <w:szCs w:val="10"/>
              </w:rPr>
              <w:t>$</w:t>
            </w:r>
          </w:p>
        </w:tc>
        <w:tc>
          <w:tcPr>
            <w:tcW w:w="520" w:type="dxa"/>
            <w:vAlign w:val="bottom"/>
          </w:tcPr>
          <w:p>
            <w:pPr>
              <w:spacing w:after="0" w:line="112" w:lineRule="exact"/>
              <w:ind w:right="32"/>
              <w:jc w:val="right"/>
              <w:rPr>
                <w:color w:val="auto"/>
                <w:sz w:val="20"/>
                <w:szCs w:val="20"/>
              </w:rPr>
            </w:pPr>
            <w:r>
              <w:rPr>
                <w:rFonts w:ascii="Calibri" w:eastAsia="Calibri" w:hAnsi="Calibri" w:cs="Calibri"/>
                <w:color w:val="auto"/>
                <w:sz w:val="10"/>
                <w:szCs w:val="10"/>
              </w:rPr>
              <w:t>2,811</w:t>
            </w:r>
          </w:p>
        </w:tc>
        <w:tc>
          <w:tcPr>
            <w:tcW w:w="1000" w:type="dxa"/>
            <w:vAlign w:val="bottom"/>
          </w:tcPr>
          <w:p>
            <w:pPr>
              <w:spacing w:after="0" w:line="112" w:lineRule="exact"/>
              <w:ind w:right="832"/>
              <w:jc w:val="right"/>
              <w:rPr>
                <w:color w:val="auto"/>
                <w:sz w:val="20"/>
                <w:szCs w:val="20"/>
              </w:rPr>
            </w:pPr>
            <w:r>
              <w:rPr>
                <w:rFonts w:ascii="Calibri" w:eastAsia="Calibri" w:hAnsi="Calibri" w:cs="Calibri"/>
                <w:color w:val="auto"/>
                <w:sz w:val="10"/>
                <w:szCs w:val="10"/>
              </w:rPr>
              <w:t>$</w:t>
            </w:r>
          </w:p>
        </w:tc>
        <w:tc>
          <w:tcPr>
            <w:tcW w:w="540" w:type="dxa"/>
            <w:vAlign w:val="bottom"/>
          </w:tcPr>
          <w:p>
            <w:pPr>
              <w:spacing w:after="0" w:line="112" w:lineRule="exact"/>
              <w:ind w:right="52"/>
              <w:jc w:val="right"/>
              <w:rPr>
                <w:color w:val="auto"/>
                <w:sz w:val="20"/>
                <w:szCs w:val="20"/>
              </w:rPr>
            </w:pPr>
            <w:r>
              <w:rPr>
                <w:rFonts w:ascii="Calibri" w:eastAsia="Calibri" w:hAnsi="Calibri" w:cs="Calibri"/>
                <w:color w:val="auto"/>
                <w:sz w:val="10"/>
                <w:szCs w:val="10"/>
              </w:rPr>
              <w:t>2,469</w:t>
            </w:r>
          </w:p>
        </w:tc>
        <w:tc>
          <w:tcPr>
            <w:tcW w:w="380" w:type="dxa"/>
            <w:vAlign w:val="bottom"/>
          </w:tcPr>
          <w:p>
            <w:pPr>
              <w:spacing w:after="0" w:line="112" w:lineRule="exact"/>
              <w:ind w:right="232"/>
              <w:jc w:val="right"/>
              <w:rPr>
                <w:color w:val="auto"/>
                <w:sz w:val="20"/>
                <w:szCs w:val="20"/>
              </w:rPr>
            </w:pPr>
            <w:r>
              <w:rPr>
                <w:rFonts w:ascii="Calibri" w:eastAsia="Calibri" w:hAnsi="Calibri" w:cs="Calibri"/>
                <w:color w:val="auto"/>
                <w:sz w:val="10"/>
                <w:szCs w:val="10"/>
              </w:rPr>
              <w:t>$</w:t>
            </w:r>
          </w:p>
        </w:tc>
        <w:tc>
          <w:tcPr>
            <w:tcW w:w="1100" w:type="dxa"/>
            <w:vAlign w:val="bottom"/>
          </w:tcPr>
          <w:p>
            <w:pPr>
              <w:spacing w:after="0" w:line="112" w:lineRule="exact"/>
              <w:ind w:right="12"/>
              <w:jc w:val="right"/>
              <w:rPr>
                <w:color w:val="auto"/>
                <w:sz w:val="20"/>
                <w:szCs w:val="20"/>
              </w:rPr>
            </w:pPr>
            <w:r>
              <w:rPr>
                <w:rFonts w:ascii="Calibri" w:eastAsia="Calibri" w:hAnsi="Calibri" w:cs="Calibri"/>
                <w:color w:val="auto"/>
                <w:sz w:val="10"/>
                <w:szCs w:val="10"/>
              </w:rPr>
              <w:t>2,546</w:t>
            </w:r>
          </w:p>
        </w:tc>
      </w:tr>
      <w:tr>
        <w:tblPrEx>
          <w:tblInd w:w="0" w:type="dxa"/>
          <w:tblLayout w:type="fixed"/>
        </w:tblPrEx>
        <w:trPr>
          <w:trHeight w:val="23"/>
        </w:trPr>
        <w:tc>
          <w:tcPr>
            <w:tcW w:w="4860" w:type="dxa"/>
            <w:vAlign w:val="bottom"/>
          </w:tcPr>
          <w:p>
            <w:pPr>
              <w:spacing w:after="0"/>
              <w:rPr>
                <w:color w:val="auto"/>
                <w:sz w:val="2"/>
                <w:szCs w:val="2"/>
              </w:rPr>
            </w:pPr>
          </w:p>
        </w:tc>
        <w:tc>
          <w:tcPr>
            <w:tcW w:w="2880" w:type="dxa"/>
            <w:vAlign w:val="bottom"/>
          </w:tcPr>
          <w:p>
            <w:pPr>
              <w:spacing w:after="0"/>
              <w:rPr>
                <w:color w:val="auto"/>
                <w:sz w:val="2"/>
                <w:szCs w:val="2"/>
              </w:rPr>
            </w:pPr>
          </w:p>
        </w:tc>
        <w:tc>
          <w:tcPr>
            <w:tcW w:w="520" w:type="dxa"/>
            <w:vAlign w:val="bottom"/>
          </w:tcPr>
          <w:p>
            <w:pPr>
              <w:spacing w:after="0"/>
              <w:rPr>
                <w:color w:val="auto"/>
                <w:sz w:val="2"/>
                <w:szCs w:val="2"/>
              </w:rPr>
            </w:pPr>
          </w:p>
        </w:tc>
        <w:tc>
          <w:tcPr>
            <w:tcW w:w="1000" w:type="dxa"/>
            <w:vAlign w:val="bottom"/>
          </w:tcPr>
          <w:p>
            <w:pPr>
              <w:spacing w:after="0"/>
              <w:rPr>
                <w:color w:val="auto"/>
                <w:sz w:val="2"/>
                <w:szCs w:val="2"/>
              </w:rPr>
            </w:pPr>
          </w:p>
        </w:tc>
        <w:tc>
          <w:tcPr>
            <w:tcW w:w="540" w:type="dxa"/>
            <w:vAlign w:val="bottom"/>
          </w:tcPr>
          <w:p>
            <w:pPr>
              <w:spacing w:after="0"/>
              <w:rPr>
                <w:color w:val="auto"/>
                <w:sz w:val="2"/>
                <w:szCs w:val="2"/>
              </w:rPr>
            </w:pPr>
          </w:p>
        </w:tc>
        <w:tc>
          <w:tcPr>
            <w:tcW w:w="380" w:type="dxa"/>
            <w:vAlign w:val="bottom"/>
          </w:tcPr>
          <w:p>
            <w:pPr>
              <w:spacing w:after="0"/>
              <w:rPr>
                <w:color w:val="auto"/>
                <w:sz w:val="2"/>
                <w:szCs w:val="2"/>
              </w:rPr>
            </w:pPr>
          </w:p>
        </w:tc>
        <w:tc>
          <w:tcPr>
            <w:tcW w:w="1100" w:type="dxa"/>
            <w:vAlign w:val="bottom"/>
          </w:tcPr>
          <w:p>
            <w:pPr>
              <w:spacing w:after="0"/>
              <w:rPr>
                <w:color w:val="auto"/>
                <w:sz w:val="2"/>
                <w:szCs w:val="2"/>
              </w:rPr>
            </w:pPr>
          </w:p>
        </w:tc>
      </w:tr>
      <w:tr>
        <w:tblPrEx>
          <w:tblInd w:w="0" w:type="dxa"/>
          <w:tblLayout w:type="fixed"/>
        </w:tblPrEx>
        <w:trPr>
          <w:trHeight w:val="115"/>
        </w:trPr>
        <w:tc>
          <w:tcPr>
            <w:tcW w:w="486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Income taxes paid</w:t>
            </w:r>
          </w:p>
        </w:tc>
        <w:tc>
          <w:tcPr>
            <w:tcW w:w="2880" w:type="dxa"/>
            <w:tcBorders>
              <w:bottom w:val="single" w:sz="8" w:space="0" w:color="CCEEFF"/>
            </w:tcBorders>
            <w:shd w:val="clear" w:color="auto" w:fill="CCEEFF"/>
            <w:vAlign w:val="bottom"/>
          </w:tcPr>
          <w:p>
            <w:pPr>
              <w:spacing w:after="0"/>
              <w:rPr>
                <w:color w:val="auto"/>
                <w:sz w:val="10"/>
                <w:szCs w:val="10"/>
              </w:rPr>
            </w:pPr>
          </w:p>
        </w:tc>
        <w:tc>
          <w:tcPr>
            <w:tcW w:w="520" w:type="dxa"/>
            <w:tcBorders>
              <w:bottom w:val="single" w:sz="8" w:space="0" w:color="CCEEFF"/>
            </w:tcBorders>
            <w:shd w:val="clear" w:color="auto" w:fill="CCEEFF"/>
            <w:vAlign w:val="bottom"/>
          </w:tcPr>
          <w:p>
            <w:pPr>
              <w:spacing w:after="0" w:line="112" w:lineRule="exact"/>
              <w:ind w:right="32"/>
              <w:jc w:val="right"/>
              <w:rPr>
                <w:color w:val="auto"/>
                <w:sz w:val="20"/>
                <w:szCs w:val="20"/>
              </w:rPr>
            </w:pPr>
            <w:r>
              <w:rPr>
                <w:rFonts w:ascii="Calibri" w:eastAsia="Calibri" w:hAnsi="Calibri" w:cs="Calibri"/>
                <w:color w:val="auto"/>
                <w:sz w:val="10"/>
                <w:szCs w:val="10"/>
              </w:rPr>
              <w:t>4,064</w:t>
            </w:r>
          </w:p>
        </w:tc>
        <w:tc>
          <w:tcPr>
            <w:tcW w:w="1000" w:type="dxa"/>
            <w:tcBorders>
              <w:bottom w:val="single" w:sz="8" w:space="0" w:color="CCEEFF"/>
            </w:tcBorders>
            <w:shd w:val="clear" w:color="auto" w:fill="CCEEFF"/>
            <w:vAlign w:val="bottom"/>
          </w:tcPr>
          <w:p>
            <w:pPr>
              <w:spacing w:after="0"/>
              <w:rPr>
                <w:color w:val="auto"/>
                <w:sz w:val="10"/>
                <w:szCs w:val="10"/>
              </w:rPr>
            </w:pPr>
          </w:p>
        </w:tc>
        <w:tc>
          <w:tcPr>
            <w:tcW w:w="540" w:type="dxa"/>
            <w:tcBorders>
              <w:bottom w:val="single" w:sz="8" w:space="0" w:color="CCEEFF"/>
            </w:tcBorders>
            <w:shd w:val="clear" w:color="auto" w:fill="CCEEFF"/>
            <w:vAlign w:val="bottom"/>
          </w:tcPr>
          <w:p>
            <w:pPr>
              <w:spacing w:after="0" w:line="112" w:lineRule="exact"/>
              <w:ind w:right="52"/>
              <w:jc w:val="right"/>
              <w:rPr>
                <w:color w:val="auto"/>
                <w:sz w:val="20"/>
                <w:szCs w:val="20"/>
              </w:rPr>
            </w:pPr>
            <w:r>
              <w:rPr>
                <w:rFonts w:ascii="Calibri" w:eastAsia="Calibri" w:hAnsi="Calibri" w:cs="Calibri"/>
                <w:color w:val="auto"/>
                <w:sz w:val="10"/>
                <w:szCs w:val="10"/>
              </w:rPr>
              <w:t>4,702</w:t>
            </w:r>
          </w:p>
        </w:tc>
        <w:tc>
          <w:tcPr>
            <w:tcW w:w="380" w:type="dxa"/>
            <w:tcBorders>
              <w:bottom w:val="single" w:sz="8" w:space="0" w:color="CCEEFF"/>
            </w:tcBorders>
            <w:shd w:val="clear" w:color="auto" w:fill="CCEEFF"/>
            <w:vAlign w:val="bottom"/>
          </w:tcPr>
          <w:p>
            <w:pPr>
              <w:spacing w:after="0"/>
              <w:rPr>
                <w:color w:val="auto"/>
                <w:sz w:val="10"/>
                <w:szCs w:val="10"/>
              </w:rPr>
            </w:pPr>
          </w:p>
        </w:tc>
        <w:tc>
          <w:tcPr>
            <w:tcW w:w="1100" w:type="dxa"/>
            <w:tcBorders>
              <w:bottom w:val="single" w:sz="8" w:space="0" w:color="CCEEFF"/>
            </w:tcBorders>
            <w:shd w:val="clear" w:color="auto" w:fill="CCEEFF"/>
            <w:vAlign w:val="bottom"/>
          </w:tcPr>
          <w:p>
            <w:pPr>
              <w:spacing w:after="0" w:line="112" w:lineRule="exact"/>
              <w:ind w:right="12"/>
              <w:jc w:val="right"/>
              <w:rPr>
                <w:color w:val="auto"/>
                <w:sz w:val="20"/>
                <w:szCs w:val="20"/>
              </w:rPr>
            </w:pPr>
            <w:r>
              <w:rPr>
                <w:rFonts w:ascii="Calibri" w:eastAsia="Calibri" w:hAnsi="Calibri" w:cs="Calibri"/>
                <w:color w:val="auto"/>
                <w:sz w:val="10"/>
                <w:szCs w:val="10"/>
              </w:rPr>
              <w:t>2,988</w:t>
            </w:r>
          </w:p>
        </w:tc>
      </w:tr>
      <w:tr>
        <w:tblPrEx>
          <w:tblInd w:w="0" w:type="dxa"/>
          <w:tblLayout w:type="fixed"/>
        </w:tblPrEx>
        <w:trPr>
          <w:trHeight w:val="20"/>
        </w:trPr>
        <w:tc>
          <w:tcPr>
            <w:tcW w:w="4860" w:type="dxa"/>
            <w:shd w:val="clear" w:color="auto" w:fill="000000"/>
            <w:vAlign w:val="bottom"/>
          </w:tcPr>
          <w:p>
            <w:pPr>
              <w:spacing w:after="0" w:line="20" w:lineRule="exact"/>
              <w:rPr>
                <w:color w:val="auto"/>
                <w:sz w:val="1"/>
                <w:szCs w:val="1"/>
              </w:rPr>
            </w:pPr>
          </w:p>
        </w:tc>
        <w:tc>
          <w:tcPr>
            <w:tcW w:w="2880" w:type="dxa"/>
            <w:shd w:val="clear" w:color="auto" w:fill="000000"/>
            <w:vAlign w:val="bottom"/>
          </w:tcPr>
          <w:p>
            <w:pPr>
              <w:spacing w:after="0" w:line="20" w:lineRule="exact"/>
              <w:rPr>
                <w:color w:val="auto"/>
                <w:sz w:val="1"/>
                <w:szCs w:val="1"/>
              </w:rPr>
            </w:pPr>
          </w:p>
        </w:tc>
        <w:tc>
          <w:tcPr>
            <w:tcW w:w="520" w:type="dxa"/>
            <w:shd w:val="clear" w:color="auto" w:fill="000000"/>
            <w:vAlign w:val="bottom"/>
          </w:tcPr>
          <w:p>
            <w:pPr>
              <w:spacing w:after="0" w:line="20" w:lineRule="exact"/>
              <w:rPr>
                <w:color w:val="auto"/>
                <w:sz w:val="1"/>
                <w:szCs w:val="1"/>
              </w:rPr>
            </w:pPr>
          </w:p>
        </w:tc>
        <w:tc>
          <w:tcPr>
            <w:tcW w:w="1000" w:type="dxa"/>
            <w:shd w:val="clear" w:color="auto" w:fill="000000"/>
            <w:vAlign w:val="bottom"/>
          </w:tcPr>
          <w:p>
            <w:pPr>
              <w:spacing w:after="0" w:line="20" w:lineRule="exact"/>
              <w:rPr>
                <w:color w:val="auto"/>
                <w:sz w:val="1"/>
                <w:szCs w:val="1"/>
              </w:rPr>
            </w:pPr>
          </w:p>
        </w:tc>
        <w:tc>
          <w:tcPr>
            <w:tcW w:w="540" w:type="dxa"/>
            <w:shd w:val="clear" w:color="auto" w:fill="000000"/>
            <w:vAlign w:val="bottom"/>
          </w:tcPr>
          <w:p>
            <w:pPr>
              <w:spacing w:after="0" w:line="20" w:lineRule="exact"/>
              <w:rPr>
                <w:color w:val="auto"/>
                <w:sz w:val="1"/>
                <w:szCs w:val="1"/>
              </w:rPr>
            </w:pPr>
          </w:p>
        </w:tc>
        <w:tc>
          <w:tcPr>
            <w:tcW w:w="380" w:type="dxa"/>
            <w:shd w:val="clear" w:color="auto" w:fill="000000"/>
            <w:vAlign w:val="bottom"/>
          </w:tcPr>
          <w:p>
            <w:pPr>
              <w:spacing w:after="0" w:line="20" w:lineRule="exact"/>
              <w:rPr>
                <w:color w:val="auto"/>
                <w:sz w:val="1"/>
                <w:szCs w:val="1"/>
              </w:rPr>
            </w:pPr>
          </w:p>
        </w:tc>
        <w:tc>
          <w:tcPr>
            <w:tcW w:w="1100" w:type="dxa"/>
            <w:shd w:val="clear" w:color="auto" w:fill="000000"/>
            <w:vAlign w:val="bottom"/>
          </w:tcPr>
          <w:p>
            <w:pPr>
              <w:spacing w:after="0" w:line="20" w:lineRule="exact"/>
              <w:rPr>
                <w:color w:val="auto"/>
                <w:sz w:val="1"/>
                <w:szCs w:val="1"/>
              </w:rPr>
            </w:pPr>
          </w:p>
        </w:tc>
      </w:tr>
    </w:tbl>
    <w:p>
      <w:pPr>
        <w:spacing w:after="0" w:line="98" w:lineRule="exact"/>
        <w:rPr>
          <w:color w:val="auto"/>
          <w:sz w:val="20"/>
          <w:szCs w:val="20"/>
        </w:rPr>
      </w:pPr>
    </w:p>
    <w:p>
      <w:pPr>
        <w:spacing w:after="0"/>
        <w:jc w:val="center"/>
        <w:rPr>
          <w:color w:val="auto"/>
          <w:sz w:val="20"/>
          <w:szCs w:val="20"/>
        </w:rPr>
      </w:pPr>
      <w:r>
        <w:rPr>
          <w:rFonts w:ascii="Calibri" w:eastAsia="Calibri" w:hAnsi="Calibri" w:cs="Calibri"/>
          <w:color w:val="auto"/>
          <w:sz w:val="10"/>
          <w:szCs w:val="10"/>
        </w:rPr>
        <w:t>The accompanying notes are an integral part of these consolidated fnancial statements.</w:t>
      </w:r>
    </w:p>
    <w:p>
      <w:pPr>
        <w:spacing w:after="0" w:line="111"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55</w:t>
      </w:r>
      <w:r>
        <w:rPr>
          <w:color w:val="auto"/>
          <w:sz w:val="20"/>
          <w:szCs w:val="20"/>
        </w:rPr>
        <w:tab/>
      </w:r>
      <w:r>
        <w:rPr>
          <w:color w:val="auto"/>
          <w:sz w:val="1"/>
          <w:szCs w:val="1"/>
        </w:rPr>
        <w:drawing>
          <wp:inline distT="0" distB="0" distL="0" distR="0">
            <wp:extent cx="400050" cy="7429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799552" behindDoc="1" locked="0" layoutInCell="0" allowOverlap="1">
            <wp:simplePos x="0" y="0"/>
            <wp:positionH relativeFrom="column">
              <wp:posOffset>-17145</wp:posOffset>
            </wp:positionH>
            <wp:positionV relativeFrom="paragraph">
              <wp:posOffset>133985</wp:posOffset>
            </wp:positionV>
            <wp:extent cx="7203440" cy="3683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660" w:right="319" w:bottom="1440" w:left="300" w:header="0" w:footer="0" w:gutter="0"/>
          <w:cols w:num="1" w:space="720" w:equalWidth="0">
            <w:col w:w="11280" w:space="0"/>
          </w:cols>
        </w:sectPr>
      </w:pPr>
    </w:p>
    <w:bookmarkStart w:id="57" w:name="page58"/>
    <w:bookmarkEnd w:id="57"/>
    <w:p>
      <w:pPr>
        <w:spacing w:after="0"/>
        <w:rPr>
          <w:color w:val="auto"/>
          <w:sz w:val="20"/>
          <w:szCs w:val="20"/>
        </w:rPr>
      </w:pPr>
      <w:r>
        <w:rPr>
          <w:rFonts w:ascii="Calibri" w:eastAsia="Calibri" w:hAnsi="Calibri" w:cs="Calibri"/>
          <w:b/>
          <w:bCs/>
          <w:color w:val="444867"/>
          <w:sz w:val="14"/>
          <w:szCs w:val="14"/>
        </w:rPr>
        <w:t>AbbVie Inc. and Subsidiaries</w:t>
      </w:r>
    </w:p>
    <w:p>
      <w:pPr>
        <w:spacing w:after="0"/>
        <w:rPr>
          <w:color w:val="auto"/>
          <w:sz w:val="20"/>
          <w:szCs w:val="20"/>
        </w:rPr>
      </w:pPr>
      <w:r>
        <w:rPr>
          <w:rFonts w:ascii="Calibri" w:eastAsia="Calibri" w:hAnsi="Calibri" w:cs="Calibri"/>
          <w:b/>
          <w:bCs/>
          <w:color w:val="444867"/>
          <w:sz w:val="14"/>
          <w:szCs w:val="14"/>
        </w:rPr>
        <w:t>Notes to Consolidated Financial Statements</w:t>
      </w:r>
    </w:p>
    <w:p>
      <w:pPr>
        <w:spacing w:after="0" w:line="144"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1 Background</w:t>
      </w:r>
    </w:p>
    <w:p>
      <w:pPr>
        <w:spacing w:after="0" w:line="20" w:lineRule="exact"/>
        <w:rPr>
          <w:color w:val="auto"/>
          <w:sz w:val="20"/>
          <w:szCs w:val="20"/>
        </w:rPr>
      </w:pPr>
      <w:r>
        <w:rPr>
          <w:color w:val="auto"/>
          <w:sz w:val="20"/>
          <w:szCs w:val="20"/>
        </w:rPr>
        <w:drawing>
          <wp:anchor simplePos="0" relativeHeight="251800576" behindDoc="1" locked="0" layoutInCell="0" allowOverlap="1">
            <wp:simplePos x="0" y="0"/>
            <wp:positionH relativeFrom="column">
              <wp:posOffset>-4445</wp:posOffset>
            </wp:positionH>
            <wp:positionV relativeFrom="paragraph">
              <wp:posOffset>29845</wp:posOffset>
            </wp:positionV>
            <wp:extent cx="7166610" cy="571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Background</w:t>
      </w:r>
    </w:p>
    <w:p>
      <w:pPr>
        <w:spacing w:after="0" w:line="101" w:lineRule="exact"/>
        <w:rPr>
          <w:color w:val="auto"/>
          <w:sz w:val="20"/>
          <w:szCs w:val="20"/>
        </w:rPr>
      </w:pPr>
    </w:p>
    <w:p>
      <w:pPr>
        <w:spacing w:after="0" w:line="235" w:lineRule="auto"/>
        <w:ind w:right="140" w:firstLine="297"/>
        <w:rPr>
          <w:color w:val="auto"/>
          <w:sz w:val="20"/>
          <w:szCs w:val="20"/>
        </w:rPr>
      </w:pPr>
      <w:r>
        <w:rPr>
          <w:rFonts w:ascii="Calibri" w:eastAsia="Calibri" w:hAnsi="Calibri" w:cs="Calibri"/>
          <w:color w:val="auto"/>
          <w:sz w:val="12"/>
          <w:szCs w:val="12"/>
        </w:rPr>
        <w:t>The principal business of AbbVie Inc. (AbbVie or the company) is the discovery, development, manufacturing and sale of a broad line of therapies that address some of the world's most complex and serious diseases. AbbVie's products are generally sold worldwide directly to wholesalers, distributors, government agencies, health care facilites, specialty pharmacies and independent retailers from AbbVie-owned distributon centers and public warehouses. Certain products (including aesthetc products and devices) are also sold directly to physicians and other licensed healthcare providers. In the United States, AbbVie distributes pharmaceutcal products principally through independent wholesale distributors, with some sales directly to retailers, pharmacies, patents or other customers. Outside the United States, AbbVie sells products primarily to wholesalers or through distributors, and depending on the market works through largely centralized natonal payers systems to agree on reimbursement terms.</w:t>
      </w:r>
    </w:p>
    <w:p>
      <w:pPr>
        <w:spacing w:after="0" w:line="93" w:lineRule="exact"/>
        <w:rPr>
          <w:color w:val="auto"/>
          <w:sz w:val="20"/>
          <w:szCs w:val="20"/>
        </w:rPr>
      </w:pPr>
    </w:p>
    <w:p>
      <w:pPr>
        <w:spacing w:after="0" w:line="234" w:lineRule="auto"/>
        <w:ind w:right="360" w:firstLine="297"/>
        <w:rPr>
          <w:color w:val="auto"/>
          <w:sz w:val="20"/>
          <w:szCs w:val="20"/>
        </w:rPr>
      </w:pPr>
      <w:r>
        <w:rPr>
          <w:rFonts w:ascii="Calibri" w:eastAsia="Calibri" w:hAnsi="Calibri" w:cs="Calibri"/>
          <w:color w:val="auto"/>
          <w:sz w:val="12"/>
          <w:szCs w:val="12"/>
        </w:rPr>
        <w:t>AbbVie was incorporated in Delaware on April 10, 2012. On January 1, 2013, AbbVie became an independent, publicly-traded company as a result of the distributon by Abbot Laboratories (Abbot) of 100% of the outstanding common stock of AbbVie to Abbot's shareholders.</w:t>
      </w:r>
    </w:p>
    <w:p>
      <w:pPr>
        <w:spacing w:after="0" w:line="101" w:lineRule="exact"/>
        <w:rPr>
          <w:color w:val="auto"/>
          <w:sz w:val="20"/>
          <w:szCs w:val="20"/>
        </w:rPr>
      </w:pPr>
    </w:p>
    <w:p>
      <w:pPr>
        <w:spacing w:after="0" w:line="234" w:lineRule="auto"/>
        <w:ind w:right="460" w:firstLine="270"/>
        <w:rPr>
          <w:color w:val="auto"/>
          <w:sz w:val="20"/>
          <w:szCs w:val="20"/>
        </w:rPr>
      </w:pPr>
      <w:r>
        <w:rPr>
          <w:rFonts w:ascii="Calibri" w:eastAsia="Calibri" w:hAnsi="Calibri" w:cs="Calibri"/>
          <w:color w:val="auto"/>
          <w:sz w:val="12"/>
          <w:szCs w:val="12"/>
        </w:rPr>
        <w:t>AbbVie completed its previously announced acquisitons of ImmunoGen, Inc. (ImmunoGen) on February 12, 2024 and Cerevel Therapeutcs Holdings, Inc. (Cerevel Therapeutcs) on August 1, 2024. See Note 5 and Note 10 for additonal informaton regarding these acquisitons.</w:t>
      </w:r>
    </w:p>
    <w:p>
      <w:pPr>
        <w:spacing w:after="0" w:line="14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2 Summary of Signifcant Accountng Policies</w:t>
      </w:r>
    </w:p>
    <w:p>
      <w:pPr>
        <w:spacing w:after="0" w:line="20" w:lineRule="exact"/>
        <w:rPr>
          <w:color w:val="auto"/>
          <w:sz w:val="20"/>
          <w:szCs w:val="20"/>
        </w:rPr>
      </w:pPr>
      <w:r>
        <w:rPr>
          <w:color w:val="auto"/>
          <w:sz w:val="20"/>
          <w:szCs w:val="20"/>
        </w:rPr>
        <w:drawing>
          <wp:anchor simplePos="0" relativeHeight="251801600" behindDoc="1" locked="0" layoutInCell="0" allowOverlap="1">
            <wp:simplePos x="0" y="0"/>
            <wp:positionH relativeFrom="column">
              <wp:posOffset>-4445</wp:posOffset>
            </wp:positionH>
            <wp:positionV relativeFrom="paragraph">
              <wp:posOffset>24130</wp:posOffset>
            </wp:positionV>
            <wp:extent cx="7166610" cy="5715"/>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Use of Estmates</w:t>
      </w:r>
    </w:p>
    <w:p>
      <w:pPr>
        <w:spacing w:after="0" w:line="101" w:lineRule="exact"/>
        <w:rPr>
          <w:color w:val="auto"/>
          <w:sz w:val="20"/>
          <w:szCs w:val="20"/>
        </w:rPr>
      </w:pPr>
    </w:p>
    <w:p>
      <w:pPr>
        <w:spacing w:after="0" w:line="234" w:lineRule="auto"/>
        <w:ind w:right="200" w:firstLine="297"/>
        <w:rPr>
          <w:color w:val="auto"/>
          <w:sz w:val="20"/>
          <w:szCs w:val="20"/>
        </w:rPr>
      </w:pPr>
      <w:r>
        <w:rPr>
          <w:rFonts w:ascii="Calibri" w:eastAsia="Calibri" w:hAnsi="Calibri" w:cs="Calibri"/>
          <w:color w:val="auto"/>
          <w:sz w:val="12"/>
          <w:szCs w:val="12"/>
        </w:rPr>
        <w:t>The consolidated fnancial statements have been prepared in accordance with U.S. generally accepted accountng principles (GAAP) and necessarily include amounts based on estmates and assumptons by management. Actual results could difer from those amounts. Signifcant estmates include amounts for rebates, pension and other post-employment benefts, income taxes, litgaton, valuaton of goodwill and intangible assets and contngent consideraton liabilites.</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Basis of Consolidaton</w:t>
      </w:r>
    </w:p>
    <w:p>
      <w:pPr>
        <w:spacing w:after="0" w:line="92"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The consolidated fnancial statements include the accounts of AbbVie and all of its subsidiaries in which a controlling interest is maintained. Controlling interest is determined by majority ownership interest and the absence of substantve third-party partcipatng rights or, in the case of variable interest enttes, where AbbVie is determined to be the primary benefciary. Investments in companies over which AbbVie has a signifcant infuence but not a controlling interest are accounted for using the equity method with AbbVie's share of earnings or losses reported in other expense, net in the consolidated statements of earnings. Intercompany balances and transactons are eliminated. Certain reclassifcatons have been made to conform the prior period consolidated fnancial statements to the current period presentaton.</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Revenue Recogniton</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AbbVie recognizes revenue when control of promised goods or services is transferred to the company’s customers, in an amount that refects the consideraton AbbVie expects to be enttled to in exchange for those goods or services. Sales, value add and other taxes collected concurrent with revenue-producing actvites are excluded from revenue. AbbVie generates revenue primarily from product sales. For the majority of sales, the company transfers control, invoices the customer and recognizes revenue upon shipment to the customer. The company recognizes shipping and handling costs as an expense in cost of products sold when the company transfers control to the customer. Payment terms vary depending on the type and locaton of the customer, are based on customary commercial terms and are generally less than one year. AbbVie does not adjust revenue for the efects of a signifcant fnancing component for contracts where AbbVie expects the period between the transfer of the good or service and collecton to be one year or less.</w:t>
      </w:r>
    </w:p>
    <w:p>
      <w:pPr>
        <w:spacing w:after="0" w:line="93" w:lineRule="exact"/>
        <w:rPr>
          <w:color w:val="auto"/>
          <w:sz w:val="20"/>
          <w:szCs w:val="20"/>
        </w:rPr>
      </w:pPr>
    </w:p>
    <w:p>
      <w:pPr>
        <w:spacing w:after="0" w:line="234" w:lineRule="auto"/>
        <w:ind w:right="220" w:firstLine="297"/>
        <w:rPr>
          <w:color w:val="auto"/>
          <w:sz w:val="20"/>
          <w:szCs w:val="20"/>
        </w:rPr>
      </w:pPr>
      <w:r>
        <w:rPr>
          <w:rFonts w:ascii="Calibri" w:eastAsia="Calibri" w:hAnsi="Calibri" w:cs="Calibri"/>
          <w:color w:val="auto"/>
          <w:sz w:val="12"/>
          <w:szCs w:val="12"/>
        </w:rPr>
        <w:t>Cash discounts, rebates and chargebacks, sales incentves, product returns and certain other adjustments are accounted for as variable consideraton. Provisions for variable consideraton are based on current pricing, executed contracts, government pricing legislaton and historical data and are provided for in the period the related revenues are recorded. Rebate amounts are typically based upon the volume of purchases using contractual or statutory prices, which may vary by</w:t>
      </w:r>
    </w:p>
    <w:p>
      <w:pPr>
        <w:spacing w:after="0" w:line="20" w:lineRule="exact"/>
        <w:rPr>
          <w:color w:val="auto"/>
          <w:sz w:val="20"/>
          <w:szCs w:val="20"/>
        </w:rPr>
      </w:pPr>
      <w:r>
        <w:rPr>
          <w:color w:val="auto"/>
          <w:sz w:val="20"/>
          <w:szCs w:val="20"/>
        </w:rPr>
        <w:drawing>
          <wp:anchor simplePos="0" relativeHeight="251802624" behindDoc="1" locked="0" layoutInCell="0" allowOverlap="1">
            <wp:simplePos x="0" y="0"/>
            <wp:positionH relativeFrom="column">
              <wp:posOffset>6475730</wp:posOffset>
            </wp:positionH>
            <wp:positionV relativeFrom="paragraph">
              <wp:posOffset>251460</wp:posOffset>
            </wp:positionV>
            <wp:extent cx="400050" cy="7429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56</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03648" behindDoc="1" locked="0" layoutInCell="0" allowOverlap="1">
            <wp:simplePos x="0" y="0"/>
            <wp:positionH relativeFrom="column">
              <wp:posOffset>7154545</wp:posOffset>
            </wp:positionH>
            <wp:positionV relativeFrom="paragraph">
              <wp:posOffset>-23495</wp:posOffset>
            </wp:positionV>
            <wp:extent cx="31115" cy="3683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04672" behindDoc="1" locked="0" layoutInCell="0" allowOverlap="1">
            <wp:simplePos x="0" y="0"/>
            <wp:positionH relativeFrom="column">
              <wp:posOffset>-17145</wp:posOffset>
            </wp:positionH>
            <wp:positionV relativeFrom="paragraph">
              <wp:posOffset>-23495</wp:posOffset>
            </wp:positionV>
            <wp:extent cx="31115" cy="3683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58" w:name="page59"/>
    <w:bookmarkEnd w:id="58"/>
    <w:p>
      <w:pPr>
        <w:spacing w:after="0" w:line="234" w:lineRule="auto"/>
        <w:ind w:right="100"/>
        <w:rPr>
          <w:color w:val="auto"/>
          <w:sz w:val="20"/>
          <w:szCs w:val="20"/>
        </w:rPr>
      </w:pPr>
      <w:r>
        <w:rPr>
          <w:rFonts w:ascii="Calibri" w:eastAsia="Calibri" w:hAnsi="Calibri" w:cs="Calibri"/>
          <w:color w:val="auto"/>
          <w:sz w:val="12"/>
          <w:szCs w:val="12"/>
        </w:rPr>
        <w:t>product and by payer. For each type of rebate, factors used in the calculaton of the accrual include the identfcaton of the products subject to the rebate, the applicable price terms and the estmated lag tme between sale and payment of the rebate, which can be signifcant.</w:t>
      </w:r>
    </w:p>
    <w:p>
      <w:pPr>
        <w:spacing w:after="0" w:line="92" w:lineRule="exact"/>
        <w:rPr>
          <w:color w:val="auto"/>
          <w:sz w:val="20"/>
          <w:szCs w:val="20"/>
        </w:rPr>
      </w:pPr>
    </w:p>
    <w:p>
      <w:pPr>
        <w:spacing w:after="0"/>
        <w:ind w:left="280"/>
        <w:rPr>
          <w:color w:val="auto"/>
          <w:sz w:val="20"/>
          <w:szCs w:val="20"/>
        </w:rPr>
      </w:pPr>
      <w:r>
        <w:rPr>
          <w:rFonts w:ascii="Calibri" w:eastAsia="Calibri" w:hAnsi="Calibri" w:cs="Calibri"/>
          <w:color w:val="auto"/>
          <w:sz w:val="11"/>
          <w:szCs w:val="11"/>
        </w:rPr>
        <w:t>In additon to revenue from contracts with customers, the company also recognizes certain collaboraton revenues. See Note 6 for additonal informaton related to the collaboratons with Janssen Biotech, Inc. and Genentech, Inc.</w:t>
      </w:r>
    </w:p>
    <w:p>
      <w:pPr>
        <w:spacing w:after="0" w:line="5" w:lineRule="exact"/>
        <w:rPr>
          <w:color w:val="auto"/>
          <w:sz w:val="20"/>
          <w:szCs w:val="20"/>
        </w:rPr>
      </w:pPr>
    </w:p>
    <w:p>
      <w:pPr>
        <w:spacing w:after="0"/>
        <w:rPr>
          <w:color w:val="auto"/>
          <w:sz w:val="20"/>
          <w:szCs w:val="20"/>
        </w:rPr>
      </w:pPr>
      <w:r>
        <w:rPr>
          <w:rFonts w:ascii="Calibri" w:eastAsia="Calibri" w:hAnsi="Calibri" w:cs="Calibri"/>
          <w:color w:val="auto"/>
          <w:sz w:val="12"/>
          <w:szCs w:val="12"/>
        </w:rPr>
        <w:t>Additonally, see Note 16 for disaggregaton of revenue by product and geography.</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Research and Development Expenses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Internal R&amp;D costs are expensed as incurred. Clinical trial costs incurred by third partes are expensed as the contracted work is performed.</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Acquired IPR&amp;D and Milestones Expenses</w:t>
      </w:r>
    </w:p>
    <w:p>
      <w:pPr>
        <w:spacing w:after="0" w:line="101" w:lineRule="exact"/>
        <w:rPr>
          <w:color w:val="auto"/>
          <w:sz w:val="20"/>
          <w:szCs w:val="20"/>
        </w:rPr>
      </w:pPr>
    </w:p>
    <w:p>
      <w:pPr>
        <w:spacing w:after="0" w:line="261" w:lineRule="auto"/>
        <w:ind w:right="20" w:firstLine="297"/>
        <w:rPr>
          <w:color w:val="auto"/>
          <w:sz w:val="20"/>
          <w:szCs w:val="20"/>
        </w:rPr>
      </w:pPr>
      <w:r>
        <w:rPr>
          <w:rFonts w:ascii="Calibri" w:eastAsia="Calibri" w:hAnsi="Calibri" w:cs="Calibri"/>
          <w:color w:val="auto"/>
          <w:sz w:val="11"/>
          <w:szCs w:val="11"/>
        </w:rPr>
        <w:t>In an asset acquisiton, payments incurred prior to regulatory approval to acquire rights to in-process R&amp;D projects are expensed as acquired IPR&amp;D and milestones expense in the consolidated statements of earnings unless the project has an alternatve future use. These costs include upfront and development milestone payments related to R&amp;D collaboratons, licensing arrangements, or other asset acquisitons that provide rights to develop, manufacture and/or sell pharmaceutcal products. Where contngent development milestone payments are due to third partes, prior to regulatory approval, the payment obligatons are expensed when the milestone results are achieved. Regulatory and commercial milestone payments made to third partes subsequent to regulatory approval are capitalized as intangible assets and amortzed to cost of products sold over the remaining useful life of the related product.</w:t>
      </w:r>
    </w:p>
    <w:p>
      <w:pPr>
        <w:spacing w:after="0" w:line="86"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Business Combinatons</w:t>
      </w:r>
    </w:p>
    <w:p>
      <w:pPr>
        <w:spacing w:after="0" w:line="92"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AbbVie utlizes the acquisiton method of accountng for business combinatons. This method requires, among other things, that results of operatons of acquired companies are included in AbbVie's results of operatons beginning on the acquisiton date and that assets acquired and liabilites assumed are recognized at fair value as of the acquisiton date. Any excess of the fair value of consideraton transferred over the fair value of the net assets acquired is recognized as goodwill. Contngent consideraton liabilites are recognized at the estmated fair value on the acquisiton date. Subsequent changes to the fair value of contngent consideraton liabilites are recognized in other expense, net in the consolidated statements of earnings. The fair value of assets acquired and liabilites assumed in certain cases may be subject to revision based on the fnal determinaton of fair value during a period of tme not to exceed 12 months from the acquisiton date. Legal costs, due diligence costs, business valuaton costs and all other business acquisiton costs are expensed when incurred.</w:t>
      </w:r>
    </w:p>
    <w:p>
      <w:pPr>
        <w:spacing w:after="0" w:line="102"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In a business combinaton, the fair value of IPR&amp;D projects acquired is capitalized and accounted for as indefnite-lived intangible assets untl the underlying project receives regulatory approval, at which point the intangible asset will be accounted for as a defnite-lived intangible asset, or discontnuaton, at which point the intangible asset will be writen of. R&amp;D costs incurred by the company afer the acquisiton are expensed to R&amp;D as incurred.</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Collaboratons and Other Arrangements</w:t>
      </w:r>
    </w:p>
    <w:p>
      <w:pPr>
        <w:spacing w:after="0" w:line="92"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The company enters into collaboratve agreements with third partes to develop and commercialize drug candidates. Collaboratve actvites may include joint research and development and commercializaton of new products. AbbVie generally receives certain licensing rights under these arrangements. These collaboratons ofen require upfront payments and may include additonal milestone, research and development cost sharing, royalty or proft share payments, contngent upon the occurrence of certain future events linked to the success of the asset in development and commercializaton. Upfront payments associated with collaboratve arrangements and subsequent payments made to the partner for the achievement of development milestones prior to regulatory approval are expensed to acquired IPR&amp;D and milestones expense in the consolidated statements of earnings. Regulatory and commercial milestone payments made to the partner subsequent to regulatory approval are capitalized as intangible assets and amortzed to cost of products sold over the estmated useful life of the related asset. Royaltes are expensed to cost of products sold in the consolidated statements of earnings when incurred.</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Advertsing</w:t>
      </w:r>
    </w:p>
    <w:p>
      <w:pPr>
        <w:spacing w:after="0" w:line="101" w:lineRule="exact"/>
        <w:rPr>
          <w:color w:val="auto"/>
          <w:sz w:val="20"/>
          <w:szCs w:val="20"/>
        </w:rPr>
      </w:pPr>
    </w:p>
    <w:p>
      <w:pPr>
        <w:spacing w:after="0" w:line="234" w:lineRule="auto"/>
        <w:ind w:right="280" w:firstLine="297"/>
        <w:rPr>
          <w:color w:val="auto"/>
          <w:sz w:val="20"/>
          <w:szCs w:val="20"/>
        </w:rPr>
      </w:pPr>
      <w:r>
        <w:rPr>
          <w:rFonts w:ascii="Calibri" w:eastAsia="Calibri" w:hAnsi="Calibri" w:cs="Calibri"/>
          <w:color w:val="auto"/>
          <w:sz w:val="12"/>
          <w:szCs w:val="12"/>
        </w:rPr>
        <w:t>Costs associated with advertsing are expensed as incurred and are included in selling, general and administratve (SG&amp;A) expense in the consolidated statements of earnings. Advertsing expenses were $2.1 billion in 2024, $2.2 billion in 2023 and $2.0 billion in 2022.</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57</w:t>
      </w:r>
      <w:r>
        <w:rPr>
          <w:color w:val="auto"/>
          <w:sz w:val="20"/>
          <w:szCs w:val="20"/>
        </w:rPr>
        <w:tab/>
      </w:r>
      <w:r>
        <w:rPr>
          <w:color w:val="auto"/>
          <w:sz w:val="1"/>
          <w:szCs w:val="1"/>
        </w:rPr>
        <w:drawing>
          <wp:inline distT="0" distB="0" distL="0" distR="0">
            <wp:extent cx="400050" cy="7429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05696" behindDoc="1" locked="0" layoutInCell="0" allowOverlap="1">
            <wp:simplePos x="0" y="0"/>
            <wp:positionH relativeFrom="column">
              <wp:posOffset>-17145</wp:posOffset>
            </wp:positionH>
            <wp:positionV relativeFrom="paragraph">
              <wp:posOffset>128270</wp:posOffset>
            </wp:positionV>
            <wp:extent cx="7203440" cy="3683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59" w:name="page60"/>
    <w:bookmarkEnd w:id="59"/>
    <w:p>
      <w:pPr>
        <w:spacing w:after="0"/>
        <w:rPr>
          <w:color w:val="auto"/>
          <w:sz w:val="20"/>
          <w:szCs w:val="20"/>
        </w:rPr>
      </w:pPr>
      <w:r>
        <w:rPr>
          <w:rFonts w:ascii="Calibri" w:eastAsia="Calibri" w:hAnsi="Calibri" w:cs="Calibri"/>
          <w:b/>
          <w:bCs/>
          <w:color w:val="444867"/>
          <w:sz w:val="12"/>
          <w:szCs w:val="12"/>
        </w:rPr>
        <w:t>Pension and Other Post-Employment Benefts</w:t>
      </w:r>
    </w:p>
    <w:p>
      <w:pPr>
        <w:spacing w:after="0" w:line="101" w:lineRule="exact"/>
        <w:rPr>
          <w:color w:val="auto"/>
          <w:sz w:val="20"/>
          <w:szCs w:val="20"/>
        </w:rPr>
      </w:pPr>
    </w:p>
    <w:p>
      <w:pPr>
        <w:spacing w:after="0" w:line="235" w:lineRule="auto"/>
        <w:ind w:right="180" w:firstLine="297"/>
        <w:rPr>
          <w:color w:val="auto"/>
          <w:sz w:val="20"/>
          <w:szCs w:val="20"/>
        </w:rPr>
      </w:pPr>
      <w:r>
        <w:rPr>
          <w:rFonts w:ascii="Calibri" w:eastAsia="Calibri" w:hAnsi="Calibri" w:cs="Calibri"/>
          <w:color w:val="auto"/>
          <w:sz w:val="12"/>
          <w:szCs w:val="12"/>
        </w:rPr>
        <w:t>AbbVie records annual expenses relatng to its defned beneft pension and other post-employment beneft plans based on calculatons which utlize various actuarial assumptons including discount rates, rates of return on assets, compensaton increases, turnover rates and health care cost trend rates. AbbVie reviews its actuarial assumptons on an annual basis and makes modifcatons to the assumptons based on current rates and trends. Actuarial gains and losses are deferred in accumulated other comprehensive income (loss) (AOCI), net of tax and are amortzed over the remaining service atributon periods of the employees under the corridor method. Diferences between the expected long-term return on plan assets and the actual annual return are generally amortzed to net periodic beneft cost over a fve-year period.</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Income Taxes</w:t>
      </w:r>
    </w:p>
    <w:p>
      <w:pPr>
        <w:spacing w:after="0" w:line="92" w:lineRule="exact"/>
        <w:rPr>
          <w:color w:val="auto"/>
          <w:sz w:val="20"/>
          <w:szCs w:val="20"/>
        </w:rPr>
      </w:pPr>
    </w:p>
    <w:p>
      <w:pPr>
        <w:spacing w:after="0" w:line="234" w:lineRule="auto"/>
        <w:ind w:right="240" w:firstLine="297"/>
        <w:rPr>
          <w:color w:val="auto"/>
          <w:sz w:val="20"/>
          <w:szCs w:val="20"/>
        </w:rPr>
      </w:pPr>
      <w:r>
        <w:rPr>
          <w:rFonts w:ascii="Calibri" w:eastAsia="Calibri" w:hAnsi="Calibri" w:cs="Calibri"/>
          <w:color w:val="auto"/>
          <w:sz w:val="12"/>
          <w:szCs w:val="12"/>
        </w:rPr>
        <w:t>Income taxes are accounted for under the asset and liability method. Provisions for federal, state and foreign income taxes are calculated on reported pre-tax earnings based on current tax laws. Deferred taxes are provided using enacted tax rates on the future tax consequences of temporary diferences, which are the diferences between the fnancial statement carrying amounts of assets and liabilites and their respectve tax bases and the tax benefts of carryforwards. A valuaton allowance is established or maintained when, based on currently available informaton, it is more likely than not that all or a porton of a deferred tax asset will not be realized.</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Cash and Equivalents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Cash and equivalents include money market funds and tme deposits with original maturites of three months or less.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Investments</w:t>
      </w:r>
    </w:p>
    <w:p>
      <w:pPr>
        <w:spacing w:after="0" w:line="101" w:lineRule="exact"/>
        <w:rPr>
          <w:color w:val="auto"/>
          <w:sz w:val="20"/>
          <w:szCs w:val="20"/>
        </w:rPr>
      </w:pPr>
    </w:p>
    <w:p>
      <w:pPr>
        <w:spacing w:after="0" w:line="235" w:lineRule="auto"/>
        <w:ind w:right="80" w:firstLine="297"/>
        <w:jc w:val="both"/>
        <w:rPr>
          <w:color w:val="auto"/>
          <w:sz w:val="20"/>
          <w:szCs w:val="20"/>
        </w:rPr>
      </w:pPr>
      <w:r>
        <w:rPr>
          <w:rFonts w:ascii="Calibri" w:eastAsia="Calibri" w:hAnsi="Calibri" w:cs="Calibri"/>
          <w:color w:val="auto"/>
          <w:sz w:val="12"/>
          <w:szCs w:val="12"/>
        </w:rPr>
        <w:t>Investments consist primarily of equity securites, held-to-maturity debt securites, marketable debt securites and tme deposits. Investments in equity securites that have readily determinable fair values are recorded at fair value. Investments in equity securites that do not have readily determinable fair values are recorded at cost and are remeasured to fair value based on certain observable price changes or impairment events as they occur. Held-to-maturity debt securites are recorded at cost. Gains or losses on investments are included in other expense, net in the consolidated statements of earnings. Investments in marketable debt securites are classifed as available-for-sale and are recorded at fair value with any unrealized holding gains or losses, net of tax, included in AOCI on the consolidated balance sheets untl realized, at which tme the gains or losses are recognized in earnings.</w:t>
      </w:r>
    </w:p>
    <w:p>
      <w:pPr>
        <w:spacing w:after="0" w:line="101"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AbbVie periodically assesses its marketable debt securites for impairment and credit losses. When a decline in the fair value of marketable debt security is due to credit related factors, an allowance for credit losses is recorded with a corresponding charge to other expense, net in the consolidated statements of earnings. When AbbVie determines that a non-credit related impairment has occurred, the amortzed cost basis of the investment, net of allowance for credit losses, is writen down with a charge to other expense, net in the consolidated statements of earnings and an available-for-sale investment's unrealized loss is reclassifed from AOCI to other expense, net in the consolidated statements of earnings. Realized gains and losses on sales of investments are computed using the frst-in, frst-out method adjusted for any impairments and credit losses that were recorded in net earnings.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Accounts Receivable</w:t>
      </w:r>
    </w:p>
    <w:p>
      <w:pPr>
        <w:spacing w:after="0" w:line="101"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Accounts receivable are stated at amortzed cost less allowance for credit losses. The allowance for credit losses refects the best estmate of future losses over the contractual life of outstanding accounts receivable and is determined on the basis of historical experience, specifc allowances for known troubled accounts, other currently available informaton including customer fnancial conditon and both current and forecasted economic conditons.</w:t>
      </w:r>
    </w:p>
    <w:p>
      <w:pPr>
        <w:spacing w:after="0" w:line="20" w:lineRule="exact"/>
        <w:rPr>
          <w:color w:val="auto"/>
          <w:sz w:val="20"/>
          <w:szCs w:val="20"/>
        </w:rPr>
      </w:pPr>
      <w:r>
        <w:rPr>
          <w:color w:val="auto"/>
          <w:sz w:val="20"/>
          <w:szCs w:val="20"/>
        </w:rPr>
        <w:drawing>
          <wp:anchor simplePos="0" relativeHeight="251806720" behindDoc="1" locked="0" layoutInCell="0" allowOverlap="1">
            <wp:simplePos x="0" y="0"/>
            <wp:positionH relativeFrom="column">
              <wp:posOffset>6475730</wp:posOffset>
            </wp:positionH>
            <wp:positionV relativeFrom="paragraph">
              <wp:posOffset>250825</wp:posOffset>
            </wp:positionV>
            <wp:extent cx="400050" cy="74295"/>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58</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07744" behindDoc="1" locked="0" layoutInCell="0" allowOverlap="1">
            <wp:simplePos x="0" y="0"/>
            <wp:positionH relativeFrom="column">
              <wp:posOffset>7154545</wp:posOffset>
            </wp:positionH>
            <wp:positionV relativeFrom="paragraph">
              <wp:posOffset>-23495</wp:posOffset>
            </wp:positionV>
            <wp:extent cx="31115" cy="3683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08768" behindDoc="1" locked="0" layoutInCell="0" allowOverlap="1">
            <wp:simplePos x="0" y="0"/>
            <wp:positionH relativeFrom="column">
              <wp:posOffset>-17145</wp:posOffset>
            </wp:positionH>
            <wp:positionV relativeFrom="paragraph">
              <wp:posOffset>-23495</wp:posOffset>
            </wp:positionV>
            <wp:extent cx="31115" cy="3683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939" w:right="299" w:bottom="1440" w:left="300" w:header="0" w:footer="0" w:gutter="0"/>
          <w:cols w:num="1" w:space="720" w:equalWidth="0">
            <w:col w:w="11300" w:space="0"/>
          </w:cols>
        </w:sectPr>
      </w:pPr>
    </w:p>
    <w:bookmarkStart w:id="60" w:name="page61"/>
    <w:bookmarkEnd w:id="60"/>
    <w:p>
      <w:pPr>
        <w:spacing w:after="0"/>
        <w:rPr>
          <w:color w:val="auto"/>
          <w:sz w:val="20"/>
          <w:szCs w:val="20"/>
        </w:rPr>
      </w:pPr>
      <w:r>
        <w:rPr>
          <w:rFonts w:ascii="Calibri" w:eastAsia="Calibri" w:hAnsi="Calibri" w:cs="Calibri"/>
          <w:b/>
          <w:bCs/>
          <w:color w:val="444867"/>
          <w:sz w:val="12"/>
          <w:szCs w:val="12"/>
        </w:rPr>
        <w:t>Inventories</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Inventories are valued at the lower of cost (frst-in, frst-out basis) or market. Cost includes material and conversion costs. Inventories consisted of the following:</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900"/>
        <w:gridCol w:w="3760"/>
        <w:gridCol w:w="1140"/>
        <w:gridCol w:w="380"/>
        <w:gridCol w:w="1100"/>
      </w:tblGrid>
      <w:tr>
        <w:tblPrEx>
          <w:tblInd w:w="0" w:type="dxa"/>
          <w:tblLayout w:type="fixed"/>
        </w:tblPrEx>
        <w:trPr>
          <w:trHeight w:val="122"/>
        </w:trPr>
        <w:tc>
          <w:tcPr>
            <w:tcW w:w="490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3760" w:type="dxa"/>
            <w:vAlign w:val="bottom"/>
          </w:tcPr>
          <w:p>
            <w:pPr>
              <w:spacing w:after="0"/>
              <w:rPr>
                <w:color w:val="auto"/>
                <w:sz w:val="10"/>
                <w:szCs w:val="10"/>
              </w:rPr>
            </w:pPr>
          </w:p>
        </w:tc>
        <w:tc>
          <w:tcPr>
            <w:tcW w:w="1140" w:type="dxa"/>
            <w:vAlign w:val="bottom"/>
          </w:tcPr>
          <w:p>
            <w:pPr>
              <w:spacing w:after="0"/>
              <w:ind w:right="622"/>
              <w:jc w:val="right"/>
              <w:rPr>
                <w:color w:val="auto"/>
                <w:sz w:val="20"/>
                <w:szCs w:val="20"/>
              </w:rPr>
            </w:pPr>
            <w:r>
              <w:rPr>
                <w:rFonts w:ascii="Calibri" w:eastAsia="Calibri" w:hAnsi="Calibri" w:cs="Calibri"/>
                <w:b/>
                <w:bCs/>
                <w:color w:val="auto"/>
                <w:sz w:val="10"/>
                <w:szCs w:val="10"/>
              </w:rPr>
              <w:t>2024</w:t>
            </w:r>
          </w:p>
        </w:tc>
        <w:tc>
          <w:tcPr>
            <w:tcW w:w="380" w:type="dxa"/>
            <w:vAlign w:val="bottom"/>
          </w:tcPr>
          <w:p>
            <w:pPr>
              <w:spacing w:after="0"/>
              <w:rPr>
                <w:color w:val="auto"/>
                <w:sz w:val="10"/>
                <w:szCs w:val="10"/>
              </w:rPr>
            </w:pPr>
          </w:p>
        </w:tc>
        <w:tc>
          <w:tcPr>
            <w:tcW w:w="1100" w:type="dxa"/>
            <w:vAlign w:val="bottom"/>
          </w:tcPr>
          <w:p>
            <w:pPr>
              <w:spacing w:after="0"/>
              <w:ind w:right="562"/>
              <w:jc w:val="right"/>
              <w:rPr>
                <w:color w:val="auto"/>
                <w:sz w:val="20"/>
                <w:szCs w:val="20"/>
              </w:rPr>
            </w:pPr>
            <w:r>
              <w:rPr>
                <w:rFonts w:ascii="Calibri" w:eastAsia="Calibri" w:hAnsi="Calibri" w:cs="Calibri"/>
                <w:b/>
                <w:bCs/>
                <w:color w:val="auto"/>
                <w:sz w:val="10"/>
                <w:szCs w:val="10"/>
              </w:rPr>
              <w:t>2023</w:t>
            </w:r>
          </w:p>
        </w:tc>
      </w:tr>
      <w:tr>
        <w:tblPrEx>
          <w:tblInd w:w="0" w:type="dxa"/>
          <w:tblLayout w:type="fixed"/>
        </w:tblPrEx>
        <w:trPr>
          <w:trHeight w:val="32"/>
        </w:trPr>
        <w:tc>
          <w:tcPr>
            <w:tcW w:w="4900" w:type="dxa"/>
            <w:tcBorders>
              <w:bottom w:val="single" w:sz="8" w:space="0" w:color="auto"/>
            </w:tcBorders>
            <w:vAlign w:val="bottom"/>
          </w:tcPr>
          <w:p>
            <w:pPr>
              <w:spacing w:after="0"/>
              <w:rPr>
                <w:color w:val="auto"/>
                <w:sz w:val="2"/>
                <w:szCs w:val="2"/>
              </w:rPr>
            </w:pPr>
          </w:p>
        </w:tc>
        <w:tc>
          <w:tcPr>
            <w:tcW w:w="376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9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Finished goods</w:t>
            </w:r>
          </w:p>
        </w:tc>
        <w:tc>
          <w:tcPr>
            <w:tcW w:w="376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1,173</w:t>
            </w:r>
          </w:p>
        </w:tc>
        <w:tc>
          <w:tcPr>
            <w:tcW w:w="38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1,356</w:t>
            </w:r>
          </w:p>
        </w:tc>
      </w:tr>
      <w:tr>
        <w:tblPrEx>
          <w:tblInd w:w="0" w:type="dxa"/>
          <w:tblLayout w:type="fixed"/>
        </w:tblPrEx>
        <w:trPr>
          <w:trHeight w:val="147"/>
        </w:trPr>
        <w:tc>
          <w:tcPr>
            <w:tcW w:w="4900" w:type="dxa"/>
            <w:vAlign w:val="bottom"/>
          </w:tcPr>
          <w:p>
            <w:pPr>
              <w:spacing w:after="0" w:line="142" w:lineRule="exact"/>
              <w:rPr>
                <w:color w:val="auto"/>
                <w:sz w:val="20"/>
                <w:szCs w:val="20"/>
              </w:rPr>
            </w:pPr>
            <w:r>
              <w:rPr>
                <w:rFonts w:ascii="Calibri" w:eastAsia="Calibri" w:hAnsi="Calibri" w:cs="Calibri"/>
                <w:color w:val="auto"/>
                <w:sz w:val="12"/>
                <w:szCs w:val="12"/>
              </w:rPr>
              <w:t>Work-in-process</w:t>
            </w:r>
          </w:p>
        </w:tc>
        <w:tc>
          <w:tcPr>
            <w:tcW w:w="3760" w:type="dxa"/>
            <w:vAlign w:val="bottom"/>
          </w:tcPr>
          <w:p>
            <w:pPr>
              <w:spacing w:after="0"/>
              <w:rPr>
                <w:color w:val="auto"/>
                <w:sz w:val="12"/>
                <w:szCs w:val="12"/>
              </w:rPr>
            </w:pPr>
          </w:p>
        </w:tc>
        <w:tc>
          <w:tcPr>
            <w:tcW w:w="114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1,951</w:t>
            </w:r>
          </w:p>
        </w:tc>
        <w:tc>
          <w:tcPr>
            <w:tcW w:w="380" w:type="dxa"/>
            <w:vAlign w:val="bottom"/>
          </w:tcPr>
          <w:p>
            <w:pPr>
              <w:spacing w:after="0"/>
              <w:rPr>
                <w:color w:val="auto"/>
                <w:sz w:val="12"/>
                <w:szCs w:val="12"/>
              </w:rPr>
            </w:pPr>
          </w:p>
        </w:tc>
        <w:tc>
          <w:tcPr>
            <w:tcW w:w="110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1,643</w:t>
            </w:r>
          </w:p>
        </w:tc>
      </w:tr>
      <w:tr>
        <w:tblPrEx>
          <w:tblInd w:w="0" w:type="dxa"/>
          <w:tblLayout w:type="fixed"/>
        </w:tblPrEx>
        <w:trPr>
          <w:trHeight w:val="153"/>
        </w:trPr>
        <w:tc>
          <w:tcPr>
            <w:tcW w:w="490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Raw materials</w:t>
            </w:r>
          </w:p>
        </w:tc>
        <w:tc>
          <w:tcPr>
            <w:tcW w:w="3760" w:type="dxa"/>
            <w:tcBorders>
              <w:bottom w:val="single" w:sz="8" w:space="0" w:color="auto"/>
            </w:tcBorders>
            <w:shd w:val="clear" w:color="auto" w:fill="CCEEFF"/>
            <w:vAlign w:val="bottom"/>
          </w:tcPr>
          <w:p>
            <w:pPr>
              <w:spacing w:after="0"/>
              <w:rPr>
                <w:color w:val="auto"/>
                <w:sz w:val="13"/>
                <w:szCs w:val="13"/>
              </w:rPr>
            </w:pPr>
          </w:p>
        </w:tc>
        <w:tc>
          <w:tcPr>
            <w:tcW w:w="1140" w:type="dxa"/>
            <w:tcBorders>
              <w:bottom w:val="single" w:sz="8" w:space="0" w:color="auto"/>
            </w:tcBorders>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1,057</w:t>
            </w:r>
          </w:p>
        </w:tc>
        <w:tc>
          <w:tcPr>
            <w:tcW w:w="380" w:type="dxa"/>
            <w:tcBorders>
              <w:bottom w:val="single" w:sz="8" w:space="0" w:color="auto"/>
            </w:tcBorders>
            <w:shd w:val="clear" w:color="auto" w:fill="CCEEFF"/>
            <w:vAlign w:val="bottom"/>
          </w:tcPr>
          <w:p>
            <w:pPr>
              <w:spacing w:after="0"/>
              <w:rPr>
                <w:color w:val="auto"/>
                <w:sz w:val="13"/>
                <w:szCs w:val="13"/>
              </w:rPr>
            </w:pPr>
          </w:p>
        </w:tc>
        <w:tc>
          <w:tcPr>
            <w:tcW w:w="110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1,100</w:t>
            </w:r>
          </w:p>
        </w:tc>
      </w:tr>
      <w:tr>
        <w:tblPrEx>
          <w:tblInd w:w="0" w:type="dxa"/>
          <w:tblLayout w:type="fixed"/>
        </w:tblPrEx>
        <w:trPr>
          <w:trHeight w:val="142"/>
        </w:trPr>
        <w:tc>
          <w:tcPr>
            <w:tcW w:w="49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Inventories</w:t>
            </w:r>
          </w:p>
        </w:tc>
        <w:tc>
          <w:tcPr>
            <w:tcW w:w="376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4,181</w:t>
            </w:r>
          </w:p>
        </w:tc>
        <w:tc>
          <w:tcPr>
            <w:tcW w:w="380" w:type="dxa"/>
            <w:tcBorders>
              <w:bottom w:val="single" w:sz="8" w:space="0" w:color="auto"/>
            </w:tcBorders>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4,099</w:t>
            </w:r>
          </w:p>
        </w:tc>
      </w:tr>
      <w:tr>
        <w:tblPrEx>
          <w:tblInd w:w="0" w:type="dxa"/>
          <w:tblLayout w:type="fixed"/>
        </w:tblPrEx>
        <w:trPr>
          <w:trHeight w:val="20"/>
        </w:trPr>
        <w:tc>
          <w:tcPr>
            <w:tcW w:w="4900" w:type="dxa"/>
            <w:tcBorders>
              <w:bottom w:val="single" w:sz="8" w:space="0" w:color="auto"/>
            </w:tcBorders>
            <w:vAlign w:val="bottom"/>
          </w:tcPr>
          <w:p>
            <w:pPr>
              <w:spacing w:after="0" w:line="20" w:lineRule="exact"/>
              <w:rPr>
                <w:color w:val="auto"/>
                <w:sz w:val="1"/>
                <w:szCs w:val="1"/>
              </w:rPr>
            </w:pPr>
          </w:p>
        </w:tc>
        <w:tc>
          <w:tcPr>
            <w:tcW w:w="3760" w:type="dxa"/>
            <w:tcBorders>
              <w:bottom w:val="single" w:sz="8" w:space="0" w:color="auto"/>
            </w:tcBorders>
            <w:vAlign w:val="bottom"/>
          </w:tcPr>
          <w:p>
            <w:pPr>
              <w:spacing w:after="0" w:line="20" w:lineRule="exact"/>
              <w:rPr>
                <w:color w:val="auto"/>
                <w:sz w:val="1"/>
                <w:szCs w:val="1"/>
              </w:rPr>
            </w:pPr>
          </w:p>
        </w:tc>
        <w:tc>
          <w:tcPr>
            <w:tcW w:w="114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1100" w:type="dxa"/>
            <w:tcBorders>
              <w:bottom w:val="single" w:sz="8" w:space="0" w:color="auto"/>
            </w:tcBorders>
            <w:vAlign w:val="bottom"/>
          </w:tcPr>
          <w:p>
            <w:pPr>
              <w:spacing w:after="0" w:line="20" w:lineRule="exact"/>
              <w:rPr>
                <w:color w:val="auto"/>
                <w:sz w:val="1"/>
                <w:szCs w:val="1"/>
              </w:rPr>
            </w:pPr>
          </w:p>
        </w:tc>
      </w:tr>
      <w:tr>
        <w:tblPrEx>
          <w:tblInd w:w="0" w:type="dxa"/>
          <w:tblLayout w:type="fixed"/>
        </w:tblPrEx>
        <w:trPr>
          <w:trHeight w:val="271"/>
        </w:trPr>
        <w:tc>
          <w:tcPr>
            <w:tcW w:w="4900" w:type="dxa"/>
            <w:vAlign w:val="bottom"/>
          </w:tcPr>
          <w:p>
            <w:pPr>
              <w:spacing w:after="0"/>
              <w:rPr>
                <w:color w:val="auto"/>
                <w:sz w:val="20"/>
                <w:szCs w:val="20"/>
              </w:rPr>
            </w:pPr>
            <w:r>
              <w:rPr>
                <w:rFonts w:ascii="Calibri" w:eastAsia="Calibri" w:hAnsi="Calibri" w:cs="Calibri"/>
                <w:b/>
                <w:bCs/>
                <w:color w:val="444867"/>
                <w:sz w:val="12"/>
                <w:szCs w:val="12"/>
              </w:rPr>
              <w:t>Property and Equipment, Net</w:t>
            </w:r>
          </w:p>
        </w:tc>
        <w:tc>
          <w:tcPr>
            <w:tcW w:w="3760" w:type="dxa"/>
            <w:vAlign w:val="bottom"/>
          </w:tcPr>
          <w:p>
            <w:pPr>
              <w:spacing w:after="0"/>
              <w:rPr>
                <w:color w:val="auto"/>
                <w:sz w:val="23"/>
                <w:szCs w:val="23"/>
              </w:rPr>
            </w:pPr>
          </w:p>
        </w:tc>
        <w:tc>
          <w:tcPr>
            <w:tcW w:w="1140" w:type="dxa"/>
            <w:vAlign w:val="bottom"/>
          </w:tcPr>
          <w:p>
            <w:pPr>
              <w:spacing w:after="0"/>
              <w:rPr>
                <w:color w:val="auto"/>
                <w:sz w:val="23"/>
                <w:szCs w:val="23"/>
              </w:rPr>
            </w:pPr>
          </w:p>
        </w:tc>
        <w:tc>
          <w:tcPr>
            <w:tcW w:w="380" w:type="dxa"/>
            <w:vAlign w:val="bottom"/>
          </w:tcPr>
          <w:p>
            <w:pPr>
              <w:spacing w:after="0"/>
              <w:rPr>
                <w:color w:val="auto"/>
                <w:sz w:val="23"/>
                <w:szCs w:val="23"/>
              </w:rPr>
            </w:pPr>
          </w:p>
        </w:tc>
        <w:tc>
          <w:tcPr>
            <w:tcW w:w="1100" w:type="dxa"/>
            <w:vAlign w:val="bottom"/>
          </w:tcPr>
          <w:p>
            <w:pPr>
              <w:spacing w:after="0"/>
              <w:rPr>
                <w:color w:val="auto"/>
                <w:sz w:val="23"/>
                <w:szCs w:val="23"/>
              </w:rPr>
            </w:pPr>
          </w:p>
        </w:tc>
      </w:tr>
      <w:tr>
        <w:tblPrEx>
          <w:tblInd w:w="0" w:type="dxa"/>
          <w:tblLayout w:type="fixed"/>
        </w:tblPrEx>
        <w:trPr>
          <w:trHeight w:val="138"/>
        </w:trPr>
        <w:tc>
          <w:tcPr>
            <w:tcW w:w="490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3760" w:type="dxa"/>
            <w:vAlign w:val="bottom"/>
          </w:tcPr>
          <w:p>
            <w:pPr>
              <w:spacing w:after="0"/>
              <w:rPr>
                <w:color w:val="auto"/>
                <w:sz w:val="12"/>
                <w:szCs w:val="12"/>
              </w:rPr>
            </w:pPr>
          </w:p>
        </w:tc>
        <w:tc>
          <w:tcPr>
            <w:tcW w:w="1140" w:type="dxa"/>
            <w:vAlign w:val="bottom"/>
          </w:tcPr>
          <w:p>
            <w:pPr>
              <w:spacing w:after="0"/>
              <w:ind w:right="622"/>
              <w:jc w:val="right"/>
              <w:rPr>
                <w:color w:val="auto"/>
                <w:sz w:val="20"/>
                <w:szCs w:val="20"/>
              </w:rPr>
            </w:pPr>
            <w:r>
              <w:rPr>
                <w:rFonts w:ascii="Calibri" w:eastAsia="Calibri" w:hAnsi="Calibri" w:cs="Calibri"/>
                <w:b/>
                <w:bCs/>
                <w:color w:val="auto"/>
                <w:sz w:val="10"/>
                <w:szCs w:val="10"/>
              </w:rPr>
              <w:t>2024</w:t>
            </w:r>
          </w:p>
        </w:tc>
        <w:tc>
          <w:tcPr>
            <w:tcW w:w="380" w:type="dxa"/>
            <w:vAlign w:val="bottom"/>
          </w:tcPr>
          <w:p>
            <w:pPr>
              <w:spacing w:after="0"/>
              <w:rPr>
                <w:color w:val="auto"/>
                <w:sz w:val="12"/>
                <w:szCs w:val="12"/>
              </w:rPr>
            </w:pPr>
          </w:p>
        </w:tc>
        <w:tc>
          <w:tcPr>
            <w:tcW w:w="1100" w:type="dxa"/>
            <w:vAlign w:val="bottom"/>
          </w:tcPr>
          <w:p>
            <w:pPr>
              <w:spacing w:after="0"/>
              <w:ind w:right="562"/>
              <w:jc w:val="right"/>
              <w:rPr>
                <w:color w:val="auto"/>
                <w:sz w:val="20"/>
                <w:szCs w:val="20"/>
              </w:rPr>
            </w:pPr>
            <w:r>
              <w:rPr>
                <w:rFonts w:ascii="Calibri" w:eastAsia="Calibri" w:hAnsi="Calibri" w:cs="Calibri"/>
                <w:b/>
                <w:bCs/>
                <w:color w:val="auto"/>
                <w:sz w:val="10"/>
                <w:szCs w:val="10"/>
              </w:rPr>
              <w:t>2023</w:t>
            </w:r>
          </w:p>
        </w:tc>
      </w:tr>
      <w:tr>
        <w:tblPrEx>
          <w:tblInd w:w="0" w:type="dxa"/>
          <w:tblLayout w:type="fixed"/>
        </w:tblPrEx>
        <w:trPr>
          <w:trHeight w:val="32"/>
        </w:trPr>
        <w:tc>
          <w:tcPr>
            <w:tcW w:w="4900" w:type="dxa"/>
            <w:tcBorders>
              <w:bottom w:val="single" w:sz="8" w:space="0" w:color="auto"/>
            </w:tcBorders>
            <w:vAlign w:val="bottom"/>
          </w:tcPr>
          <w:p>
            <w:pPr>
              <w:spacing w:after="0"/>
              <w:rPr>
                <w:color w:val="auto"/>
                <w:sz w:val="2"/>
                <w:szCs w:val="2"/>
              </w:rPr>
            </w:pPr>
          </w:p>
        </w:tc>
        <w:tc>
          <w:tcPr>
            <w:tcW w:w="376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9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Land</w:t>
            </w:r>
          </w:p>
        </w:tc>
        <w:tc>
          <w:tcPr>
            <w:tcW w:w="376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284</w:t>
            </w:r>
          </w:p>
        </w:tc>
        <w:tc>
          <w:tcPr>
            <w:tcW w:w="38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286</w:t>
            </w:r>
          </w:p>
        </w:tc>
      </w:tr>
      <w:tr>
        <w:tblPrEx>
          <w:tblInd w:w="0" w:type="dxa"/>
          <w:tblLayout w:type="fixed"/>
        </w:tblPrEx>
        <w:trPr>
          <w:trHeight w:val="147"/>
        </w:trPr>
        <w:tc>
          <w:tcPr>
            <w:tcW w:w="4900" w:type="dxa"/>
            <w:vAlign w:val="bottom"/>
          </w:tcPr>
          <w:p>
            <w:pPr>
              <w:spacing w:after="0" w:line="142" w:lineRule="exact"/>
              <w:rPr>
                <w:color w:val="auto"/>
                <w:sz w:val="20"/>
                <w:szCs w:val="20"/>
              </w:rPr>
            </w:pPr>
            <w:r>
              <w:rPr>
                <w:rFonts w:ascii="Calibri" w:eastAsia="Calibri" w:hAnsi="Calibri" w:cs="Calibri"/>
                <w:color w:val="auto"/>
                <w:sz w:val="12"/>
                <w:szCs w:val="12"/>
              </w:rPr>
              <w:t>Buildings</w:t>
            </w:r>
          </w:p>
        </w:tc>
        <w:tc>
          <w:tcPr>
            <w:tcW w:w="3760" w:type="dxa"/>
            <w:vAlign w:val="bottom"/>
          </w:tcPr>
          <w:p>
            <w:pPr>
              <w:spacing w:after="0"/>
              <w:rPr>
                <w:color w:val="auto"/>
                <w:sz w:val="12"/>
                <w:szCs w:val="12"/>
              </w:rPr>
            </w:pPr>
          </w:p>
        </w:tc>
        <w:tc>
          <w:tcPr>
            <w:tcW w:w="114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2,895</w:t>
            </w:r>
          </w:p>
        </w:tc>
        <w:tc>
          <w:tcPr>
            <w:tcW w:w="380" w:type="dxa"/>
            <w:vAlign w:val="bottom"/>
          </w:tcPr>
          <w:p>
            <w:pPr>
              <w:spacing w:after="0"/>
              <w:rPr>
                <w:color w:val="auto"/>
                <w:sz w:val="12"/>
                <w:szCs w:val="12"/>
              </w:rPr>
            </w:pPr>
          </w:p>
        </w:tc>
        <w:tc>
          <w:tcPr>
            <w:tcW w:w="110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2,827</w:t>
            </w:r>
          </w:p>
        </w:tc>
      </w:tr>
      <w:tr>
        <w:tblPrEx>
          <w:tblInd w:w="0" w:type="dxa"/>
          <w:tblLayout w:type="fixed"/>
        </w:tblPrEx>
        <w:trPr>
          <w:trHeight w:val="159"/>
        </w:trPr>
        <w:tc>
          <w:tcPr>
            <w:tcW w:w="4900" w:type="dxa"/>
            <w:shd w:val="clear" w:color="auto" w:fill="CCEEFF"/>
            <w:vAlign w:val="bottom"/>
          </w:tcPr>
          <w:p>
            <w:pPr>
              <w:spacing w:after="0"/>
              <w:rPr>
                <w:color w:val="auto"/>
                <w:sz w:val="20"/>
                <w:szCs w:val="20"/>
              </w:rPr>
            </w:pPr>
            <w:r>
              <w:rPr>
                <w:rFonts w:ascii="Calibri" w:eastAsia="Calibri" w:hAnsi="Calibri" w:cs="Calibri"/>
                <w:color w:val="auto"/>
                <w:sz w:val="12"/>
                <w:szCs w:val="12"/>
              </w:rPr>
              <w:t>Equipment</w:t>
            </w:r>
          </w:p>
        </w:tc>
        <w:tc>
          <w:tcPr>
            <w:tcW w:w="376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7,995</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7,449</w:t>
            </w:r>
          </w:p>
        </w:tc>
      </w:tr>
      <w:tr>
        <w:tblPrEx>
          <w:tblInd w:w="0" w:type="dxa"/>
          <w:tblLayout w:type="fixed"/>
        </w:tblPrEx>
        <w:trPr>
          <w:trHeight w:val="147"/>
        </w:trPr>
        <w:tc>
          <w:tcPr>
            <w:tcW w:w="49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Constructon in progress</w:t>
            </w:r>
          </w:p>
        </w:tc>
        <w:tc>
          <w:tcPr>
            <w:tcW w:w="376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1,093</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1,073</w:t>
            </w:r>
          </w:p>
        </w:tc>
      </w:tr>
      <w:tr>
        <w:tblPrEx>
          <w:tblInd w:w="0" w:type="dxa"/>
          <w:tblLayout w:type="fixed"/>
        </w:tblPrEx>
        <w:trPr>
          <w:trHeight w:val="148"/>
        </w:trPr>
        <w:tc>
          <w:tcPr>
            <w:tcW w:w="49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Property and equipment, gross</w:t>
            </w:r>
          </w:p>
        </w:tc>
        <w:tc>
          <w:tcPr>
            <w:tcW w:w="3760" w:type="dxa"/>
            <w:shd w:val="clear" w:color="auto" w:fill="CCEEFF"/>
            <w:vAlign w:val="bottom"/>
          </w:tcPr>
          <w:p>
            <w:pPr>
              <w:spacing w:after="0"/>
              <w:rPr>
                <w:color w:val="auto"/>
                <w:sz w:val="12"/>
                <w:szCs w:val="12"/>
              </w:rPr>
            </w:pPr>
          </w:p>
        </w:tc>
        <w:tc>
          <w:tcPr>
            <w:tcW w:w="1140" w:type="dxa"/>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12,267</w:t>
            </w:r>
          </w:p>
        </w:tc>
        <w:tc>
          <w:tcPr>
            <w:tcW w:w="380" w:type="dxa"/>
            <w:shd w:val="clear" w:color="auto" w:fill="CCEEFF"/>
            <w:vAlign w:val="bottom"/>
          </w:tcPr>
          <w:p>
            <w:pPr>
              <w:spacing w:after="0"/>
              <w:rPr>
                <w:color w:val="auto"/>
                <w:sz w:val="12"/>
                <w:szCs w:val="12"/>
              </w:rPr>
            </w:pPr>
          </w:p>
        </w:tc>
        <w:tc>
          <w:tcPr>
            <w:tcW w:w="110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11,635</w:t>
            </w:r>
          </w:p>
        </w:tc>
      </w:tr>
      <w:tr>
        <w:tblPrEx>
          <w:tblInd w:w="0" w:type="dxa"/>
          <w:tblLayout w:type="fixed"/>
        </w:tblPrEx>
        <w:trPr>
          <w:trHeight w:val="147"/>
        </w:trPr>
        <w:tc>
          <w:tcPr>
            <w:tcW w:w="49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Less accumulated depreciaton</w:t>
            </w:r>
          </w:p>
        </w:tc>
        <w:tc>
          <w:tcPr>
            <w:tcW w:w="376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(7,133)</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(6,646)</w:t>
            </w:r>
          </w:p>
        </w:tc>
      </w:tr>
      <w:tr>
        <w:tblPrEx>
          <w:tblInd w:w="0" w:type="dxa"/>
          <w:tblLayout w:type="fixed"/>
        </w:tblPrEx>
        <w:trPr>
          <w:trHeight w:val="164"/>
        </w:trPr>
        <w:tc>
          <w:tcPr>
            <w:tcW w:w="490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Property and equipment, net</w:t>
            </w:r>
          </w:p>
        </w:tc>
        <w:tc>
          <w:tcPr>
            <w:tcW w:w="376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tcBorders>
              <w:bottom w:val="single" w:sz="8" w:space="0" w:color="auto"/>
            </w:tcBorders>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5,134</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4,989</w:t>
            </w:r>
          </w:p>
        </w:tc>
      </w:tr>
    </w:tbl>
    <w:p>
      <w:pPr>
        <w:spacing w:after="0" w:line="138" w:lineRule="exact"/>
        <w:rPr>
          <w:color w:val="auto"/>
          <w:sz w:val="20"/>
          <w:szCs w:val="20"/>
        </w:rPr>
      </w:pPr>
    </w:p>
    <w:p>
      <w:pPr>
        <w:spacing w:after="0" w:line="264" w:lineRule="auto"/>
        <w:ind w:right="20" w:firstLine="297"/>
        <w:rPr>
          <w:color w:val="auto"/>
          <w:sz w:val="20"/>
          <w:szCs w:val="20"/>
        </w:rPr>
      </w:pPr>
      <w:r>
        <w:rPr>
          <w:rFonts w:ascii="Calibri" w:eastAsia="Calibri" w:hAnsi="Calibri" w:cs="Calibri"/>
          <w:color w:val="auto"/>
          <w:sz w:val="11"/>
          <w:szCs w:val="11"/>
        </w:rPr>
        <w:t>Depreciaton for property and equipment is recorded on a straight-line basis over the estmated useful lives of the assets. The estmated useful life for buildings ranges from 10 to 50 years. Buildings include leasehold improvements which are amortzed over the lesser of the remainder of the lease term or the useful life of the leasehold improvement. The estmated useful life for equipment ranges from 2 to 25 years. Equipment includes certain computer sofware and sofware development costs incurred in connecton with developing or obtaining sofware for internal use and is amortzed over 3 to 10 years. Depreciaton expense was $764 million in 2024, $752 million in 2023 and $778 million in 2022.</w:t>
      </w:r>
    </w:p>
    <w:p>
      <w:pPr>
        <w:spacing w:after="0" w:line="83"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Leases</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Short-term leases with a term of 12 months or less are not recorded on the balance sheet. For leases commencing or modifed in 2019 or later, AbbVie does not separate lease components from non-lease components.</w:t>
      </w:r>
    </w:p>
    <w:p>
      <w:pPr>
        <w:spacing w:after="0" w:line="101" w:lineRule="exact"/>
        <w:rPr>
          <w:color w:val="auto"/>
          <w:sz w:val="20"/>
          <w:szCs w:val="20"/>
        </w:rPr>
      </w:pPr>
    </w:p>
    <w:p>
      <w:pPr>
        <w:spacing w:after="0" w:line="234" w:lineRule="auto"/>
        <w:ind w:right="100" w:firstLine="297"/>
        <w:jc w:val="both"/>
        <w:rPr>
          <w:color w:val="auto"/>
          <w:sz w:val="20"/>
          <w:szCs w:val="20"/>
        </w:rPr>
      </w:pPr>
      <w:r>
        <w:rPr>
          <w:rFonts w:ascii="Calibri" w:eastAsia="Calibri" w:hAnsi="Calibri" w:cs="Calibri"/>
          <w:color w:val="auto"/>
          <w:sz w:val="12"/>
          <w:szCs w:val="12"/>
        </w:rPr>
        <w:t>The company records lease liabilites based on the present value of lease payments over the lease term. AbbVie generally uses an incremental borrowing rate to discount its lease liabilites, as the rate implicit in the lease is typically not readily determinable. Certain lease agreements include renewal optons that are under the company's control. AbbVie includes optonal renewal periods in the lease term only when it is reasonably certain that AbbVie will exercise its opton.</w:t>
      </w:r>
    </w:p>
    <w:p>
      <w:pPr>
        <w:spacing w:after="0" w:line="103"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Variable lease payments include payments to lessors for taxes, maintenance, insurance and other operatng costs as well as payments that are adjusted based on an index or rate. The company's lease agreements do not contain any signifcant residual value guarantees or restrictve covenants.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Litgaton and Contngencies</w:t>
      </w:r>
    </w:p>
    <w:p>
      <w:pPr>
        <w:spacing w:after="0" w:line="101"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Loss contngency provisions are recorded when it is probable that a liability has been incurred and the amount of the liability can be reasonably estmated based on existng informaton. When a best estmate cannot be made, the minimum loss contngency amount in a probable range is recorded. Legal fees are expensed as incurred. AbbVie accrues for product liability claims on an undiscounted basis. The liabilites are evaluated quarterly and adjusted if necessary as additonal informaton becomes available. Receivables for insurance recoveries for product liability claims, if any, are recorded as assets on an undiscounted basis when it is probable that a recovery will be realized.</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Goodwill and Intangible Assets</w:t>
      </w:r>
    </w:p>
    <w:p>
      <w:pPr>
        <w:spacing w:after="0" w:line="92"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Intangible assets acquired in a business combinaton are recorded at fair value using a discounted cash fow model. The discounted cash fow model requires assumptons about the tming and amount of future net cash fows, risk, the cost of capital and terminal values of market partcipants. Defnite-lived intangibles are amortzed over their estmated useful lives using the estmated patern of economic beneft. AbbVie reviews the recoverability of defnite-lived intangible assets whenever events or changes in circumstances indicate the carrying value of an asset may not be recoverable. AbbVie frst compares the projected undiscounted cash fows to be generated by the asset to its carrying value. If the undiscounted cash</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59</w:t>
      </w:r>
      <w:r>
        <w:rPr>
          <w:color w:val="auto"/>
          <w:sz w:val="20"/>
          <w:szCs w:val="20"/>
        </w:rPr>
        <w:tab/>
      </w:r>
      <w:r>
        <w:rPr>
          <w:color w:val="auto"/>
          <w:sz w:val="1"/>
          <w:szCs w:val="1"/>
        </w:rPr>
        <w:drawing>
          <wp:inline distT="0" distB="0" distL="0" distR="0">
            <wp:extent cx="400050" cy="7429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09792" behindDoc="1" locked="0" layoutInCell="0" allowOverlap="1">
            <wp:simplePos x="0" y="0"/>
            <wp:positionH relativeFrom="column">
              <wp:posOffset>-17145</wp:posOffset>
            </wp:positionH>
            <wp:positionV relativeFrom="paragraph">
              <wp:posOffset>133985</wp:posOffset>
            </wp:positionV>
            <wp:extent cx="7203440" cy="3683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61" w:name="page62"/>
    <w:bookmarkEnd w:id="61"/>
    <w:p>
      <w:pPr>
        <w:spacing w:after="0" w:line="234" w:lineRule="auto"/>
        <w:rPr>
          <w:color w:val="auto"/>
          <w:sz w:val="20"/>
          <w:szCs w:val="20"/>
        </w:rPr>
      </w:pPr>
      <w:r>
        <w:rPr>
          <w:rFonts w:ascii="Calibri" w:eastAsia="Calibri" w:hAnsi="Calibri" w:cs="Calibri"/>
          <w:color w:val="auto"/>
          <w:sz w:val="12"/>
          <w:szCs w:val="12"/>
        </w:rPr>
        <w:t>fows of an intangible asset are less than the carrying value, the intangible asset is writen down to its fair value. Where cash fows cannot be identfed for an individual asset, the review is applied at the lowest level for which cash fows are largely independent of the cash fows of other assets and liabilites.</w:t>
      </w:r>
    </w:p>
    <w:p>
      <w:pPr>
        <w:spacing w:after="0" w:line="92"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Goodwill and indefnite-lived assets are not amortzed but are subject to an impairment review annually and more frequently when indicators of impairment exist. An impairment of goodwill could occur if the carrying amount of a reportng unit exceeded the fair value of that reportng unit. An impairment of indefnite-lived intangible assets would occur if the fair value of the intangible asset is less than the carrying value.</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The company tests its goodwill for impairment by frst assessing qualitatve factors to determine whether it is more likely than not that the fair value is less than its carrying amount. If the company concludes it is more likely than not that the fair value of the reportng unit is less than its carrying amount, a quanttatve impairment test is performed. AbbVie tests indefnite-lived intangible assets for impairment by frst assessing qualitatve factors to determine whether it is more likely than not that the fair value is less than its carrying amount. If the company concludes it is more likely than not that the fair value is less than its carrying amount, a quanttatve impairment test is performed. For its quanttatve impairment tests, the company uses an estmated future cash fow approach that requires signifcant judgment with respect to future volume, revenue and expense growth rates, changes in working capital use, the selecton of an appropriate discount rate, asset groupings and other assumptons and estmates. The estmates and assumptons used are consistent with the company's business plans and a market partcipant's views. The use of alternatve estmates and assumptons could increase or decrease projected cash fows and the estmated fair value of the related intangible assets. Future changes to these estmates and assumptons could have a material impact on the company's results of operatons. Actual results may difer from the company's estmates.</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Foreign Currency Translaton</w:t>
      </w:r>
    </w:p>
    <w:p>
      <w:pPr>
        <w:spacing w:after="0" w:line="92"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Foreign subsidiary earnings are translated into U.S. dollars using average exchange rates. The net assets of foreign subsidiaries are translated into U.S. dollars using period-end exchange rates. The U.S. dollar efects that arise from translatng the net assets of these subsidiaries at changing rates are recognized in other comprehensive income (loss) in the consolidated statements of comprehensive income. The net assets of subsidiaries in highly infatonary economies are remeasured as if the functonal currency were the reportng currency. The remeasurement is recognized in net foreign exchange loss in the consolidated statements of earnings.</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Derivatves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All derivatve instruments are recognized as either assets or liabilites at fair value on the consolidated balance sheets and are classifed as current or long-term based on the scheduled maturity of the instrument.</w:t>
      </w:r>
    </w:p>
    <w:p>
      <w:pPr>
        <w:spacing w:after="0" w:line="92"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For derivatves formally designated as hedges, the company assesses at incepton and quarterly thereafer whether the hedging derivatves are highly efectve in ofsetng changes in the fair value or cash fows of the hedged item. The changes in fair value of a derivatve designated as a fair value hedge and of the hedged item atributable to the hedged risk are recognized in earnings immediately. The efectve portons of changes in the fair value of a derivatve designated as a cash fow hedge are reported in AOCI and are subsequently recognized in earnings consistent with the underlying hedged item. If it is determined that a derivatve is no longer highly efectve as a hedge, the company discontnues hedge accountng prospectvely. If a hedged forecasted transacton becomes probable of not occurring, any gains or losses are reclassifed from AOCI to earnings. Derivatves that are not designated as hedges are adjusted to fair value through current earnings.</w:t>
      </w:r>
    </w:p>
    <w:p>
      <w:pPr>
        <w:spacing w:after="0" w:line="102"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The company also uses derivatve instruments or foreign currency denominated debt to hedge its net investments in certain foreign subsidiaries and afliates. Realized and unrealized gains and losses from these hedges are included in AOCI.</w:t>
      </w:r>
    </w:p>
    <w:p>
      <w:pPr>
        <w:spacing w:after="0" w:line="101"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Derivatve cash fows, with the excepton of net investment hedges, are principally classifed in the operatng secton of the consolidated statements of cash fows, consistent with the underlying hedged item. Cash fows related to net investment hedges are classifed in the investng secton of the consolidated statements of cash fows.</w:t>
      </w:r>
    </w:p>
    <w:p>
      <w:pPr>
        <w:spacing w:after="0" w:line="20" w:lineRule="exact"/>
        <w:rPr>
          <w:color w:val="auto"/>
          <w:sz w:val="20"/>
          <w:szCs w:val="20"/>
        </w:rPr>
      </w:pPr>
      <w:r>
        <w:rPr>
          <w:color w:val="auto"/>
          <w:sz w:val="20"/>
          <w:szCs w:val="20"/>
        </w:rPr>
        <w:drawing>
          <wp:anchor simplePos="0" relativeHeight="251810816" behindDoc="1" locked="0" layoutInCell="0" allowOverlap="1">
            <wp:simplePos x="0" y="0"/>
            <wp:positionH relativeFrom="column">
              <wp:posOffset>6475730</wp:posOffset>
            </wp:positionH>
            <wp:positionV relativeFrom="paragraph">
              <wp:posOffset>1068070</wp:posOffset>
            </wp:positionV>
            <wp:extent cx="400050" cy="74295"/>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97"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60</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11840" behindDoc="1" locked="0" layoutInCell="0" allowOverlap="1">
            <wp:simplePos x="0" y="0"/>
            <wp:positionH relativeFrom="column">
              <wp:posOffset>7154545</wp:posOffset>
            </wp:positionH>
            <wp:positionV relativeFrom="paragraph">
              <wp:posOffset>-23495</wp:posOffset>
            </wp:positionV>
            <wp:extent cx="31115" cy="3683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12864" behindDoc="1" locked="0" layoutInCell="0" allowOverlap="1">
            <wp:simplePos x="0" y="0"/>
            <wp:positionH relativeFrom="column">
              <wp:posOffset>-17145</wp:posOffset>
            </wp:positionH>
            <wp:positionV relativeFrom="paragraph">
              <wp:posOffset>-23495</wp:posOffset>
            </wp:positionV>
            <wp:extent cx="31115" cy="3683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62" w:name="page63"/>
    <w:bookmarkEnd w:id="62"/>
    <w:p>
      <w:pPr>
        <w:spacing w:after="0"/>
        <w:rPr>
          <w:color w:val="auto"/>
          <w:sz w:val="20"/>
          <w:szCs w:val="20"/>
        </w:rPr>
      </w:pPr>
      <w:r>
        <w:rPr>
          <w:rFonts w:ascii="Calibri" w:eastAsia="Calibri" w:hAnsi="Calibri" w:cs="Calibri"/>
          <w:b/>
          <w:bCs/>
          <w:color w:val="444867"/>
          <w:sz w:val="12"/>
          <w:szCs w:val="12"/>
        </w:rPr>
        <w:t>Recent Accountng Pronouncements</w:t>
      </w:r>
    </w:p>
    <w:p>
      <w:pPr>
        <w:spacing w:after="0" w:line="88"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Recent Accountng Pronouncements Not Yet Adopted</w:t>
      </w:r>
    </w:p>
    <w:p>
      <w:pPr>
        <w:spacing w:after="0" w:line="97" w:lineRule="exact"/>
        <w:rPr>
          <w:color w:val="auto"/>
          <w:sz w:val="20"/>
          <w:szCs w:val="20"/>
        </w:rPr>
      </w:pPr>
    </w:p>
    <w:p>
      <w:pPr>
        <w:spacing w:after="0"/>
        <w:rPr>
          <w:color w:val="auto"/>
          <w:sz w:val="20"/>
          <w:szCs w:val="20"/>
        </w:rPr>
      </w:pPr>
      <w:r>
        <w:rPr>
          <w:rFonts w:ascii="Calibri" w:eastAsia="Calibri" w:hAnsi="Calibri" w:cs="Calibri"/>
          <w:color w:val="auto"/>
          <w:sz w:val="12"/>
          <w:szCs w:val="12"/>
        </w:rPr>
        <w:t>ASU No. 2024-03</w:t>
      </w:r>
    </w:p>
    <w:p>
      <w:pPr>
        <w:spacing w:after="0" w:line="101"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 xml:space="preserve">In November 2024, the Financial Accountng Standards Board (FASB) issued </w:t>
      </w:r>
      <w:r>
        <w:rPr>
          <w:rFonts w:ascii="Calibri" w:eastAsia="Calibri" w:hAnsi="Calibri" w:cs="Calibri"/>
          <w:i/>
          <w:iCs/>
          <w:color w:val="auto"/>
          <w:sz w:val="12"/>
          <w:szCs w:val="12"/>
        </w:rPr>
        <w:t>Accountng Standards Update (ASU) No. 2024-03, Income Statement-Reportng Comprehensive Income-Expense Disaggregaton Disclosures (Subtopic 220-40</w:t>
      </w:r>
      <w:r>
        <w:rPr>
          <w:rFonts w:ascii="Calibri" w:eastAsia="Calibri" w:hAnsi="Calibri" w:cs="Calibri"/>
          <w:color w:val="auto"/>
          <w:sz w:val="12"/>
          <w:szCs w:val="12"/>
        </w:rPr>
        <w:t>). The standard requires further disaggregaton of relevant expense captons in a separate note to the fnancial statements. The standard is efectve for AbbVie startng in annual periods in 2027 and interim periods beginning in 2028,</w:t>
      </w:r>
      <w:r>
        <w:rPr>
          <w:rFonts w:ascii="Calibri" w:eastAsia="Calibri" w:hAnsi="Calibri" w:cs="Calibri"/>
          <w:i/>
          <w:iCs/>
          <w:color w:val="auto"/>
          <w:sz w:val="12"/>
          <w:szCs w:val="12"/>
        </w:rPr>
        <w:t xml:space="preserve"> </w:t>
      </w:r>
      <w:r>
        <w:rPr>
          <w:rFonts w:ascii="Calibri" w:eastAsia="Calibri" w:hAnsi="Calibri" w:cs="Calibri"/>
          <w:color w:val="auto"/>
          <w:sz w:val="12"/>
          <w:szCs w:val="12"/>
        </w:rPr>
        <w:t>with early adopton permited. AbbVie is currently assessing the impact of adoptng this guidance on its consolidated fnancial statements.</w:t>
      </w:r>
    </w:p>
    <w:p>
      <w:pPr>
        <w:spacing w:after="0" w:line="89" w:lineRule="exact"/>
        <w:rPr>
          <w:color w:val="auto"/>
          <w:sz w:val="20"/>
          <w:szCs w:val="20"/>
        </w:rPr>
      </w:pPr>
    </w:p>
    <w:p>
      <w:pPr>
        <w:spacing w:after="0"/>
        <w:rPr>
          <w:color w:val="auto"/>
          <w:sz w:val="20"/>
          <w:szCs w:val="20"/>
        </w:rPr>
      </w:pPr>
      <w:r>
        <w:rPr>
          <w:rFonts w:ascii="Calibri" w:eastAsia="Calibri" w:hAnsi="Calibri" w:cs="Calibri"/>
          <w:color w:val="auto"/>
          <w:sz w:val="12"/>
          <w:szCs w:val="12"/>
        </w:rPr>
        <w:t>ASU No. 2023-09</w:t>
      </w:r>
    </w:p>
    <w:p>
      <w:pPr>
        <w:spacing w:after="0" w:line="101" w:lineRule="exact"/>
        <w:rPr>
          <w:color w:val="auto"/>
          <w:sz w:val="20"/>
          <w:szCs w:val="20"/>
        </w:rPr>
      </w:pPr>
    </w:p>
    <w:p>
      <w:pPr>
        <w:spacing w:after="0" w:line="271" w:lineRule="auto"/>
        <w:ind w:right="360" w:firstLine="297"/>
        <w:rPr>
          <w:color w:val="auto"/>
          <w:sz w:val="20"/>
          <w:szCs w:val="20"/>
        </w:rPr>
      </w:pPr>
      <w:r>
        <w:rPr>
          <w:rFonts w:ascii="Calibri" w:eastAsia="Calibri" w:hAnsi="Calibri" w:cs="Calibri"/>
          <w:color w:val="auto"/>
          <w:sz w:val="11"/>
          <w:szCs w:val="11"/>
        </w:rPr>
        <w:t xml:space="preserve">In December 2023, the FASB issued ASU No. 2023-09, </w:t>
      </w:r>
      <w:r>
        <w:rPr>
          <w:rFonts w:ascii="Calibri" w:eastAsia="Calibri" w:hAnsi="Calibri" w:cs="Calibri"/>
          <w:i/>
          <w:iCs/>
          <w:color w:val="auto"/>
          <w:sz w:val="11"/>
          <w:szCs w:val="11"/>
        </w:rPr>
        <w:t>Income Taxes (Topic 740)</w:t>
      </w:r>
      <w:r>
        <w:rPr>
          <w:rFonts w:ascii="Calibri" w:eastAsia="Calibri" w:hAnsi="Calibri" w:cs="Calibri"/>
          <w:color w:val="auto"/>
          <w:sz w:val="11"/>
          <w:szCs w:val="11"/>
        </w:rPr>
        <w:t>. The standard requires disaggregaton of the efectve rate reconciliaton into standard categories, enhances disclosure of income taxes paid, and modifes other income tax-related disclosures. The standard is efectve for AbbVie startng in annual periods in 2025. AbbVie is currently assessing the impact of adoptng this guidance on its consolidated fnancial statements.</w:t>
      </w:r>
    </w:p>
    <w:p>
      <w:pPr>
        <w:spacing w:after="0" w:line="79"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Recently Adopted Accountng Pronouncements</w:t>
      </w:r>
    </w:p>
    <w:p>
      <w:pPr>
        <w:spacing w:after="0" w:line="88" w:lineRule="exact"/>
        <w:rPr>
          <w:color w:val="auto"/>
          <w:sz w:val="20"/>
          <w:szCs w:val="20"/>
        </w:rPr>
      </w:pPr>
    </w:p>
    <w:p>
      <w:pPr>
        <w:spacing w:after="0"/>
        <w:rPr>
          <w:color w:val="auto"/>
          <w:sz w:val="20"/>
          <w:szCs w:val="20"/>
        </w:rPr>
      </w:pPr>
      <w:r>
        <w:rPr>
          <w:rFonts w:ascii="Calibri" w:eastAsia="Calibri" w:hAnsi="Calibri" w:cs="Calibri"/>
          <w:color w:val="auto"/>
          <w:sz w:val="12"/>
          <w:szCs w:val="12"/>
        </w:rPr>
        <w:t>ASU No. 2023-07</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 xml:space="preserve">In November 2023, the FASB issued ASU No. 2023-07 </w:t>
      </w:r>
      <w:r>
        <w:rPr>
          <w:rFonts w:ascii="Calibri" w:eastAsia="Calibri" w:hAnsi="Calibri" w:cs="Calibri"/>
          <w:i/>
          <w:iCs/>
          <w:color w:val="auto"/>
          <w:sz w:val="12"/>
          <w:szCs w:val="12"/>
        </w:rPr>
        <w:t>Segment Reportng - Improving Reportable Segment Disclosures (Topic 280)</w:t>
      </w:r>
      <w:r>
        <w:rPr>
          <w:rFonts w:ascii="Calibri" w:eastAsia="Calibri" w:hAnsi="Calibri" w:cs="Calibri"/>
          <w:color w:val="auto"/>
          <w:sz w:val="12"/>
          <w:szCs w:val="12"/>
        </w:rPr>
        <w:t>. The standard requires disclosures to include signifcant segment expenses that are regularly provided to the chief operatng decision maker (CODM), a descripton of other segment items by reportable segment, and any additonal measures of a segment's proft or loss used by the CODM when deciding how to allocate resources. The ASU also requires all annual disclosures currently required by Topic 280 to be included in interim periods. AbbVie adopted the standard in the fourth quarter of 2024. The adopton did not have a material impact on its consolidated fnancial statements. See Note 16 for additonal informaton.</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61</w:t>
      </w:r>
      <w:r>
        <w:rPr>
          <w:color w:val="auto"/>
          <w:sz w:val="20"/>
          <w:szCs w:val="20"/>
        </w:rPr>
        <w:tab/>
      </w:r>
      <w:r>
        <w:rPr>
          <w:color w:val="auto"/>
          <w:sz w:val="1"/>
          <w:szCs w:val="1"/>
        </w:rPr>
        <w:drawing>
          <wp:inline distT="0" distB="0" distL="0" distR="0">
            <wp:extent cx="400050" cy="7429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13888" behindDoc="1" locked="0" layoutInCell="0" allowOverlap="1">
            <wp:simplePos x="0" y="0"/>
            <wp:positionH relativeFrom="column">
              <wp:posOffset>-17145</wp:posOffset>
            </wp:positionH>
            <wp:positionV relativeFrom="paragraph">
              <wp:posOffset>133985</wp:posOffset>
            </wp:positionV>
            <wp:extent cx="7203440" cy="3683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59" w:bottom="1440" w:left="300" w:header="0" w:footer="0" w:gutter="0"/>
          <w:cols w:num="1" w:space="720" w:equalWidth="0">
            <w:col w:w="11240" w:space="0"/>
          </w:cols>
        </w:sectPr>
      </w:pPr>
    </w:p>
    <w:bookmarkStart w:id="63" w:name="page64"/>
    <w:bookmarkEnd w:id="63"/>
    <w:p>
      <w:pPr>
        <w:spacing w:after="0"/>
        <w:rPr>
          <w:color w:val="auto"/>
          <w:sz w:val="20"/>
          <w:szCs w:val="20"/>
        </w:rPr>
      </w:pPr>
      <w:r>
        <w:rPr>
          <w:rFonts w:ascii="Calibri" w:eastAsia="Calibri" w:hAnsi="Calibri" w:cs="Calibri"/>
          <w:b/>
          <w:bCs/>
          <w:color w:val="444867"/>
          <w:sz w:val="14"/>
          <w:szCs w:val="14"/>
        </w:rPr>
        <w:t>Note 3 Supplemental Financial Informaton</w:t>
      </w:r>
    </w:p>
    <w:p>
      <w:pPr>
        <w:spacing w:after="0" w:line="20" w:lineRule="exact"/>
        <w:rPr>
          <w:color w:val="auto"/>
          <w:sz w:val="20"/>
          <w:szCs w:val="20"/>
        </w:rPr>
      </w:pPr>
      <w:r>
        <w:rPr>
          <w:color w:val="auto"/>
          <w:sz w:val="20"/>
          <w:szCs w:val="20"/>
        </w:rPr>
        <w:drawing>
          <wp:anchor simplePos="0" relativeHeight="251814912" behindDoc="1" locked="0" layoutInCell="0" allowOverlap="1">
            <wp:simplePos x="0" y="0"/>
            <wp:positionH relativeFrom="column">
              <wp:posOffset>-4445</wp:posOffset>
            </wp:positionH>
            <wp:positionV relativeFrom="paragraph">
              <wp:posOffset>24130</wp:posOffset>
            </wp:positionV>
            <wp:extent cx="7166610" cy="571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Interest Expense, Net</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660"/>
        <w:gridCol w:w="2480"/>
        <w:gridCol w:w="1120"/>
        <w:gridCol w:w="400"/>
        <w:gridCol w:w="1140"/>
        <w:gridCol w:w="520"/>
        <w:gridCol w:w="960"/>
        <w:gridCol w:w="20"/>
      </w:tblGrid>
      <w:tr>
        <w:tblPrEx>
          <w:tblInd w:w="0" w:type="dxa"/>
          <w:tblLayout w:type="fixed"/>
        </w:tblPrEx>
        <w:trPr>
          <w:trHeight w:val="122"/>
        </w:trPr>
        <w:tc>
          <w:tcPr>
            <w:tcW w:w="466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2480" w:type="dxa"/>
            <w:vAlign w:val="bottom"/>
          </w:tcPr>
          <w:p>
            <w:pPr>
              <w:spacing w:after="0"/>
              <w:rPr>
                <w:color w:val="auto"/>
                <w:sz w:val="10"/>
                <w:szCs w:val="10"/>
              </w:rPr>
            </w:pPr>
          </w:p>
        </w:tc>
        <w:tc>
          <w:tcPr>
            <w:tcW w:w="1120" w:type="dxa"/>
            <w:vAlign w:val="bottom"/>
          </w:tcPr>
          <w:p>
            <w:pPr>
              <w:spacing w:after="0"/>
              <w:ind w:right="603"/>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140" w:type="dxa"/>
            <w:vAlign w:val="bottom"/>
          </w:tcPr>
          <w:p>
            <w:pPr>
              <w:spacing w:after="0"/>
              <w:ind w:right="622"/>
              <w:jc w:val="right"/>
              <w:rPr>
                <w:color w:val="auto"/>
                <w:sz w:val="20"/>
                <w:szCs w:val="20"/>
              </w:rPr>
            </w:pPr>
            <w:r>
              <w:rPr>
                <w:rFonts w:ascii="Calibri" w:eastAsia="Calibri" w:hAnsi="Calibri" w:cs="Calibri"/>
                <w:b/>
                <w:bCs/>
                <w:color w:val="auto"/>
                <w:sz w:val="10"/>
                <w:szCs w:val="10"/>
              </w:rPr>
              <w:t>2023</w:t>
            </w:r>
          </w:p>
        </w:tc>
        <w:tc>
          <w:tcPr>
            <w:tcW w:w="520" w:type="dxa"/>
            <w:vAlign w:val="bottom"/>
          </w:tcPr>
          <w:p>
            <w:pPr>
              <w:spacing w:after="0"/>
              <w:rPr>
                <w:color w:val="auto"/>
                <w:sz w:val="10"/>
                <w:szCs w:val="10"/>
              </w:rPr>
            </w:pPr>
          </w:p>
        </w:tc>
        <w:tc>
          <w:tcPr>
            <w:tcW w:w="960" w:type="dxa"/>
            <w:vAlign w:val="bottom"/>
          </w:tcPr>
          <w:p>
            <w:pPr>
              <w:spacing w:after="0"/>
              <w:ind w:right="562"/>
              <w:jc w:val="right"/>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10"/>
                <w:szCs w:val="10"/>
              </w:rPr>
            </w:pPr>
          </w:p>
        </w:tc>
      </w:tr>
      <w:tr>
        <w:tblPrEx>
          <w:tblInd w:w="0" w:type="dxa"/>
          <w:tblLayout w:type="fixed"/>
        </w:tblPrEx>
        <w:trPr>
          <w:trHeight w:val="32"/>
        </w:trPr>
        <w:tc>
          <w:tcPr>
            <w:tcW w:w="4660" w:type="dxa"/>
            <w:tcBorders>
              <w:bottom w:val="single" w:sz="8" w:space="0" w:color="auto"/>
            </w:tcBorders>
            <w:vAlign w:val="bottom"/>
          </w:tcPr>
          <w:p>
            <w:pPr>
              <w:spacing w:after="0"/>
              <w:rPr>
                <w:color w:val="auto"/>
                <w:sz w:val="2"/>
                <w:szCs w:val="2"/>
              </w:rPr>
            </w:pPr>
          </w:p>
        </w:tc>
        <w:tc>
          <w:tcPr>
            <w:tcW w:w="248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520" w:type="dxa"/>
            <w:tcBorders>
              <w:bottom w:val="single" w:sz="8" w:space="0" w:color="auto"/>
            </w:tcBorders>
            <w:vAlign w:val="bottom"/>
          </w:tcPr>
          <w:p>
            <w:pPr>
              <w:spacing w:after="0"/>
              <w:rPr>
                <w:color w:val="auto"/>
                <w:sz w:val="2"/>
                <w:szCs w:val="2"/>
              </w:rPr>
            </w:pPr>
          </w:p>
        </w:tc>
        <w:tc>
          <w:tcPr>
            <w:tcW w:w="96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r>
      <w:tr>
        <w:tblPrEx>
          <w:tblInd w:w="0" w:type="dxa"/>
          <w:tblLayout w:type="fixed"/>
        </w:tblPrEx>
        <w:trPr>
          <w:trHeight w:val="142"/>
        </w:trPr>
        <w:tc>
          <w:tcPr>
            <w:tcW w:w="46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Interest expense</w:t>
            </w:r>
          </w:p>
        </w:tc>
        <w:tc>
          <w:tcPr>
            <w:tcW w:w="248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2,808</w:t>
            </w: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2,224</w:t>
            </w:r>
          </w:p>
        </w:tc>
        <w:tc>
          <w:tcPr>
            <w:tcW w:w="520" w:type="dxa"/>
            <w:shd w:val="clear" w:color="auto" w:fill="CCEEFF"/>
            <w:vAlign w:val="bottom"/>
          </w:tcPr>
          <w:p>
            <w:pPr>
              <w:spacing w:after="0" w:line="142" w:lineRule="exact"/>
              <w:ind w:right="340"/>
              <w:jc w:val="right"/>
              <w:rPr>
                <w:color w:val="auto"/>
                <w:sz w:val="20"/>
                <w:szCs w:val="20"/>
              </w:rPr>
            </w:pPr>
            <w:r>
              <w:rPr>
                <w:rFonts w:ascii="Calibri" w:eastAsia="Calibri" w:hAnsi="Calibri" w:cs="Calibri"/>
                <w:color w:val="auto"/>
                <w:sz w:val="12"/>
                <w:szCs w:val="12"/>
              </w:rPr>
              <w:t>$</w:t>
            </w:r>
          </w:p>
        </w:tc>
        <w:tc>
          <w:tcPr>
            <w:tcW w:w="96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2,230</w:t>
            </w:r>
          </w:p>
        </w:tc>
        <w:tc>
          <w:tcPr>
            <w:tcW w:w="20" w:type="dxa"/>
            <w:vAlign w:val="bottom"/>
          </w:tcPr>
          <w:p>
            <w:pPr>
              <w:spacing w:after="0"/>
              <w:rPr>
                <w:color w:val="auto"/>
                <w:sz w:val="12"/>
                <w:szCs w:val="12"/>
              </w:rPr>
            </w:pPr>
          </w:p>
        </w:tc>
      </w:tr>
      <w:tr>
        <w:tblPrEx>
          <w:tblInd w:w="0" w:type="dxa"/>
          <w:tblLayout w:type="fixed"/>
        </w:tblPrEx>
        <w:trPr>
          <w:trHeight w:val="147"/>
        </w:trPr>
        <w:tc>
          <w:tcPr>
            <w:tcW w:w="46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Interest income</w:t>
            </w:r>
          </w:p>
        </w:tc>
        <w:tc>
          <w:tcPr>
            <w:tcW w:w="248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(648)</w:t>
            </w:r>
          </w:p>
        </w:tc>
        <w:tc>
          <w:tcPr>
            <w:tcW w:w="40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(540)</w:t>
            </w:r>
          </w:p>
        </w:tc>
        <w:tc>
          <w:tcPr>
            <w:tcW w:w="520" w:type="dxa"/>
            <w:tcBorders>
              <w:bottom w:val="single" w:sz="8" w:space="0" w:color="auto"/>
            </w:tcBorders>
            <w:vAlign w:val="bottom"/>
          </w:tcPr>
          <w:p>
            <w:pPr>
              <w:spacing w:after="0"/>
              <w:rPr>
                <w:color w:val="auto"/>
                <w:sz w:val="12"/>
                <w:szCs w:val="12"/>
              </w:rPr>
            </w:pPr>
          </w:p>
        </w:tc>
        <w:tc>
          <w:tcPr>
            <w:tcW w:w="9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(186)</w:t>
            </w:r>
          </w:p>
        </w:tc>
        <w:tc>
          <w:tcPr>
            <w:tcW w:w="20" w:type="dxa"/>
            <w:vAlign w:val="bottom"/>
          </w:tcPr>
          <w:p>
            <w:pPr>
              <w:spacing w:after="0"/>
              <w:rPr>
                <w:color w:val="auto"/>
                <w:sz w:val="12"/>
                <w:szCs w:val="12"/>
              </w:rPr>
            </w:pPr>
          </w:p>
        </w:tc>
      </w:tr>
      <w:tr>
        <w:tblPrEx>
          <w:tblInd w:w="0" w:type="dxa"/>
          <w:tblLayout w:type="fixed"/>
        </w:tblPrEx>
        <w:trPr>
          <w:trHeight w:val="164"/>
        </w:trPr>
        <w:tc>
          <w:tcPr>
            <w:tcW w:w="46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Interest expense, net</w:t>
            </w:r>
          </w:p>
        </w:tc>
        <w:tc>
          <w:tcPr>
            <w:tcW w:w="248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2,160</w:t>
            </w:r>
          </w:p>
        </w:tc>
        <w:tc>
          <w:tcPr>
            <w:tcW w:w="4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tcBorders>
              <w:bottom w:val="single" w:sz="8" w:space="0" w:color="auto"/>
            </w:tcBorders>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1,684</w:t>
            </w:r>
          </w:p>
        </w:tc>
        <w:tc>
          <w:tcPr>
            <w:tcW w:w="520" w:type="dxa"/>
            <w:tcBorders>
              <w:bottom w:val="single" w:sz="8" w:space="0" w:color="auto"/>
            </w:tcBorders>
            <w:shd w:val="clear" w:color="auto" w:fill="CCEEFF"/>
            <w:vAlign w:val="bottom"/>
          </w:tcPr>
          <w:p>
            <w:pPr>
              <w:spacing w:after="0" w:line="142" w:lineRule="exact"/>
              <w:ind w:right="340"/>
              <w:jc w:val="right"/>
              <w:rPr>
                <w:color w:val="auto"/>
                <w:sz w:val="20"/>
                <w:szCs w:val="20"/>
              </w:rPr>
            </w:pPr>
            <w:r>
              <w:rPr>
                <w:rFonts w:ascii="Calibri" w:eastAsia="Calibri" w:hAnsi="Calibri" w:cs="Calibri"/>
                <w:color w:val="auto"/>
                <w:sz w:val="12"/>
                <w:szCs w:val="12"/>
              </w:rPr>
              <w:t>$</w:t>
            </w:r>
          </w:p>
        </w:tc>
        <w:tc>
          <w:tcPr>
            <w:tcW w:w="96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2,044</w:t>
            </w:r>
          </w:p>
        </w:tc>
        <w:tc>
          <w:tcPr>
            <w:tcW w:w="20" w:type="dxa"/>
            <w:vAlign w:val="bottom"/>
          </w:tcPr>
          <w:p>
            <w:pPr>
              <w:spacing w:after="0"/>
              <w:rPr>
                <w:color w:val="auto"/>
                <w:sz w:val="14"/>
                <w:szCs w:val="14"/>
              </w:rPr>
            </w:pPr>
          </w:p>
        </w:tc>
      </w:tr>
      <w:tr>
        <w:tblPrEx>
          <w:tblInd w:w="0" w:type="dxa"/>
          <w:tblLayout w:type="fixed"/>
        </w:tblPrEx>
        <w:trPr>
          <w:trHeight w:val="280"/>
        </w:trPr>
        <w:tc>
          <w:tcPr>
            <w:tcW w:w="4660" w:type="dxa"/>
            <w:vAlign w:val="bottom"/>
          </w:tcPr>
          <w:p>
            <w:pPr>
              <w:spacing w:after="0"/>
              <w:rPr>
                <w:color w:val="auto"/>
                <w:sz w:val="20"/>
                <w:szCs w:val="20"/>
              </w:rPr>
            </w:pPr>
            <w:r>
              <w:rPr>
                <w:rFonts w:ascii="Calibri" w:eastAsia="Calibri" w:hAnsi="Calibri" w:cs="Calibri"/>
                <w:b/>
                <w:bCs/>
                <w:color w:val="444867"/>
                <w:sz w:val="12"/>
                <w:szCs w:val="12"/>
              </w:rPr>
              <w:t>Accounts Payable and Accrued Liabilites</w:t>
            </w:r>
          </w:p>
        </w:tc>
        <w:tc>
          <w:tcPr>
            <w:tcW w:w="2480" w:type="dxa"/>
            <w:vAlign w:val="bottom"/>
          </w:tcPr>
          <w:p>
            <w:pPr>
              <w:spacing w:after="0"/>
              <w:rPr>
                <w:color w:val="auto"/>
                <w:sz w:val="24"/>
                <w:szCs w:val="24"/>
              </w:rPr>
            </w:pPr>
          </w:p>
        </w:tc>
        <w:tc>
          <w:tcPr>
            <w:tcW w:w="1120" w:type="dxa"/>
            <w:vAlign w:val="bottom"/>
          </w:tcPr>
          <w:p>
            <w:pPr>
              <w:spacing w:after="0"/>
              <w:rPr>
                <w:color w:val="auto"/>
                <w:sz w:val="24"/>
                <w:szCs w:val="24"/>
              </w:rPr>
            </w:pPr>
          </w:p>
        </w:tc>
        <w:tc>
          <w:tcPr>
            <w:tcW w:w="400" w:type="dxa"/>
            <w:vAlign w:val="bottom"/>
          </w:tcPr>
          <w:p>
            <w:pPr>
              <w:spacing w:after="0"/>
              <w:rPr>
                <w:color w:val="auto"/>
                <w:sz w:val="24"/>
                <w:szCs w:val="24"/>
              </w:rPr>
            </w:pPr>
          </w:p>
        </w:tc>
        <w:tc>
          <w:tcPr>
            <w:tcW w:w="1140" w:type="dxa"/>
            <w:vAlign w:val="bottom"/>
          </w:tcPr>
          <w:p>
            <w:pPr>
              <w:spacing w:after="0"/>
              <w:rPr>
                <w:color w:val="auto"/>
                <w:sz w:val="24"/>
                <w:szCs w:val="24"/>
              </w:rPr>
            </w:pPr>
          </w:p>
        </w:tc>
        <w:tc>
          <w:tcPr>
            <w:tcW w:w="520" w:type="dxa"/>
            <w:vAlign w:val="bottom"/>
          </w:tcPr>
          <w:p>
            <w:pPr>
              <w:spacing w:after="0"/>
              <w:rPr>
                <w:color w:val="auto"/>
                <w:sz w:val="24"/>
                <w:szCs w:val="24"/>
              </w:rPr>
            </w:pPr>
          </w:p>
        </w:tc>
        <w:tc>
          <w:tcPr>
            <w:tcW w:w="960" w:type="dxa"/>
            <w:vAlign w:val="bottom"/>
          </w:tcPr>
          <w:p>
            <w:pPr>
              <w:spacing w:after="0"/>
              <w:rPr>
                <w:color w:val="auto"/>
                <w:sz w:val="24"/>
                <w:szCs w:val="24"/>
              </w:rPr>
            </w:pPr>
          </w:p>
        </w:tc>
        <w:tc>
          <w:tcPr>
            <w:tcW w:w="20" w:type="dxa"/>
            <w:vAlign w:val="bottom"/>
          </w:tcPr>
          <w:p>
            <w:pPr>
              <w:spacing w:after="0"/>
              <w:rPr>
                <w:color w:val="auto"/>
                <w:sz w:val="24"/>
                <w:szCs w:val="24"/>
              </w:rPr>
            </w:pPr>
          </w:p>
        </w:tc>
      </w:tr>
      <w:tr>
        <w:tblPrEx>
          <w:tblInd w:w="0" w:type="dxa"/>
          <w:tblLayout w:type="fixed"/>
        </w:tblPrEx>
        <w:trPr>
          <w:trHeight w:val="138"/>
        </w:trPr>
        <w:tc>
          <w:tcPr>
            <w:tcW w:w="466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248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140" w:type="dxa"/>
            <w:vAlign w:val="bottom"/>
          </w:tcPr>
          <w:p>
            <w:pPr>
              <w:spacing w:after="0"/>
              <w:ind w:right="622"/>
              <w:jc w:val="right"/>
              <w:rPr>
                <w:color w:val="auto"/>
                <w:sz w:val="20"/>
                <w:szCs w:val="20"/>
              </w:rPr>
            </w:pPr>
            <w:r>
              <w:rPr>
                <w:rFonts w:ascii="Calibri" w:eastAsia="Calibri" w:hAnsi="Calibri" w:cs="Calibri"/>
                <w:b/>
                <w:bCs/>
                <w:color w:val="auto"/>
                <w:sz w:val="10"/>
                <w:szCs w:val="10"/>
              </w:rPr>
              <w:t>2024</w:t>
            </w:r>
          </w:p>
        </w:tc>
        <w:tc>
          <w:tcPr>
            <w:tcW w:w="520" w:type="dxa"/>
            <w:vAlign w:val="bottom"/>
          </w:tcPr>
          <w:p>
            <w:pPr>
              <w:spacing w:after="0"/>
              <w:rPr>
                <w:color w:val="auto"/>
                <w:sz w:val="12"/>
                <w:szCs w:val="12"/>
              </w:rPr>
            </w:pPr>
          </w:p>
        </w:tc>
        <w:tc>
          <w:tcPr>
            <w:tcW w:w="960" w:type="dxa"/>
            <w:vAlign w:val="bottom"/>
          </w:tcPr>
          <w:p>
            <w:pPr>
              <w:spacing w:after="0"/>
              <w:ind w:right="562"/>
              <w:jc w:val="right"/>
              <w:rPr>
                <w:color w:val="auto"/>
                <w:sz w:val="20"/>
                <w:szCs w:val="20"/>
              </w:rPr>
            </w:pPr>
            <w:r>
              <w:rPr>
                <w:rFonts w:ascii="Calibri" w:eastAsia="Calibri" w:hAnsi="Calibri" w:cs="Calibri"/>
                <w:b/>
                <w:bCs/>
                <w:color w:val="auto"/>
                <w:sz w:val="10"/>
                <w:szCs w:val="10"/>
              </w:rPr>
              <w:t>2023</w:t>
            </w:r>
          </w:p>
        </w:tc>
        <w:tc>
          <w:tcPr>
            <w:tcW w:w="20" w:type="dxa"/>
            <w:vAlign w:val="bottom"/>
          </w:tcPr>
          <w:p>
            <w:pPr>
              <w:spacing w:after="0"/>
              <w:rPr>
                <w:color w:val="auto"/>
                <w:sz w:val="12"/>
                <w:szCs w:val="12"/>
              </w:rPr>
            </w:pPr>
          </w:p>
        </w:tc>
      </w:tr>
      <w:tr>
        <w:tblPrEx>
          <w:tblInd w:w="0" w:type="dxa"/>
          <w:tblLayout w:type="fixed"/>
        </w:tblPrEx>
        <w:trPr>
          <w:trHeight w:val="32"/>
        </w:trPr>
        <w:tc>
          <w:tcPr>
            <w:tcW w:w="4660" w:type="dxa"/>
            <w:tcBorders>
              <w:bottom w:val="single" w:sz="8" w:space="0" w:color="auto"/>
            </w:tcBorders>
            <w:vAlign w:val="bottom"/>
          </w:tcPr>
          <w:p>
            <w:pPr>
              <w:spacing w:after="0"/>
              <w:rPr>
                <w:color w:val="auto"/>
                <w:sz w:val="2"/>
                <w:szCs w:val="2"/>
              </w:rPr>
            </w:pPr>
          </w:p>
        </w:tc>
        <w:tc>
          <w:tcPr>
            <w:tcW w:w="248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520" w:type="dxa"/>
            <w:tcBorders>
              <w:bottom w:val="single" w:sz="8" w:space="0" w:color="auto"/>
            </w:tcBorders>
            <w:vAlign w:val="bottom"/>
          </w:tcPr>
          <w:p>
            <w:pPr>
              <w:spacing w:after="0"/>
              <w:rPr>
                <w:color w:val="auto"/>
                <w:sz w:val="2"/>
                <w:szCs w:val="2"/>
              </w:rPr>
            </w:pPr>
          </w:p>
        </w:tc>
        <w:tc>
          <w:tcPr>
            <w:tcW w:w="96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r>
      <w:tr>
        <w:tblPrEx>
          <w:tblInd w:w="0" w:type="dxa"/>
          <w:tblLayout w:type="fixed"/>
        </w:tblPrEx>
        <w:trPr>
          <w:trHeight w:val="142"/>
        </w:trPr>
        <w:tc>
          <w:tcPr>
            <w:tcW w:w="46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Sales rebates</w:t>
            </w:r>
          </w:p>
        </w:tc>
        <w:tc>
          <w:tcPr>
            <w:tcW w:w="248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14,304</w:t>
            </w:r>
          </w:p>
        </w:tc>
        <w:tc>
          <w:tcPr>
            <w:tcW w:w="520" w:type="dxa"/>
            <w:shd w:val="clear" w:color="auto" w:fill="CCEEFF"/>
            <w:vAlign w:val="bottom"/>
          </w:tcPr>
          <w:p>
            <w:pPr>
              <w:spacing w:after="0" w:line="142" w:lineRule="exact"/>
              <w:ind w:right="340"/>
              <w:jc w:val="right"/>
              <w:rPr>
                <w:color w:val="auto"/>
                <w:sz w:val="20"/>
                <w:szCs w:val="20"/>
              </w:rPr>
            </w:pPr>
            <w:r>
              <w:rPr>
                <w:rFonts w:ascii="Calibri" w:eastAsia="Calibri" w:hAnsi="Calibri" w:cs="Calibri"/>
                <w:color w:val="auto"/>
                <w:sz w:val="12"/>
                <w:szCs w:val="12"/>
              </w:rPr>
              <w:t>$</w:t>
            </w:r>
          </w:p>
        </w:tc>
        <w:tc>
          <w:tcPr>
            <w:tcW w:w="96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13,627</w:t>
            </w:r>
          </w:p>
        </w:tc>
        <w:tc>
          <w:tcPr>
            <w:tcW w:w="20" w:type="dxa"/>
            <w:vAlign w:val="bottom"/>
          </w:tcPr>
          <w:p>
            <w:pPr>
              <w:spacing w:after="0"/>
              <w:rPr>
                <w:color w:val="auto"/>
                <w:sz w:val="12"/>
                <w:szCs w:val="12"/>
              </w:rPr>
            </w:pPr>
          </w:p>
        </w:tc>
      </w:tr>
      <w:tr>
        <w:tblPrEx>
          <w:tblInd w:w="0" w:type="dxa"/>
          <w:tblLayout w:type="fixed"/>
        </w:tblPrEx>
        <w:trPr>
          <w:trHeight w:val="147"/>
        </w:trPr>
        <w:tc>
          <w:tcPr>
            <w:tcW w:w="4660" w:type="dxa"/>
            <w:vAlign w:val="bottom"/>
          </w:tcPr>
          <w:p>
            <w:pPr>
              <w:spacing w:after="0" w:line="142" w:lineRule="exact"/>
              <w:rPr>
                <w:color w:val="auto"/>
                <w:sz w:val="20"/>
                <w:szCs w:val="20"/>
              </w:rPr>
            </w:pPr>
            <w:r>
              <w:rPr>
                <w:rFonts w:ascii="Calibri" w:eastAsia="Calibri" w:hAnsi="Calibri" w:cs="Calibri"/>
                <w:color w:val="auto"/>
                <w:sz w:val="12"/>
                <w:szCs w:val="12"/>
              </w:rPr>
              <w:t>Dividends payable</w:t>
            </w:r>
          </w:p>
        </w:tc>
        <w:tc>
          <w:tcPr>
            <w:tcW w:w="248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14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2,936</w:t>
            </w:r>
          </w:p>
        </w:tc>
        <w:tc>
          <w:tcPr>
            <w:tcW w:w="520" w:type="dxa"/>
            <w:vAlign w:val="bottom"/>
          </w:tcPr>
          <w:p>
            <w:pPr>
              <w:spacing w:after="0"/>
              <w:rPr>
                <w:color w:val="auto"/>
                <w:sz w:val="12"/>
                <w:szCs w:val="12"/>
              </w:rPr>
            </w:pPr>
          </w:p>
        </w:tc>
        <w:tc>
          <w:tcPr>
            <w:tcW w:w="9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2,783</w:t>
            </w:r>
          </w:p>
        </w:tc>
        <w:tc>
          <w:tcPr>
            <w:tcW w:w="20" w:type="dxa"/>
            <w:vAlign w:val="bottom"/>
          </w:tcPr>
          <w:p>
            <w:pPr>
              <w:spacing w:after="0"/>
              <w:rPr>
                <w:color w:val="auto"/>
                <w:sz w:val="12"/>
                <w:szCs w:val="12"/>
              </w:rPr>
            </w:pPr>
          </w:p>
        </w:tc>
      </w:tr>
      <w:tr>
        <w:tblPrEx>
          <w:tblInd w:w="0" w:type="dxa"/>
          <w:tblLayout w:type="fixed"/>
        </w:tblPrEx>
        <w:trPr>
          <w:trHeight w:val="159"/>
        </w:trPr>
        <w:tc>
          <w:tcPr>
            <w:tcW w:w="4660" w:type="dxa"/>
            <w:shd w:val="clear" w:color="auto" w:fill="CCEEFF"/>
            <w:vAlign w:val="bottom"/>
          </w:tcPr>
          <w:p>
            <w:pPr>
              <w:spacing w:after="0"/>
              <w:rPr>
                <w:color w:val="auto"/>
                <w:sz w:val="20"/>
                <w:szCs w:val="20"/>
              </w:rPr>
            </w:pPr>
            <w:r>
              <w:rPr>
                <w:rFonts w:ascii="Calibri" w:eastAsia="Calibri" w:hAnsi="Calibri" w:cs="Calibri"/>
                <w:color w:val="auto"/>
                <w:sz w:val="12"/>
                <w:szCs w:val="12"/>
              </w:rPr>
              <w:t>Accounts payable</w:t>
            </w:r>
          </w:p>
        </w:tc>
        <w:tc>
          <w:tcPr>
            <w:tcW w:w="24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2,945</w:t>
            </w:r>
          </w:p>
        </w:tc>
        <w:tc>
          <w:tcPr>
            <w:tcW w:w="520" w:type="dxa"/>
            <w:shd w:val="clear" w:color="auto" w:fill="CCEEFF"/>
            <w:vAlign w:val="bottom"/>
          </w:tcPr>
          <w:p>
            <w:pPr>
              <w:spacing w:after="0"/>
              <w:rPr>
                <w:color w:val="auto"/>
                <w:sz w:val="13"/>
                <w:szCs w:val="13"/>
              </w:rPr>
            </w:pPr>
          </w:p>
        </w:tc>
        <w:tc>
          <w:tcPr>
            <w:tcW w:w="9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3,688</w:t>
            </w:r>
          </w:p>
        </w:tc>
        <w:tc>
          <w:tcPr>
            <w:tcW w:w="20" w:type="dxa"/>
            <w:vAlign w:val="bottom"/>
          </w:tcPr>
          <w:p>
            <w:pPr>
              <w:spacing w:after="0"/>
              <w:rPr>
                <w:color w:val="auto"/>
                <w:sz w:val="13"/>
                <w:szCs w:val="13"/>
              </w:rPr>
            </w:pPr>
          </w:p>
        </w:tc>
      </w:tr>
      <w:tr>
        <w:tblPrEx>
          <w:tblInd w:w="0" w:type="dxa"/>
          <w:tblLayout w:type="fixed"/>
        </w:tblPrEx>
        <w:trPr>
          <w:trHeight w:val="147"/>
        </w:trPr>
        <w:tc>
          <w:tcPr>
            <w:tcW w:w="4660" w:type="dxa"/>
            <w:vAlign w:val="bottom"/>
          </w:tcPr>
          <w:p>
            <w:pPr>
              <w:spacing w:after="0" w:line="142" w:lineRule="exact"/>
              <w:rPr>
                <w:color w:val="auto"/>
                <w:sz w:val="20"/>
                <w:szCs w:val="20"/>
              </w:rPr>
            </w:pPr>
            <w:r>
              <w:rPr>
                <w:rFonts w:ascii="Calibri" w:eastAsia="Calibri" w:hAnsi="Calibri" w:cs="Calibri"/>
                <w:color w:val="auto"/>
                <w:sz w:val="12"/>
                <w:szCs w:val="12"/>
              </w:rPr>
              <w:t>Current porton of contngent consideraton liabilites</w:t>
            </w:r>
          </w:p>
        </w:tc>
        <w:tc>
          <w:tcPr>
            <w:tcW w:w="248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14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2,589</w:t>
            </w:r>
          </w:p>
        </w:tc>
        <w:tc>
          <w:tcPr>
            <w:tcW w:w="520" w:type="dxa"/>
            <w:vAlign w:val="bottom"/>
          </w:tcPr>
          <w:p>
            <w:pPr>
              <w:spacing w:after="0"/>
              <w:rPr>
                <w:color w:val="auto"/>
                <w:sz w:val="12"/>
                <w:szCs w:val="12"/>
              </w:rPr>
            </w:pPr>
          </w:p>
        </w:tc>
        <w:tc>
          <w:tcPr>
            <w:tcW w:w="9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1,952</w:t>
            </w:r>
          </w:p>
        </w:tc>
        <w:tc>
          <w:tcPr>
            <w:tcW w:w="20" w:type="dxa"/>
            <w:vAlign w:val="bottom"/>
          </w:tcPr>
          <w:p>
            <w:pPr>
              <w:spacing w:after="0"/>
              <w:rPr>
                <w:color w:val="auto"/>
                <w:sz w:val="12"/>
                <w:szCs w:val="12"/>
              </w:rPr>
            </w:pPr>
          </w:p>
        </w:tc>
      </w:tr>
      <w:tr>
        <w:tblPrEx>
          <w:tblInd w:w="0" w:type="dxa"/>
          <w:tblLayout w:type="fixed"/>
        </w:tblPrEx>
        <w:trPr>
          <w:trHeight w:val="159"/>
        </w:trPr>
        <w:tc>
          <w:tcPr>
            <w:tcW w:w="4660" w:type="dxa"/>
            <w:shd w:val="clear" w:color="auto" w:fill="CCEEFF"/>
            <w:vAlign w:val="bottom"/>
          </w:tcPr>
          <w:p>
            <w:pPr>
              <w:spacing w:after="0"/>
              <w:rPr>
                <w:color w:val="auto"/>
                <w:sz w:val="20"/>
                <w:szCs w:val="20"/>
              </w:rPr>
            </w:pPr>
            <w:r>
              <w:rPr>
                <w:rFonts w:ascii="Calibri" w:eastAsia="Calibri" w:hAnsi="Calibri" w:cs="Calibri"/>
                <w:color w:val="auto"/>
                <w:sz w:val="12"/>
                <w:szCs w:val="12"/>
              </w:rPr>
              <w:t>Salaries, wages and commissions</w:t>
            </w:r>
          </w:p>
        </w:tc>
        <w:tc>
          <w:tcPr>
            <w:tcW w:w="24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1,986</w:t>
            </w:r>
          </w:p>
        </w:tc>
        <w:tc>
          <w:tcPr>
            <w:tcW w:w="520" w:type="dxa"/>
            <w:shd w:val="clear" w:color="auto" w:fill="CCEEFF"/>
            <w:vAlign w:val="bottom"/>
          </w:tcPr>
          <w:p>
            <w:pPr>
              <w:spacing w:after="0"/>
              <w:rPr>
                <w:color w:val="auto"/>
                <w:sz w:val="13"/>
                <w:szCs w:val="13"/>
              </w:rPr>
            </w:pPr>
          </w:p>
        </w:tc>
        <w:tc>
          <w:tcPr>
            <w:tcW w:w="9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1,802</w:t>
            </w:r>
          </w:p>
        </w:tc>
        <w:tc>
          <w:tcPr>
            <w:tcW w:w="20" w:type="dxa"/>
            <w:vAlign w:val="bottom"/>
          </w:tcPr>
          <w:p>
            <w:pPr>
              <w:spacing w:after="0"/>
              <w:rPr>
                <w:color w:val="auto"/>
                <w:sz w:val="13"/>
                <w:szCs w:val="13"/>
              </w:rPr>
            </w:pPr>
          </w:p>
        </w:tc>
      </w:tr>
      <w:tr>
        <w:tblPrEx>
          <w:tblInd w:w="0" w:type="dxa"/>
          <w:tblLayout w:type="fixed"/>
        </w:tblPrEx>
        <w:trPr>
          <w:trHeight w:val="147"/>
        </w:trPr>
        <w:tc>
          <w:tcPr>
            <w:tcW w:w="4660" w:type="dxa"/>
            <w:vAlign w:val="bottom"/>
          </w:tcPr>
          <w:p>
            <w:pPr>
              <w:spacing w:after="0" w:line="142" w:lineRule="exact"/>
              <w:rPr>
                <w:color w:val="auto"/>
                <w:sz w:val="20"/>
                <w:szCs w:val="20"/>
              </w:rPr>
            </w:pPr>
            <w:r>
              <w:rPr>
                <w:rFonts w:ascii="Calibri" w:eastAsia="Calibri" w:hAnsi="Calibri" w:cs="Calibri"/>
                <w:color w:val="auto"/>
                <w:sz w:val="12"/>
                <w:szCs w:val="12"/>
              </w:rPr>
              <w:t>Royalty and license arrangements</w:t>
            </w:r>
          </w:p>
        </w:tc>
        <w:tc>
          <w:tcPr>
            <w:tcW w:w="248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14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527</w:t>
            </w:r>
          </w:p>
        </w:tc>
        <w:tc>
          <w:tcPr>
            <w:tcW w:w="520" w:type="dxa"/>
            <w:vAlign w:val="bottom"/>
          </w:tcPr>
          <w:p>
            <w:pPr>
              <w:spacing w:after="0"/>
              <w:rPr>
                <w:color w:val="auto"/>
                <w:sz w:val="12"/>
                <w:szCs w:val="12"/>
              </w:rPr>
            </w:pPr>
          </w:p>
        </w:tc>
        <w:tc>
          <w:tcPr>
            <w:tcW w:w="9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360</w:t>
            </w:r>
          </w:p>
        </w:tc>
        <w:tc>
          <w:tcPr>
            <w:tcW w:w="20" w:type="dxa"/>
            <w:vAlign w:val="bottom"/>
          </w:tcPr>
          <w:p>
            <w:pPr>
              <w:spacing w:after="0"/>
              <w:rPr>
                <w:color w:val="auto"/>
                <w:sz w:val="12"/>
                <w:szCs w:val="12"/>
              </w:rPr>
            </w:pPr>
          </w:p>
        </w:tc>
      </w:tr>
      <w:tr>
        <w:tblPrEx>
          <w:tblInd w:w="0" w:type="dxa"/>
          <w:tblLayout w:type="fixed"/>
        </w:tblPrEx>
        <w:trPr>
          <w:trHeight w:val="153"/>
        </w:trPr>
        <w:tc>
          <w:tcPr>
            <w:tcW w:w="46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Other</w:t>
            </w:r>
          </w:p>
        </w:tc>
        <w:tc>
          <w:tcPr>
            <w:tcW w:w="24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rPr>
                <w:color w:val="auto"/>
                <w:sz w:val="13"/>
                <w:szCs w:val="13"/>
              </w:rPr>
            </w:pPr>
          </w:p>
        </w:tc>
        <w:tc>
          <w:tcPr>
            <w:tcW w:w="400" w:type="dxa"/>
            <w:tcBorders>
              <w:bottom w:val="single" w:sz="8" w:space="0" w:color="auto"/>
            </w:tcBorders>
            <w:shd w:val="clear" w:color="auto" w:fill="CCEEFF"/>
            <w:vAlign w:val="bottom"/>
          </w:tcPr>
          <w:p>
            <w:pPr>
              <w:spacing w:after="0"/>
              <w:rPr>
                <w:color w:val="auto"/>
                <w:sz w:val="13"/>
                <w:szCs w:val="13"/>
              </w:rPr>
            </w:pPr>
          </w:p>
        </w:tc>
        <w:tc>
          <w:tcPr>
            <w:tcW w:w="1140" w:type="dxa"/>
            <w:tcBorders>
              <w:bottom w:val="single" w:sz="8" w:space="0" w:color="auto"/>
            </w:tcBorders>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6,658</w:t>
            </w:r>
          </w:p>
        </w:tc>
        <w:tc>
          <w:tcPr>
            <w:tcW w:w="520" w:type="dxa"/>
            <w:tcBorders>
              <w:bottom w:val="single" w:sz="8" w:space="0" w:color="auto"/>
            </w:tcBorders>
            <w:shd w:val="clear" w:color="auto" w:fill="CCEEFF"/>
            <w:vAlign w:val="bottom"/>
          </w:tcPr>
          <w:p>
            <w:pPr>
              <w:spacing w:after="0"/>
              <w:rPr>
                <w:color w:val="auto"/>
                <w:sz w:val="13"/>
                <w:szCs w:val="13"/>
              </w:rPr>
            </w:pPr>
          </w:p>
        </w:tc>
        <w:tc>
          <w:tcPr>
            <w:tcW w:w="96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6,438</w:t>
            </w:r>
          </w:p>
        </w:tc>
        <w:tc>
          <w:tcPr>
            <w:tcW w:w="20" w:type="dxa"/>
            <w:vAlign w:val="bottom"/>
          </w:tcPr>
          <w:p>
            <w:pPr>
              <w:spacing w:after="0"/>
              <w:rPr>
                <w:color w:val="auto"/>
                <w:sz w:val="13"/>
                <w:szCs w:val="13"/>
              </w:rPr>
            </w:pPr>
          </w:p>
        </w:tc>
      </w:tr>
      <w:tr>
        <w:tblPrEx>
          <w:tblInd w:w="0" w:type="dxa"/>
          <w:tblLayout w:type="fixed"/>
        </w:tblPrEx>
        <w:trPr>
          <w:trHeight w:val="142"/>
        </w:trPr>
        <w:tc>
          <w:tcPr>
            <w:tcW w:w="46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Accounts payable and accrued liabilites</w:t>
            </w:r>
          </w:p>
        </w:tc>
        <w:tc>
          <w:tcPr>
            <w:tcW w:w="248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rPr>
                <w:color w:val="auto"/>
                <w:sz w:val="12"/>
                <w:szCs w:val="12"/>
              </w:rPr>
            </w:pP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31,945</w:t>
            </w:r>
          </w:p>
        </w:tc>
        <w:tc>
          <w:tcPr>
            <w:tcW w:w="520" w:type="dxa"/>
            <w:tcBorders>
              <w:bottom w:val="single" w:sz="8" w:space="0" w:color="auto"/>
            </w:tcBorders>
            <w:vAlign w:val="bottom"/>
          </w:tcPr>
          <w:p>
            <w:pPr>
              <w:spacing w:after="0" w:line="142" w:lineRule="exact"/>
              <w:ind w:right="340"/>
              <w:jc w:val="right"/>
              <w:rPr>
                <w:color w:val="auto"/>
                <w:sz w:val="20"/>
                <w:szCs w:val="20"/>
              </w:rPr>
            </w:pPr>
            <w:r>
              <w:rPr>
                <w:rFonts w:ascii="Calibri" w:eastAsia="Calibri" w:hAnsi="Calibri" w:cs="Calibri"/>
                <w:color w:val="auto"/>
                <w:sz w:val="12"/>
                <w:szCs w:val="12"/>
              </w:rPr>
              <w:t>$</w:t>
            </w:r>
          </w:p>
        </w:tc>
        <w:tc>
          <w:tcPr>
            <w:tcW w:w="9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30,650</w:t>
            </w:r>
          </w:p>
        </w:tc>
        <w:tc>
          <w:tcPr>
            <w:tcW w:w="20" w:type="dxa"/>
            <w:vAlign w:val="bottom"/>
          </w:tcPr>
          <w:p>
            <w:pPr>
              <w:spacing w:after="0"/>
              <w:rPr>
                <w:color w:val="auto"/>
                <w:sz w:val="12"/>
                <w:szCs w:val="12"/>
              </w:rPr>
            </w:pPr>
          </w:p>
        </w:tc>
      </w:tr>
      <w:tr>
        <w:tblPrEx>
          <w:tblInd w:w="0" w:type="dxa"/>
          <w:tblLayout w:type="fixed"/>
        </w:tblPrEx>
        <w:trPr>
          <w:trHeight w:val="20"/>
        </w:trPr>
        <w:tc>
          <w:tcPr>
            <w:tcW w:w="4660" w:type="dxa"/>
            <w:tcBorders>
              <w:bottom w:val="single" w:sz="8" w:space="0" w:color="auto"/>
            </w:tcBorders>
            <w:vAlign w:val="bottom"/>
          </w:tcPr>
          <w:p>
            <w:pPr>
              <w:spacing w:after="0" w:line="20" w:lineRule="exact"/>
              <w:rPr>
                <w:color w:val="auto"/>
                <w:sz w:val="1"/>
                <w:szCs w:val="1"/>
              </w:rPr>
            </w:pPr>
          </w:p>
        </w:tc>
        <w:tc>
          <w:tcPr>
            <w:tcW w:w="248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400" w:type="dxa"/>
            <w:tcBorders>
              <w:bottom w:val="single" w:sz="8" w:space="0" w:color="auto"/>
            </w:tcBorders>
            <w:vAlign w:val="bottom"/>
          </w:tcPr>
          <w:p>
            <w:pPr>
              <w:spacing w:after="0" w:line="20" w:lineRule="exact"/>
              <w:rPr>
                <w:color w:val="auto"/>
                <w:sz w:val="1"/>
                <w:szCs w:val="1"/>
              </w:rPr>
            </w:pPr>
          </w:p>
        </w:tc>
        <w:tc>
          <w:tcPr>
            <w:tcW w:w="1140" w:type="dxa"/>
            <w:tcBorders>
              <w:bottom w:val="single" w:sz="8" w:space="0" w:color="auto"/>
            </w:tcBorders>
            <w:vAlign w:val="bottom"/>
          </w:tcPr>
          <w:p>
            <w:pPr>
              <w:spacing w:after="0" w:line="20" w:lineRule="exact"/>
              <w:rPr>
                <w:color w:val="auto"/>
                <w:sz w:val="1"/>
                <w:szCs w:val="1"/>
              </w:rPr>
            </w:pPr>
          </w:p>
        </w:tc>
        <w:tc>
          <w:tcPr>
            <w:tcW w:w="520" w:type="dxa"/>
            <w:tcBorders>
              <w:bottom w:val="single" w:sz="8" w:space="0" w:color="auto"/>
            </w:tcBorders>
            <w:vAlign w:val="bottom"/>
          </w:tcPr>
          <w:p>
            <w:pPr>
              <w:spacing w:after="0" w:line="20" w:lineRule="exact"/>
              <w:rPr>
                <w:color w:val="auto"/>
                <w:sz w:val="1"/>
                <w:szCs w:val="1"/>
              </w:rPr>
            </w:pPr>
          </w:p>
        </w:tc>
        <w:tc>
          <w:tcPr>
            <w:tcW w:w="960" w:type="dxa"/>
            <w:tcBorders>
              <w:bottom w:val="single" w:sz="8" w:space="0" w:color="auto"/>
            </w:tcBorders>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r>
      <w:tr>
        <w:tblPrEx>
          <w:tblInd w:w="0" w:type="dxa"/>
          <w:tblLayout w:type="fixed"/>
        </w:tblPrEx>
        <w:trPr>
          <w:trHeight w:val="262"/>
        </w:trPr>
        <w:tc>
          <w:tcPr>
            <w:tcW w:w="4660" w:type="dxa"/>
            <w:vAlign w:val="bottom"/>
          </w:tcPr>
          <w:p>
            <w:pPr>
              <w:spacing w:after="0"/>
              <w:rPr>
                <w:color w:val="auto"/>
                <w:sz w:val="20"/>
                <w:szCs w:val="20"/>
              </w:rPr>
            </w:pPr>
            <w:r>
              <w:rPr>
                <w:rFonts w:ascii="Calibri" w:eastAsia="Calibri" w:hAnsi="Calibri" w:cs="Calibri"/>
                <w:b/>
                <w:bCs/>
                <w:color w:val="444867"/>
                <w:sz w:val="12"/>
                <w:szCs w:val="12"/>
              </w:rPr>
              <w:t>Other Long-Term Liabilites</w:t>
            </w:r>
          </w:p>
        </w:tc>
        <w:tc>
          <w:tcPr>
            <w:tcW w:w="2480" w:type="dxa"/>
            <w:vAlign w:val="bottom"/>
          </w:tcPr>
          <w:p>
            <w:pPr>
              <w:spacing w:after="0"/>
              <w:rPr>
                <w:color w:val="auto"/>
                <w:sz w:val="22"/>
                <w:szCs w:val="22"/>
              </w:rPr>
            </w:pPr>
          </w:p>
        </w:tc>
        <w:tc>
          <w:tcPr>
            <w:tcW w:w="1120" w:type="dxa"/>
            <w:vAlign w:val="bottom"/>
          </w:tcPr>
          <w:p>
            <w:pPr>
              <w:spacing w:after="0"/>
              <w:rPr>
                <w:color w:val="auto"/>
                <w:sz w:val="22"/>
                <w:szCs w:val="22"/>
              </w:rPr>
            </w:pPr>
          </w:p>
        </w:tc>
        <w:tc>
          <w:tcPr>
            <w:tcW w:w="400" w:type="dxa"/>
            <w:vAlign w:val="bottom"/>
          </w:tcPr>
          <w:p>
            <w:pPr>
              <w:spacing w:after="0"/>
              <w:rPr>
                <w:color w:val="auto"/>
                <w:sz w:val="22"/>
                <w:szCs w:val="22"/>
              </w:rPr>
            </w:pPr>
          </w:p>
        </w:tc>
        <w:tc>
          <w:tcPr>
            <w:tcW w:w="1140" w:type="dxa"/>
            <w:vAlign w:val="bottom"/>
          </w:tcPr>
          <w:p>
            <w:pPr>
              <w:spacing w:after="0"/>
              <w:rPr>
                <w:color w:val="auto"/>
                <w:sz w:val="22"/>
                <w:szCs w:val="22"/>
              </w:rPr>
            </w:pPr>
          </w:p>
        </w:tc>
        <w:tc>
          <w:tcPr>
            <w:tcW w:w="520" w:type="dxa"/>
            <w:vAlign w:val="bottom"/>
          </w:tcPr>
          <w:p>
            <w:pPr>
              <w:spacing w:after="0"/>
              <w:rPr>
                <w:color w:val="auto"/>
                <w:sz w:val="22"/>
                <w:szCs w:val="22"/>
              </w:rPr>
            </w:pPr>
          </w:p>
        </w:tc>
        <w:tc>
          <w:tcPr>
            <w:tcW w:w="960" w:type="dxa"/>
            <w:vAlign w:val="bottom"/>
          </w:tcPr>
          <w:p>
            <w:pPr>
              <w:spacing w:after="0"/>
              <w:rPr>
                <w:color w:val="auto"/>
                <w:sz w:val="22"/>
                <w:szCs w:val="22"/>
              </w:rPr>
            </w:pPr>
          </w:p>
        </w:tc>
        <w:tc>
          <w:tcPr>
            <w:tcW w:w="20" w:type="dxa"/>
            <w:vAlign w:val="bottom"/>
          </w:tcPr>
          <w:p>
            <w:pPr>
              <w:spacing w:after="0"/>
              <w:rPr>
                <w:color w:val="auto"/>
                <w:sz w:val="22"/>
                <w:szCs w:val="22"/>
              </w:rPr>
            </w:pPr>
          </w:p>
        </w:tc>
      </w:tr>
      <w:tr>
        <w:tblPrEx>
          <w:tblInd w:w="0" w:type="dxa"/>
          <w:tblLayout w:type="fixed"/>
        </w:tblPrEx>
        <w:trPr>
          <w:trHeight w:val="138"/>
        </w:trPr>
        <w:tc>
          <w:tcPr>
            <w:tcW w:w="466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248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140" w:type="dxa"/>
            <w:vAlign w:val="bottom"/>
          </w:tcPr>
          <w:p>
            <w:pPr>
              <w:spacing w:after="0"/>
              <w:ind w:right="622"/>
              <w:jc w:val="right"/>
              <w:rPr>
                <w:color w:val="auto"/>
                <w:sz w:val="20"/>
                <w:szCs w:val="20"/>
              </w:rPr>
            </w:pPr>
            <w:r>
              <w:rPr>
                <w:rFonts w:ascii="Calibri" w:eastAsia="Calibri" w:hAnsi="Calibri" w:cs="Calibri"/>
                <w:b/>
                <w:bCs/>
                <w:color w:val="auto"/>
                <w:sz w:val="10"/>
                <w:szCs w:val="10"/>
              </w:rPr>
              <w:t>2024</w:t>
            </w:r>
          </w:p>
        </w:tc>
        <w:tc>
          <w:tcPr>
            <w:tcW w:w="520" w:type="dxa"/>
            <w:vAlign w:val="bottom"/>
          </w:tcPr>
          <w:p>
            <w:pPr>
              <w:spacing w:after="0"/>
              <w:rPr>
                <w:color w:val="auto"/>
                <w:sz w:val="12"/>
                <w:szCs w:val="12"/>
              </w:rPr>
            </w:pPr>
          </w:p>
        </w:tc>
        <w:tc>
          <w:tcPr>
            <w:tcW w:w="960" w:type="dxa"/>
            <w:vAlign w:val="bottom"/>
          </w:tcPr>
          <w:p>
            <w:pPr>
              <w:spacing w:after="0"/>
              <w:ind w:right="562"/>
              <w:jc w:val="right"/>
              <w:rPr>
                <w:color w:val="auto"/>
                <w:sz w:val="20"/>
                <w:szCs w:val="20"/>
              </w:rPr>
            </w:pPr>
            <w:r>
              <w:rPr>
                <w:rFonts w:ascii="Calibri" w:eastAsia="Calibri" w:hAnsi="Calibri" w:cs="Calibri"/>
                <w:b/>
                <w:bCs/>
                <w:color w:val="auto"/>
                <w:sz w:val="10"/>
                <w:szCs w:val="10"/>
              </w:rPr>
              <w:t>2023</w:t>
            </w:r>
          </w:p>
        </w:tc>
        <w:tc>
          <w:tcPr>
            <w:tcW w:w="20" w:type="dxa"/>
            <w:vAlign w:val="bottom"/>
          </w:tcPr>
          <w:p>
            <w:pPr>
              <w:spacing w:after="0"/>
              <w:rPr>
                <w:color w:val="auto"/>
                <w:sz w:val="12"/>
                <w:szCs w:val="12"/>
              </w:rPr>
            </w:pPr>
          </w:p>
        </w:tc>
      </w:tr>
      <w:tr>
        <w:tblPrEx>
          <w:tblInd w:w="0" w:type="dxa"/>
          <w:tblLayout w:type="fixed"/>
        </w:tblPrEx>
        <w:trPr>
          <w:trHeight w:val="32"/>
        </w:trPr>
        <w:tc>
          <w:tcPr>
            <w:tcW w:w="4660" w:type="dxa"/>
            <w:tcBorders>
              <w:bottom w:val="single" w:sz="8" w:space="0" w:color="auto"/>
            </w:tcBorders>
            <w:vAlign w:val="bottom"/>
          </w:tcPr>
          <w:p>
            <w:pPr>
              <w:spacing w:after="0"/>
              <w:rPr>
                <w:color w:val="auto"/>
                <w:sz w:val="2"/>
                <w:szCs w:val="2"/>
              </w:rPr>
            </w:pPr>
          </w:p>
        </w:tc>
        <w:tc>
          <w:tcPr>
            <w:tcW w:w="248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520" w:type="dxa"/>
            <w:tcBorders>
              <w:bottom w:val="single" w:sz="8" w:space="0" w:color="auto"/>
            </w:tcBorders>
            <w:vAlign w:val="bottom"/>
          </w:tcPr>
          <w:p>
            <w:pPr>
              <w:spacing w:after="0"/>
              <w:rPr>
                <w:color w:val="auto"/>
                <w:sz w:val="2"/>
                <w:szCs w:val="2"/>
              </w:rPr>
            </w:pPr>
          </w:p>
        </w:tc>
        <w:tc>
          <w:tcPr>
            <w:tcW w:w="96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r>
      <w:tr>
        <w:tblPrEx>
          <w:tblInd w:w="0" w:type="dxa"/>
          <w:tblLayout w:type="fixed"/>
        </w:tblPrEx>
        <w:trPr>
          <w:trHeight w:val="142"/>
        </w:trPr>
        <w:tc>
          <w:tcPr>
            <w:tcW w:w="46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Contngent consideraton liabilites</w:t>
            </w:r>
          </w:p>
        </w:tc>
        <w:tc>
          <w:tcPr>
            <w:tcW w:w="248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19,077</w:t>
            </w:r>
          </w:p>
        </w:tc>
        <w:tc>
          <w:tcPr>
            <w:tcW w:w="520" w:type="dxa"/>
            <w:shd w:val="clear" w:color="auto" w:fill="CCEEFF"/>
            <w:vAlign w:val="bottom"/>
          </w:tcPr>
          <w:p>
            <w:pPr>
              <w:spacing w:after="0" w:line="142" w:lineRule="exact"/>
              <w:ind w:right="340"/>
              <w:jc w:val="right"/>
              <w:rPr>
                <w:color w:val="auto"/>
                <w:sz w:val="20"/>
                <w:szCs w:val="20"/>
              </w:rPr>
            </w:pPr>
            <w:r>
              <w:rPr>
                <w:rFonts w:ascii="Calibri" w:eastAsia="Calibri" w:hAnsi="Calibri" w:cs="Calibri"/>
                <w:color w:val="auto"/>
                <w:sz w:val="12"/>
                <w:szCs w:val="12"/>
              </w:rPr>
              <w:t>$</w:t>
            </w:r>
          </w:p>
        </w:tc>
        <w:tc>
          <w:tcPr>
            <w:tcW w:w="96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17,938</w:t>
            </w:r>
          </w:p>
        </w:tc>
        <w:tc>
          <w:tcPr>
            <w:tcW w:w="20" w:type="dxa"/>
            <w:vAlign w:val="bottom"/>
          </w:tcPr>
          <w:p>
            <w:pPr>
              <w:spacing w:after="0"/>
              <w:rPr>
                <w:color w:val="auto"/>
                <w:sz w:val="12"/>
                <w:szCs w:val="12"/>
              </w:rPr>
            </w:pPr>
          </w:p>
        </w:tc>
      </w:tr>
      <w:tr>
        <w:tblPrEx>
          <w:tblInd w:w="0" w:type="dxa"/>
          <w:tblLayout w:type="fixed"/>
        </w:tblPrEx>
        <w:trPr>
          <w:trHeight w:val="147"/>
        </w:trPr>
        <w:tc>
          <w:tcPr>
            <w:tcW w:w="4660" w:type="dxa"/>
            <w:vAlign w:val="bottom"/>
          </w:tcPr>
          <w:p>
            <w:pPr>
              <w:spacing w:after="0" w:line="142" w:lineRule="exact"/>
              <w:rPr>
                <w:color w:val="auto"/>
                <w:sz w:val="20"/>
                <w:szCs w:val="20"/>
              </w:rPr>
            </w:pPr>
            <w:r>
              <w:rPr>
                <w:rFonts w:ascii="Calibri" w:eastAsia="Calibri" w:hAnsi="Calibri" w:cs="Calibri"/>
                <w:color w:val="auto"/>
                <w:sz w:val="12"/>
                <w:szCs w:val="12"/>
              </w:rPr>
              <w:t>Liabilites for unrecognized tax benefts</w:t>
            </w:r>
          </w:p>
        </w:tc>
        <w:tc>
          <w:tcPr>
            <w:tcW w:w="248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14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5,049</w:t>
            </w:r>
          </w:p>
        </w:tc>
        <w:tc>
          <w:tcPr>
            <w:tcW w:w="520" w:type="dxa"/>
            <w:vAlign w:val="bottom"/>
          </w:tcPr>
          <w:p>
            <w:pPr>
              <w:spacing w:after="0"/>
              <w:rPr>
                <w:color w:val="auto"/>
                <w:sz w:val="12"/>
                <w:szCs w:val="12"/>
              </w:rPr>
            </w:pPr>
          </w:p>
        </w:tc>
        <w:tc>
          <w:tcPr>
            <w:tcW w:w="9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6,681</w:t>
            </w:r>
          </w:p>
        </w:tc>
        <w:tc>
          <w:tcPr>
            <w:tcW w:w="20" w:type="dxa"/>
            <w:vAlign w:val="bottom"/>
          </w:tcPr>
          <w:p>
            <w:pPr>
              <w:spacing w:after="0"/>
              <w:rPr>
                <w:color w:val="auto"/>
                <w:sz w:val="12"/>
                <w:szCs w:val="12"/>
              </w:rPr>
            </w:pPr>
          </w:p>
        </w:tc>
      </w:tr>
      <w:tr>
        <w:tblPrEx>
          <w:tblInd w:w="0" w:type="dxa"/>
          <w:tblLayout w:type="fixed"/>
        </w:tblPrEx>
        <w:trPr>
          <w:trHeight w:val="159"/>
        </w:trPr>
        <w:tc>
          <w:tcPr>
            <w:tcW w:w="4660" w:type="dxa"/>
            <w:shd w:val="clear" w:color="auto" w:fill="CCEEFF"/>
            <w:vAlign w:val="bottom"/>
          </w:tcPr>
          <w:p>
            <w:pPr>
              <w:spacing w:after="0"/>
              <w:rPr>
                <w:color w:val="auto"/>
                <w:sz w:val="20"/>
                <w:szCs w:val="20"/>
              </w:rPr>
            </w:pPr>
            <w:r>
              <w:rPr>
                <w:rFonts w:ascii="Calibri" w:eastAsia="Calibri" w:hAnsi="Calibri" w:cs="Calibri"/>
                <w:color w:val="auto"/>
                <w:sz w:val="12"/>
                <w:szCs w:val="12"/>
              </w:rPr>
              <w:t>Income taxes payable</w:t>
            </w:r>
          </w:p>
        </w:tc>
        <w:tc>
          <w:tcPr>
            <w:tcW w:w="24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1,261</w:t>
            </w:r>
          </w:p>
        </w:tc>
        <w:tc>
          <w:tcPr>
            <w:tcW w:w="520" w:type="dxa"/>
            <w:shd w:val="clear" w:color="auto" w:fill="CCEEFF"/>
            <w:vAlign w:val="bottom"/>
          </w:tcPr>
          <w:p>
            <w:pPr>
              <w:spacing w:after="0"/>
              <w:rPr>
                <w:color w:val="auto"/>
                <w:sz w:val="13"/>
                <w:szCs w:val="13"/>
              </w:rPr>
            </w:pPr>
          </w:p>
        </w:tc>
        <w:tc>
          <w:tcPr>
            <w:tcW w:w="9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2,182</w:t>
            </w:r>
          </w:p>
        </w:tc>
        <w:tc>
          <w:tcPr>
            <w:tcW w:w="20" w:type="dxa"/>
            <w:vAlign w:val="bottom"/>
          </w:tcPr>
          <w:p>
            <w:pPr>
              <w:spacing w:after="0"/>
              <w:rPr>
                <w:color w:val="auto"/>
                <w:sz w:val="13"/>
                <w:szCs w:val="13"/>
              </w:rPr>
            </w:pPr>
          </w:p>
        </w:tc>
      </w:tr>
      <w:tr>
        <w:tblPrEx>
          <w:tblInd w:w="0" w:type="dxa"/>
          <w:tblLayout w:type="fixed"/>
        </w:tblPrEx>
        <w:trPr>
          <w:trHeight w:val="147"/>
        </w:trPr>
        <w:tc>
          <w:tcPr>
            <w:tcW w:w="4660" w:type="dxa"/>
            <w:vAlign w:val="bottom"/>
          </w:tcPr>
          <w:p>
            <w:pPr>
              <w:spacing w:after="0" w:line="142" w:lineRule="exact"/>
              <w:rPr>
                <w:color w:val="auto"/>
                <w:sz w:val="20"/>
                <w:szCs w:val="20"/>
              </w:rPr>
            </w:pPr>
            <w:r>
              <w:rPr>
                <w:rFonts w:ascii="Calibri" w:eastAsia="Calibri" w:hAnsi="Calibri" w:cs="Calibri"/>
                <w:color w:val="auto"/>
                <w:sz w:val="12"/>
                <w:szCs w:val="12"/>
              </w:rPr>
              <w:t>Pension and other post-employment benefts</w:t>
            </w:r>
          </w:p>
        </w:tc>
        <w:tc>
          <w:tcPr>
            <w:tcW w:w="248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14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1,234</w:t>
            </w:r>
          </w:p>
        </w:tc>
        <w:tc>
          <w:tcPr>
            <w:tcW w:w="520" w:type="dxa"/>
            <w:vAlign w:val="bottom"/>
          </w:tcPr>
          <w:p>
            <w:pPr>
              <w:spacing w:after="0"/>
              <w:rPr>
                <w:color w:val="auto"/>
                <w:sz w:val="12"/>
                <w:szCs w:val="12"/>
              </w:rPr>
            </w:pPr>
          </w:p>
        </w:tc>
        <w:tc>
          <w:tcPr>
            <w:tcW w:w="9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1,538</w:t>
            </w:r>
          </w:p>
        </w:tc>
        <w:tc>
          <w:tcPr>
            <w:tcW w:w="20" w:type="dxa"/>
            <w:vAlign w:val="bottom"/>
          </w:tcPr>
          <w:p>
            <w:pPr>
              <w:spacing w:after="0"/>
              <w:rPr>
                <w:color w:val="auto"/>
                <w:sz w:val="12"/>
                <w:szCs w:val="12"/>
              </w:rPr>
            </w:pPr>
          </w:p>
        </w:tc>
      </w:tr>
      <w:tr>
        <w:tblPrEx>
          <w:tblInd w:w="0" w:type="dxa"/>
          <w:tblLayout w:type="fixed"/>
        </w:tblPrEx>
        <w:trPr>
          <w:trHeight w:val="153"/>
        </w:trPr>
        <w:tc>
          <w:tcPr>
            <w:tcW w:w="46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Other</w:t>
            </w:r>
          </w:p>
        </w:tc>
        <w:tc>
          <w:tcPr>
            <w:tcW w:w="24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rPr>
                <w:color w:val="auto"/>
                <w:sz w:val="13"/>
                <w:szCs w:val="13"/>
              </w:rPr>
            </w:pPr>
          </w:p>
        </w:tc>
        <w:tc>
          <w:tcPr>
            <w:tcW w:w="400" w:type="dxa"/>
            <w:tcBorders>
              <w:bottom w:val="single" w:sz="8" w:space="0" w:color="auto"/>
            </w:tcBorders>
            <w:shd w:val="clear" w:color="auto" w:fill="CCEEFF"/>
            <w:vAlign w:val="bottom"/>
          </w:tcPr>
          <w:p>
            <w:pPr>
              <w:spacing w:after="0"/>
              <w:rPr>
                <w:color w:val="auto"/>
                <w:sz w:val="13"/>
                <w:szCs w:val="13"/>
              </w:rPr>
            </w:pPr>
          </w:p>
        </w:tc>
        <w:tc>
          <w:tcPr>
            <w:tcW w:w="1140" w:type="dxa"/>
            <w:tcBorders>
              <w:bottom w:val="single" w:sz="8" w:space="0" w:color="auto"/>
            </w:tcBorders>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3,508</w:t>
            </w:r>
          </w:p>
        </w:tc>
        <w:tc>
          <w:tcPr>
            <w:tcW w:w="520" w:type="dxa"/>
            <w:tcBorders>
              <w:bottom w:val="single" w:sz="8" w:space="0" w:color="auto"/>
            </w:tcBorders>
            <w:shd w:val="clear" w:color="auto" w:fill="CCEEFF"/>
            <w:vAlign w:val="bottom"/>
          </w:tcPr>
          <w:p>
            <w:pPr>
              <w:spacing w:after="0"/>
              <w:rPr>
                <w:color w:val="auto"/>
                <w:sz w:val="13"/>
                <w:szCs w:val="13"/>
              </w:rPr>
            </w:pPr>
          </w:p>
        </w:tc>
        <w:tc>
          <w:tcPr>
            <w:tcW w:w="96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3,988</w:t>
            </w:r>
          </w:p>
        </w:tc>
        <w:tc>
          <w:tcPr>
            <w:tcW w:w="20" w:type="dxa"/>
            <w:vAlign w:val="bottom"/>
          </w:tcPr>
          <w:p>
            <w:pPr>
              <w:spacing w:after="0"/>
              <w:rPr>
                <w:color w:val="auto"/>
                <w:sz w:val="13"/>
                <w:szCs w:val="13"/>
              </w:rPr>
            </w:pPr>
          </w:p>
        </w:tc>
      </w:tr>
      <w:tr>
        <w:tblPrEx>
          <w:tblInd w:w="0" w:type="dxa"/>
          <w:tblLayout w:type="fixed"/>
        </w:tblPrEx>
        <w:trPr>
          <w:trHeight w:val="142"/>
        </w:trPr>
        <w:tc>
          <w:tcPr>
            <w:tcW w:w="46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Other long-term liabilites</w:t>
            </w:r>
          </w:p>
        </w:tc>
        <w:tc>
          <w:tcPr>
            <w:tcW w:w="248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rPr>
                <w:color w:val="auto"/>
                <w:sz w:val="12"/>
                <w:szCs w:val="12"/>
              </w:rPr>
            </w:pP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30,129</w:t>
            </w:r>
          </w:p>
        </w:tc>
        <w:tc>
          <w:tcPr>
            <w:tcW w:w="520" w:type="dxa"/>
            <w:tcBorders>
              <w:bottom w:val="single" w:sz="8" w:space="0" w:color="auto"/>
            </w:tcBorders>
            <w:vAlign w:val="bottom"/>
          </w:tcPr>
          <w:p>
            <w:pPr>
              <w:spacing w:after="0" w:line="142" w:lineRule="exact"/>
              <w:ind w:right="340"/>
              <w:jc w:val="right"/>
              <w:rPr>
                <w:color w:val="auto"/>
                <w:sz w:val="20"/>
                <w:szCs w:val="20"/>
              </w:rPr>
            </w:pPr>
            <w:r>
              <w:rPr>
                <w:rFonts w:ascii="Calibri" w:eastAsia="Calibri" w:hAnsi="Calibri" w:cs="Calibri"/>
                <w:color w:val="auto"/>
                <w:sz w:val="12"/>
                <w:szCs w:val="12"/>
              </w:rPr>
              <w:t>$</w:t>
            </w:r>
          </w:p>
        </w:tc>
        <w:tc>
          <w:tcPr>
            <w:tcW w:w="9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32,327</w:t>
            </w:r>
          </w:p>
        </w:tc>
        <w:tc>
          <w:tcPr>
            <w:tcW w:w="20" w:type="dxa"/>
            <w:vAlign w:val="bottom"/>
          </w:tcPr>
          <w:p>
            <w:pPr>
              <w:spacing w:after="0"/>
              <w:rPr>
                <w:color w:val="auto"/>
                <w:sz w:val="12"/>
                <w:szCs w:val="12"/>
              </w:rPr>
            </w:pPr>
          </w:p>
        </w:tc>
      </w:tr>
      <w:tr>
        <w:tblPrEx>
          <w:tblInd w:w="0" w:type="dxa"/>
          <w:tblLayout w:type="fixed"/>
        </w:tblPrEx>
        <w:trPr>
          <w:trHeight w:val="20"/>
        </w:trPr>
        <w:tc>
          <w:tcPr>
            <w:tcW w:w="4660" w:type="dxa"/>
            <w:tcBorders>
              <w:bottom w:val="single" w:sz="8" w:space="0" w:color="auto"/>
            </w:tcBorders>
            <w:vAlign w:val="bottom"/>
          </w:tcPr>
          <w:p>
            <w:pPr>
              <w:spacing w:after="0" w:line="20" w:lineRule="exact"/>
              <w:rPr>
                <w:color w:val="auto"/>
                <w:sz w:val="1"/>
                <w:szCs w:val="1"/>
              </w:rPr>
            </w:pPr>
          </w:p>
        </w:tc>
        <w:tc>
          <w:tcPr>
            <w:tcW w:w="248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400" w:type="dxa"/>
            <w:tcBorders>
              <w:bottom w:val="single" w:sz="8" w:space="0" w:color="auto"/>
            </w:tcBorders>
            <w:vAlign w:val="bottom"/>
          </w:tcPr>
          <w:p>
            <w:pPr>
              <w:spacing w:after="0" w:line="20" w:lineRule="exact"/>
              <w:rPr>
                <w:color w:val="auto"/>
                <w:sz w:val="1"/>
                <w:szCs w:val="1"/>
              </w:rPr>
            </w:pPr>
          </w:p>
        </w:tc>
        <w:tc>
          <w:tcPr>
            <w:tcW w:w="1660" w:type="dxa"/>
            <w:gridSpan w:val="2"/>
            <w:tcBorders>
              <w:bottom w:val="single" w:sz="8" w:space="0" w:color="auto"/>
            </w:tcBorders>
            <w:vAlign w:val="bottom"/>
          </w:tcPr>
          <w:p>
            <w:pPr>
              <w:spacing w:after="0" w:line="20" w:lineRule="exact"/>
              <w:rPr>
                <w:color w:val="auto"/>
                <w:sz w:val="1"/>
                <w:szCs w:val="1"/>
              </w:rPr>
            </w:pPr>
          </w:p>
        </w:tc>
        <w:tc>
          <w:tcPr>
            <w:tcW w:w="960" w:type="dxa"/>
            <w:tcBorders>
              <w:bottom w:val="single" w:sz="8" w:space="0" w:color="auto"/>
            </w:tcBorders>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r>
      <w:tr>
        <w:tblPrEx>
          <w:tblInd w:w="0" w:type="dxa"/>
          <w:tblLayout w:type="fixed"/>
        </w:tblPrEx>
        <w:trPr>
          <w:trHeight w:val="766"/>
        </w:trPr>
        <w:tc>
          <w:tcPr>
            <w:tcW w:w="4660" w:type="dxa"/>
            <w:vAlign w:val="bottom"/>
          </w:tcPr>
          <w:p>
            <w:pPr>
              <w:spacing w:after="0"/>
              <w:rPr>
                <w:color w:val="auto"/>
                <w:sz w:val="24"/>
                <w:szCs w:val="24"/>
              </w:rPr>
            </w:pPr>
          </w:p>
        </w:tc>
        <w:tc>
          <w:tcPr>
            <w:tcW w:w="2480" w:type="dxa"/>
            <w:vAlign w:val="bottom"/>
          </w:tcPr>
          <w:p>
            <w:pPr>
              <w:spacing w:after="0"/>
              <w:rPr>
                <w:color w:val="auto"/>
                <w:sz w:val="24"/>
                <w:szCs w:val="24"/>
              </w:rPr>
            </w:pPr>
          </w:p>
        </w:tc>
        <w:tc>
          <w:tcPr>
            <w:tcW w:w="1120" w:type="dxa"/>
            <w:vAlign w:val="bottom"/>
          </w:tcPr>
          <w:p>
            <w:pPr>
              <w:spacing w:after="0"/>
              <w:rPr>
                <w:color w:val="auto"/>
                <w:sz w:val="24"/>
                <w:szCs w:val="24"/>
              </w:rPr>
            </w:pPr>
          </w:p>
        </w:tc>
        <w:tc>
          <w:tcPr>
            <w:tcW w:w="400" w:type="dxa"/>
            <w:vAlign w:val="bottom"/>
          </w:tcPr>
          <w:p>
            <w:pPr>
              <w:spacing w:after="0"/>
              <w:rPr>
                <w:color w:val="auto"/>
                <w:sz w:val="24"/>
                <w:szCs w:val="24"/>
              </w:rPr>
            </w:pPr>
          </w:p>
        </w:tc>
        <w:tc>
          <w:tcPr>
            <w:tcW w:w="1660" w:type="dxa"/>
            <w:gridSpan w:val="2"/>
            <w:vAlign w:val="bottom"/>
          </w:tcPr>
          <w:p>
            <w:pPr>
              <w:spacing w:after="0"/>
              <w:ind w:right="80"/>
              <w:jc w:val="right"/>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980" w:type="dxa"/>
            <w:gridSpan w:val="2"/>
            <w:vAlign w:val="bottom"/>
          </w:tcPr>
          <w:p>
            <w:pPr>
              <w:spacing w:after="0"/>
              <w:ind w:right="20"/>
              <w:jc w:val="right"/>
              <w:rPr>
                <w:color w:val="auto"/>
                <w:sz w:val="20"/>
                <w:szCs w:val="20"/>
              </w:rPr>
            </w:pPr>
            <w:r>
              <w:rPr>
                <w:rFonts w:ascii="Calibri" w:eastAsia="Calibri" w:hAnsi="Calibri" w:cs="Calibri"/>
                <w:b/>
                <w:bCs/>
                <w:i/>
                <w:iCs/>
                <w:color w:val="auto"/>
                <w:sz w:val="12"/>
                <w:szCs w:val="12"/>
              </w:rPr>
              <w:t>62</w:t>
            </w:r>
          </w:p>
        </w:tc>
      </w:tr>
      <w:tr>
        <w:tblPrEx>
          <w:tblInd w:w="0" w:type="dxa"/>
          <w:tblLayout w:type="fixed"/>
        </w:tblPrEx>
        <w:trPr>
          <w:trHeight w:val="143"/>
        </w:trPr>
        <w:tc>
          <w:tcPr>
            <w:tcW w:w="4660" w:type="dxa"/>
            <w:tcBorders>
              <w:bottom w:val="single" w:sz="8" w:space="0" w:color="9A9A9A"/>
            </w:tcBorders>
            <w:vAlign w:val="bottom"/>
          </w:tcPr>
          <w:p>
            <w:pPr>
              <w:spacing w:after="0"/>
              <w:rPr>
                <w:color w:val="auto"/>
                <w:sz w:val="12"/>
                <w:szCs w:val="12"/>
              </w:rPr>
            </w:pPr>
          </w:p>
        </w:tc>
        <w:tc>
          <w:tcPr>
            <w:tcW w:w="2480" w:type="dxa"/>
            <w:tcBorders>
              <w:bottom w:val="single" w:sz="8" w:space="0" w:color="9A9A9A"/>
            </w:tcBorders>
            <w:vAlign w:val="bottom"/>
          </w:tcPr>
          <w:p>
            <w:pPr>
              <w:spacing w:after="0"/>
              <w:rPr>
                <w:color w:val="auto"/>
                <w:sz w:val="12"/>
                <w:szCs w:val="12"/>
              </w:rPr>
            </w:pPr>
          </w:p>
        </w:tc>
        <w:tc>
          <w:tcPr>
            <w:tcW w:w="1120" w:type="dxa"/>
            <w:tcBorders>
              <w:bottom w:val="single" w:sz="8" w:space="0" w:color="9A9A9A"/>
            </w:tcBorders>
            <w:vAlign w:val="bottom"/>
          </w:tcPr>
          <w:p>
            <w:pPr>
              <w:spacing w:after="0"/>
              <w:rPr>
                <w:color w:val="auto"/>
                <w:sz w:val="12"/>
                <w:szCs w:val="12"/>
              </w:rPr>
            </w:pPr>
          </w:p>
        </w:tc>
        <w:tc>
          <w:tcPr>
            <w:tcW w:w="400" w:type="dxa"/>
            <w:tcBorders>
              <w:bottom w:val="single" w:sz="8" w:space="0" w:color="9A9A9A"/>
            </w:tcBorders>
            <w:vAlign w:val="bottom"/>
          </w:tcPr>
          <w:p>
            <w:pPr>
              <w:spacing w:after="0"/>
              <w:rPr>
                <w:color w:val="auto"/>
                <w:sz w:val="12"/>
                <w:szCs w:val="12"/>
              </w:rPr>
            </w:pPr>
          </w:p>
        </w:tc>
        <w:tc>
          <w:tcPr>
            <w:tcW w:w="1140" w:type="dxa"/>
            <w:tcBorders>
              <w:bottom w:val="single" w:sz="8" w:space="0" w:color="9A9A9A"/>
            </w:tcBorders>
            <w:vAlign w:val="bottom"/>
          </w:tcPr>
          <w:p>
            <w:pPr>
              <w:spacing w:after="0"/>
              <w:rPr>
                <w:color w:val="auto"/>
                <w:sz w:val="12"/>
                <w:szCs w:val="12"/>
              </w:rPr>
            </w:pPr>
          </w:p>
        </w:tc>
        <w:tc>
          <w:tcPr>
            <w:tcW w:w="520" w:type="dxa"/>
            <w:tcBorders>
              <w:bottom w:val="single" w:sz="8" w:space="0" w:color="9A9A9A"/>
            </w:tcBorders>
            <w:vAlign w:val="bottom"/>
          </w:tcPr>
          <w:p>
            <w:pPr>
              <w:spacing w:after="0"/>
              <w:rPr>
                <w:color w:val="auto"/>
                <w:sz w:val="12"/>
                <w:szCs w:val="12"/>
              </w:rPr>
            </w:pPr>
          </w:p>
        </w:tc>
        <w:tc>
          <w:tcPr>
            <w:tcW w:w="960" w:type="dxa"/>
            <w:tcBorders>
              <w:bottom w:val="single" w:sz="8" w:space="0" w:color="9A9A9A"/>
            </w:tcBorders>
            <w:vAlign w:val="bottom"/>
          </w:tcPr>
          <w:p>
            <w:pPr>
              <w:spacing w:after="0"/>
              <w:rPr>
                <w:color w:val="auto"/>
                <w:sz w:val="12"/>
                <w:szCs w:val="12"/>
              </w:rPr>
            </w:pPr>
          </w:p>
        </w:tc>
        <w:tc>
          <w:tcPr>
            <w:tcW w:w="2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815936" behindDoc="1" locked="0" layoutInCell="0" allowOverlap="1">
            <wp:simplePos x="0" y="0"/>
            <wp:positionH relativeFrom="column">
              <wp:posOffset>7154545</wp:posOffset>
            </wp:positionH>
            <wp:positionV relativeFrom="paragraph">
              <wp:posOffset>-23495</wp:posOffset>
            </wp:positionV>
            <wp:extent cx="31115" cy="3683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16960" behindDoc="1" locked="0" layoutInCell="0" allowOverlap="1">
            <wp:simplePos x="0" y="0"/>
            <wp:positionH relativeFrom="column">
              <wp:posOffset>-17145</wp:posOffset>
            </wp:positionH>
            <wp:positionV relativeFrom="paragraph">
              <wp:posOffset>-23495</wp:posOffset>
            </wp:positionV>
            <wp:extent cx="31115" cy="3683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17984" behindDoc="1" locked="0" layoutInCell="0" allowOverlap="1">
            <wp:simplePos x="0" y="0"/>
            <wp:positionH relativeFrom="column">
              <wp:posOffset>6475730</wp:posOffset>
            </wp:positionH>
            <wp:positionV relativeFrom="paragraph">
              <wp:posOffset>-216535</wp:posOffset>
            </wp:positionV>
            <wp:extent cx="400050" cy="74295"/>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804" w:right="299" w:bottom="1440" w:left="300" w:header="0" w:footer="0" w:gutter="0"/>
          <w:cols w:num="1" w:space="720" w:equalWidth="0">
            <w:col w:w="11300" w:space="0"/>
          </w:cols>
        </w:sectPr>
      </w:pPr>
    </w:p>
    <w:bookmarkStart w:id="64" w:name="page65"/>
    <w:bookmarkEnd w:id="64"/>
    <w:p>
      <w:pPr>
        <w:spacing w:after="0"/>
        <w:rPr>
          <w:color w:val="auto"/>
          <w:sz w:val="20"/>
          <w:szCs w:val="20"/>
        </w:rPr>
      </w:pPr>
      <w:r>
        <w:rPr>
          <w:rFonts w:ascii="Calibri" w:eastAsia="Calibri" w:hAnsi="Calibri" w:cs="Calibri"/>
          <w:b/>
          <w:bCs/>
          <w:color w:val="444867"/>
          <w:sz w:val="14"/>
          <w:szCs w:val="14"/>
        </w:rPr>
        <w:t>Note 4 Earnings Per Share</w:t>
      </w:r>
    </w:p>
    <w:p>
      <w:pPr>
        <w:spacing w:after="0" w:line="20" w:lineRule="exact"/>
        <w:rPr>
          <w:color w:val="auto"/>
          <w:sz w:val="20"/>
          <w:szCs w:val="20"/>
        </w:rPr>
      </w:pPr>
      <w:r>
        <w:rPr>
          <w:color w:val="auto"/>
          <w:sz w:val="20"/>
          <w:szCs w:val="20"/>
        </w:rPr>
        <w:drawing>
          <wp:anchor simplePos="0" relativeHeight="251819008" behindDoc="1" locked="0" layoutInCell="0" allowOverlap="1">
            <wp:simplePos x="0" y="0"/>
            <wp:positionH relativeFrom="column">
              <wp:posOffset>-4445</wp:posOffset>
            </wp:positionH>
            <wp:positionV relativeFrom="paragraph">
              <wp:posOffset>24130</wp:posOffset>
            </wp:positionV>
            <wp:extent cx="7166610" cy="5715"/>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01"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AbbVie grants certain restricted stock units (RSUs) that are considered to be partcipatng securites. Due to the presence of partcipatng securites, AbbVie calculates earnings per share (EPS) using the more dilutve of the treasury stock or the two-class method. For all periods presented, the two-class method was more dilutve.</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the impact of the two-class method:</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7040"/>
        <w:gridCol w:w="340"/>
        <w:gridCol w:w="1060"/>
        <w:gridCol w:w="160"/>
        <w:gridCol w:w="1260"/>
        <w:gridCol w:w="380"/>
        <w:gridCol w:w="1020"/>
        <w:gridCol w:w="20"/>
      </w:tblGrid>
      <w:tr>
        <w:tblPrEx>
          <w:tblInd w:w="0" w:type="dxa"/>
          <w:tblLayout w:type="fixed"/>
        </w:tblPrEx>
        <w:trPr>
          <w:trHeight w:val="122"/>
        </w:trPr>
        <w:tc>
          <w:tcPr>
            <w:tcW w:w="704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060" w:type="dxa"/>
            <w:vAlign w:val="bottom"/>
          </w:tcPr>
          <w:p>
            <w:pPr>
              <w:spacing w:after="0"/>
              <w:rPr>
                <w:color w:val="auto"/>
                <w:sz w:val="10"/>
                <w:szCs w:val="10"/>
              </w:rPr>
            </w:pPr>
          </w:p>
        </w:tc>
        <w:tc>
          <w:tcPr>
            <w:tcW w:w="160" w:type="dxa"/>
            <w:vAlign w:val="bottom"/>
          </w:tcPr>
          <w:p>
            <w:pPr>
              <w:spacing w:after="0"/>
              <w:rPr>
                <w:color w:val="auto"/>
                <w:sz w:val="10"/>
                <w:szCs w:val="10"/>
              </w:rPr>
            </w:pPr>
          </w:p>
        </w:tc>
        <w:tc>
          <w:tcPr>
            <w:tcW w:w="1260" w:type="dxa"/>
            <w:vAlign w:val="bottom"/>
          </w:tcPr>
          <w:p>
            <w:pPr>
              <w:spacing w:after="0"/>
              <w:ind w:right="122"/>
              <w:jc w:val="right"/>
              <w:rPr>
                <w:color w:val="auto"/>
                <w:sz w:val="20"/>
                <w:szCs w:val="20"/>
              </w:rPr>
            </w:pPr>
            <w:r>
              <w:rPr>
                <w:rFonts w:ascii="Calibri" w:eastAsia="Calibri" w:hAnsi="Calibri" w:cs="Calibri"/>
                <w:b/>
                <w:bCs/>
                <w:color w:val="auto"/>
                <w:w w:val="95"/>
                <w:sz w:val="10"/>
                <w:szCs w:val="10"/>
              </w:rPr>
              <w:t>Years ended December 31,</w:t>
            </w:r>
          </w:p>
        </w:tc>
        <w:tc>
          <w:tcPr>
            <w:tcW w:w="380" w:type="dxa"/>
            <w:vAlign w:val="bottom"/>
          </w:tcPr>
          <w:p>
            <w:pPr>
              <w:spacing w:after="0"/>
              <w:rPr>
                <w:color w:val="auto"/>
                <w:sz w:val="10"/>
                <w:szCs w:val="10"/>
              </w:rPr>
            </w:pPr>
          </w:p>
        </w:tc>
        <w:tc>
          <w:tcPr>
            <w:tcW w:w="102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7040" w:type="dxa"/>
            <w:vMerge w:val="restart"/>
            <w:vAlign w:val="bottom"/>
          </w:tcPr>
          <w:p>
            <w:pPr>
              <w:spacing w:after="0"/>
              <w:rPr>
                <w:color w:val="auto"/>
                <w:sz w:val="20"/>
                <w:szCs w:val="20"/>
              </w:rPr>
            </w:pPr>
            <w:r>
              <w:rPr>
                <w:rFonts w:ascii="Calibri" w:eastAsia="Calibri" w:hAnsi="Calibri" w:cs="Calibri"/>
                <w:b/>
                <w:bCs/>
                <w:color w:val="auto"/>
                <w:sz w:val="10"/>
                <w:szCs w:val="10"/>
              </w:rPr>
              <w:t>(in millions, except per share data)</w:t>
            </w:r>
          </w:p>
        </w:tc>
        <w:tc>
          <w:tcPr>
            <w:tcW w:w="340" w:type="dxa"/>
            <w:tcBorders>
              <w:bottom w:val="single" w:sz="8" w:space="0" w:color="auto"/>
            </w:tcBorders>
            <w:vAlign w:val="bottom"/>
          </w:tcPr>
          <w:p>
            <w:pPr>
              <w:spacing w:after="0"/>
              <w:rPr>
                <w:color w:val="auto"/>
                <w:sz w:val="2"/>
                <w:szCs w:val="2"/>
              </w:rPr>
            </w:pPr>
          </w:p>
        </w:tc>
        <w:tc>
          <w:tcPr>
            <w:tcW w:w="106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0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7040" w:type="dxa"/>
            <w:vMerge/>
            <w:vAlign w:val="bottom"/>
          </w:tcPr>
          <w:p>
            <w:pPr>
              <w:spacing w:after="0"/>
              <w:rPr>
                <w:color w:val="auto"/>
                <w:sz w:val="8"/>
                <w:szCs w:val="8"/>
              </w:rPr>
            </w:pPr>
          </w:p>
        </w:tc>
        <w:tc>
          <w:tcPr>
            <w:tcW w:w="340" w:type="dxa"/>
            <w:vAlign w:val="bottom"/>
          </w:tcPr>
          <w:p>
            <w:pPr>
              <w:spacing w:after="0"/>
              <w:rPr>
                <w:color w:val="auto"/>
                <w:sz w:val="8"/>
                <w:szCs w:val="8"/>
              </w:rPr>
            </w:pPr>
          </w:p>
        </w:tc>
        <w:tc>
          <w:tcPr>
            <w:tcW w:w="1060" w:type="dxa"/>
            <w:vAlign w:val="bottom"/>
          </w:tcPr>
          <w:p>
            <w:pPr>
              <w:spacing w:after="0" w:line="101" w:lineRule="exact"/>
              <w:ind w:right="561"/>
              <w:jc w:val="right"/>
              <w:rPr>
                <w:color w:val="auto"/>
                <w:sz w:val="20"/>
                <w:szCs w:val="20"/>
              </w:rPr>
            </w:pPr>
            <w:r>
              <w:rPr>
                <w:rFonts w:ascii="Calibri" w:eastAsia="Calibri" w:hAnsi="Calibri" w:cs="Calibri"/>
                <w:b/>
                <w:bCs/>
                <w:color w:val="auto"/>
                <w:sz w:val="10"/>
                <w:szCs w:val="10"/>
              </w:rPr>
              <w:t>2024</w:t>
            </w:r>
          </w:p>
        </w:tc>
        <w:tc>
          <w:tcPr>
            <w:tcW w:w="160" w:type="dxa"/>
            <w:vAlign w:val="bottom"/>
          </w:tcPr>
          <w:p>
            <w:pPr>
              <w:spacing w:after="0"/>
              <w:rPr>
                <w:color w:val="auto"/>
                <w:sz w:val="8"/>
                <w:szCs w:val="8"/>
              </w:rPr>
            </w:pPr>
          </w:p>
        </w:tc>
        <w:tc>
          <w:tcPr>
            <w:tcW w:w="1260" w:type="dxa"/>
            <w:vAlign w:val="bottom"/>
          </w:tcPr>
          <w:p>
            <w:pPr>
              <w:spacing w:after="0" w:line="101" w:lineRule="exact"/>
              <w:ind w:right="542"/>
              <w:jc w:val="right"/>
              <w:rPr>
                <w:color w:val="auto"/>
                <w:sz w:val="20"/>
                <w:szCs w:val="20"/>
              </w:rPr>
            </w:pPr>
            <w:r>
              <w:rPr>
                <w:rFonts w:ascii="Calibri" w:eastAsia="Calibri" w:hAnsi="Calibri" w:cs="Calibri"/>
                <w:b/>
                <w:bCs/>
                <w:color w:val="auto"/>
                <w:sz w:val="10"/>
                <w:szCs w:val="10"/>
              </w:rPr>
              <w:t>2023</w:t>
            </w:r>
          </w:p>
        </w:tc>
        <w:tc>
          <w:tcPr>
            <w:tcW w:w="380" w:type="dxa"/>
            <w:vAlign w:val="bottom"/>
          </w:tcPr>
          <w:p>
            <w:pPr>
              <w:spacing w:after="0"/>
              <w:rPr>
                <w:color w:val="auto"/>
                <w:sz w:val="8"/>
                <w:szCs w:val="8"/>
              </w:rPr>
            </w:pPr>
          </w:p>
        </w:tc>
        <w:tc>
          <w:tcPr>
            <w:tcW w:w="1020" w:type="dxa"/>
            <w:vAlign w:val="bottom"/>
          </w:tcPr>
          <w:p>
            <w:pPr>
              <w:spacing w:after="0" w:line="101" w:lineRule="exact"/>
              <w:ind w:right="501"/>
              <w:jc w:val="right"/>
              <w:rPr>
                <w:color w:val="auto"/>
                <w:sz w:val="20"/>
                <w:szCs w:val="20"/>
              </w:rPr>
            </w:pPr>
            <w:r>
              <w:rPr>
                <w:rFonts w:ascii="Calibri" w:eastAsia="Calibri" w:hAnsi="Calibri" w:cs="Calibri"/>
                <w:b/>
                <w:bCs/>
                <w:color w:val="auto"/>
                <w:sz w:val="10"/>
                <w:szCs w:val="10"/>
              </w:rPr>
              <w:t>2022</w:t>
            </w:r>
          </w:p>
        </w:tc>
        <w:tc>
          <w:tcPr>
            <w:tcW w:w="1" w:type="dxa"/>
            <w:vAlign w:val="bottom"/>
          </w:tcPr>
          <w:p>
            <w:pPr>
              <w:spacing w:after="0"/>
              <w:rPr>
                <w:color w:val="auto"/>
                <w:sz w:val="1"/>
                <w:szCs w:val="1"/>
              </w:rPr>
            </w:pPr>
          </w:p>
        </w:tc>
      </w:tr>
      <w:tr>
        <w:tblPrEx>
          <w:tblInd w:w="0" w:type="dxa"/>
          <w:tblLayout w:type="fixed"/>
        </w:tblPrEx>
        <w:trPr>
          <w:trHeight w:val="23"/>
        </w:trPr>
        <w:tc>
          <w:tcPr>
            <w:tcW w:w="704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6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0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36"/>
        </w:trPr>
        <w:tc>
          <w:tcPr>
            <w:tcW w:w="7040" w:type="dxa"/>
            <w:vAlign w:val="bottom"/>
          </w:tcPr>
          <w:p>
            <w:pPr>
              <w:spacing w:after="0" w:line="137" w:lineRule="exact"/>
              <w:rPr>
                <w:color w:val="auto"/>
                <w:sz w:val="20"/>
                <w:szCs w:val="20"/>
              </w:rPr>
            </w:pPr>
            <w:r>
              <w:rPr>
                <w:rFonts w:ascii="Calibri" w:eastAsia="Calibri" w:hAnsi="Calibri" w:cs="Calibri"/>
                <w:b/>
                <w:bCs/>
                <w:color w:val="auto"/>
                <w:sz w:val="12"/>
                <w:szCs w:val="12"/>
              </w:rPr>
              <w:t>Basic EPS</w:t>
            </w:r>
          </w:p>
        </w:tc>
        <w:tc>
          <w:tcPr>
            <w:tcW w:w="340" w:type="dxa"/>
            <w:vAlign w:val="bottom"/>
          </w:tcPr>
          <w:p>
            <w:pPr>
              <w:spacing w:after="0"/>
              <w:rPr>
                <w:color w:val="auto"/>
                <w:sz w:val="11"/>
                <w:szCs w:val="11"/>
              </w:rPr>
            </w:pPr>
          </w:p>
        </w:tc>
        <w:tc>
          <w:tcPr>
            <w:tcW w:w="106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1260" w:type="dxa"/>
            <w:vAlign w:val="bottom"/>
          </w:tcPr>
          <w:p>
            <w:pPr>
              <w:spacing w:after="0"/>
              <w:rPr>
                <w:color w:val="auto"/>
                <w:sz w:val="11"/>
                <w:szCs w:val="11"/>
              </w:rPr>
            </w:pPr>
          </w:p>
        </w:tc>
        <w:tc>
          <w:tcPr>
            <w:tcW w:w="380" w:type="dxa"/>
            <w:vAlign w:val="bottom"/>
          </w:tcPr>
          <w:p>
            <w:pPr>
              <w:spacing w:after="0"/>
              <w:rPr>
                <w:color w:val="auto"/>
                <w:sz w:val="11"/>
                <w:szCs w:val="11"/>
              </w:rPr>
            </w:pPr>
          </w:p>
        </w:tc>
        <w:tc>
          <w:tcPr>
            <w:tcW w:w="102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159"/>
        </w:trPr>
        <w:tc>
          <w:tcPr>
            <w:tcW w:w="7040" w:type="dxa"/>
            <w:shd w:val="clear" w:color="auto" w:fill="CCEEFF"/>
            <w:vAlign w:val="bottom"/>
          </w:tcPr>
          <w:p>
            <w:pPr>
              <w:spacing w:after="0"/>
              <w:rPr>
                <w:color w:val="auto"/>
                <w:sz w:val="20"/>
                <w:szCs w:val="20"/>
              </w:rPr>
            </w:pPr>
            <w:r>
              <w:rPr>
                <w:rFonts w:ascii="Calibri" w:eastAsia="Calibri" w:hAnsi="Calibri" w:cs="Calibri"/>
                <w:color w:val="auto"/>
                <w:sz w:val="12"/>
                <w:szCs w:val="12"/>
              </w:rPr>
              <w:t>Net earnings atributable to AbbVie Inc.</w:t>
            </w:r>
          </w:p>
        </w:tc>
        <w:tc>
          <w:tcPr>
            <w:tcW w:w="340" w:type="dxa"/>
            <w:shd w:val="clear" w:color="auto" w:fill="CCEEFF"/>
            <w:vAlign w:val="bottom"/>
          </w:tcPr>
          <w:p>
            <w:pPr>
              <w:spacing w:after="0"/>
              <w:ind w:right="200"/>
              <w:jc w:val="right"/>
              <w:rPr>
                <w:color w:val="auto"/>
                <w:sz w:val="20"/>
                <w:szCs w:val="20"/>
              </w:rPr>
            </w:pPr>
            <w:r>
              <w:rPr>
                <w:rFonts w:ascii="Calibri" w:eastAsia="Calibri" w:hAnsi="Calibri" w:cs="Calibri"/>
                <w:color w:val="auto"/>
                <w:w w:val="97"/>
                <w:sz w:val="12"/>
                <w:szCs w:val="12"/>
              </w:rPr>
              <w:t>$</w:t>
            </w:r>
          </w:p>
        </w:tc>
        <w:tc>
          <w:tcPr>
            <w:tcW w:w="106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4,278</w:t>
            </w:r>
          </w:p>
        </w:tc>
        <w:tc>
          <w:tcPr>
            <w:tcW w:w="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2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4,863</w:t>
            </w:r>
          </w:p>
        </w:tc>
        <w:tc>
          <w:tcPr>
            <w:tcW w:w="380" w:type="dxa"/>
            <w:shd w:val="clear" w:color="auto" w:fill="CCEEFF"/>
            <w:vAlign w:val="bottom"/>
          </w:tcPr>
          <w:p>
            <w:pPr>
              <w:spacing w:after="0"/>
              <w:ind w:right="180"/>
              <w:jc w:val="right"/>
              <w:rPr>
                <w:color w:val="auto"/>
                <w:sz w:val="20"/>
                <w:szCs w:val="20"/>
              </w:rPr>
            </w:pPr>
            <w:r>
              <w:rPr>
                <w:rFonts w:ascii="Calibri" w:eastAsia="Calibri" w:hAnsi="Calibri" w:cs="Calibri"/>
                <w:color w:val="auto"/>
                <w:sz w:val="12"/>
                <w:szCs w:val="12"/>
              </w:rPr>
              <w:t>$</w:t>
            </w:r>
          </w:p>
        </w:tc>
        <w:tc>
          <w:tcPr>
            <w:tcW w:w="10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11,836</w:t>
            </w:r>
          </w:p>
        </w:tc>
        <w:tc>
          <w:tcPr>
            <w:tcW w:w="1" w:type="dxa"/>
            <w:vAlign w:val="bottom"/>
          </w:tcPr>
          <w:p>
            <w:pPr>
              <w:spacing w:after="0"/>
              <w:rPr>
                <w:color w:val="auto"/>
                <w:sz w:val="1"/>
                <w:szCs w:val="1"/>
              </w:rPr>
            </w:pPr>
          </w:p>
        </w:tc>
      </w:tr>
      <w:tr>
        <w:tblPrEx>
          <w:tblInd w:w="0" w:type="dxa"/>
          <w:tblLayout w:type="fixed"/>
        </w:tblPrEx>
        <w:trPr>
          <w:trHeight w:val="147"/>
        </w:trPr>
        <w:tc>
          <w:tcPr>
            <w:tcW w:w="7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Earnings allocated to partcipatng securites</w:t>
            </w:r>
          </w:p>
        </w:tc>
        <w:tc>
          <w:tcPr>
            <w:tcW w:w="340" w:type="dxa"/>
            <w:tcBorders>
              <w:bottom w:val="single" w:sz="8" w:space="0" w:color="auto"/>
            </w:tcBorders>
            <w:vAlign w:val="bottom"/>
          </w:tcPr>
          <w:p>
            <w:pPr>
              <w:spacing w:after="0"/>
              <w:rPr>
                <w:color w:val="auto"/>
                <w:sz w:val="12"/>
                <w:szCs w:val="12"/>
              </w:rPr>
            </w:pPr>
          </w:p>
        </w:tc>
        <w:tc>
          <w:tcPr>
            <w:tcW w:w="106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40</w:t>
            </w:r>
          </w:p>
        </w:tc>
        <w:tc>
          <w:tcPr>
            <w:tcW w:w="160" w:type="dxa"/>
            <w:tcBorders>
              <w:bottom w:val="single" w:sz="8" w:space="0" w:color="auto"/>
            </w:tcBorders>
            <w:vAlign w:val="bottom"/>
          </w:tcPr>
          <w:p>
            <w:pPr>
              <w:spacing w:after="0"/>
              <w:rPr>
                <w:color w:val="auto"/>
                <w:sz w:val="12"/>
                <w:szCs w:val="12"/>
              </w:rPr>
            </w:pPr>
          </w:p>
        </w:tc>
        <w:tc>
          <w:tcPr>
            <w:tcW w:w="12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43</w:t>
            </w:r>
          </w:p>
        </w:tc>
        <w:tc>
          <w:tcPr>
            <w:tcW w:w="380" w:type="dxa"/>
            <w:tcBorders>
              <w:bottom w:val="single" w:sz="8" w:space="0" w:color="auto"/>
            </w:tcBorders>
            <w:vAlign w:val="bottom"/>
          </w:tcPr>
          <w:p>
            <w:pPr>
              <w:spacing w:after="0"/>
              <w:rPr>
                <w:color w:val="auto"/>
                <w:sz w:val="12"/>
                <w:szCs w:val="12"/>
              </w:rPr>
            </w:pPr>
          </w:p>
        </w:tc>
        <w:tc>
          <w:tcPr>
            <w:tcW w:w="10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54</w:t>
            </w:r>
          </w:p>
        </w:tc>
        <w:tc>
          <w:tcPr>
            <w:tcW w:w="1" w:type="dxa"/>
            <w:vAlign w:val="bottom"/>
          </w:tcPr>
          <w:p>
            <w:pPr>
              <w:spacing w:after="0"/>
              <w:rPr>
                <w:color w:val="auto"/>
                <w:sz w:val="1"/>
                <w:szCs w:val="1"/>
              </w:rPr>
            </w:pPr>
          </w:p>
        </w:tc>
      </w:tr>
      <w:tr>
        <w:tblPrEx>
          <w:tblInd w:w="0" w:type="dxa"/>
          <w:tblLayout w:type="fixed"/>
        </w:tblPrEx>
        <w:trPr>
          <w:trHeight w:val="164"/>
        </w:trPr>
        <w:tc>
          <w:tcPr>
            <w:tcW w:w="70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Earnings available to common shareholders</w:t>
            </w:r>
          </w:p>
        </w:tc>
        <w:tc>
          <w:tcPr>
            <w:tcW w:w="34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w w:val="97"/>
                <w:sz w:val="12"/>
                <w:szCs w:val="12"/>
              </w:rPr>
              <w:t>$</w:t>
            </w:r>
          </w:p>
        </w:tc>
        <w:tc>
          <w:tcPr>
            <w:tcW w:w="106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4,238</w:t>
            </w:r>
          </w:p>
        </w:tc>
        <w:tc>
          <w:tcPr>
            <w:tcW w:w="16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26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4,820</w:t>
            </w:r>
          </w:p>
        </w:tc>
        <w:tc>
          <w:tcPr>
            <w:tcW w:w="380" w:type="dxa"/>
            <w:tcBorders>
              <w:bottom w:val="single" w:sz="8" w:space="0" w:color="auto"/>
            </w:tcBorders>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0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11,782</w:t>
            </w:r>
          </w:p>
        </w:tc>
        <w:tc>
          <w:tcPr>
            <w:tcW w:w="1" w:type="dxa"/>
            <w:vAlign w:val="bottom"/>
          </w:tcPr>
          <w:p>
            <w:pPr>
              <w:spacing w:after="0"/>
              <w:rPr>
                <w:color w:val="auto"/>
                <w:sz w:val="1"/>
                <w:szCs w:val="1"/>
              </w:rPr>
            </w:pPr>
          </w:p>
        </w:tc>
      </w:tr>
      <w:tr>
        <w:tblPrEx>
          <w:tblInd w:w="0" w:type="dxa"/>
          <w:tblLayout w:type="fixed"/>
        </w:tblPrEx>
        <w:trPr>
          <w:trHeight w:val="147"/>
        </w:trPr>
        <w:tc>
          <w:tcPr>
            <w:tcW w:w="7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Weighted average basic shares of common stock outstanding</w:t>
            </w:r>
          </w:p>
        </w:tc>
        <w:tc>
          <w:tcPr>
            <w:tcW w:w="340" w:type="dxa"/>
            <w:tcBorders>
              <w:bottom w:val="single" w:sz="8" w:space="0" w:color="auto"/>
            </w:tcBorders>
            <w:vAlign w:val="bottom"/>
          </w:tcPr>
          <w:p>
            <w:pPr>
              <w:spacing w:after="0"/>
              <w:rPr>
                <w:color w:val="auto"/>
                <w:sz w:val="12"/>
                <w:szCs w:val="12"/>
              </w:rPr>
            </w:pPr>
          </w:p>
        </w:tc>
        <w:tc>
          <w:tcPr>
            <w:tcW w:w="106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1,769</w:t>
            </w:r>
          </w:p>
        </w:tc>
        <w:tc>
          <w:tcPr>
            <w:tcW w:w="160" w:type="dxa"/>
            <w:tcBorders>
              <w:bottom w:val="single" w:sz="8" w:space="0" w:color="auto"/>
            </w:tcBorders>
            <w:vAlign w:val="bottom"/>
          </w:tcPr>
          <w:p>
            <w:pPr>
              <w:spacing w:after="0"/>
              <w:rPr>
                <w:color w:val="auto"/>
                <w:sz w:val="12"/>
                <w:szCs w:val="12"/>
              </w:rPr>
            </w:pPr>
          </w:p>
        </w:tc>
        <w:tc>
          <w:tcPr>
            <w:tcW w:w="12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1,768</w:t>
            </w:r>
          </w:p>
        </w:tc>
        <w:tc>
          <w:tcPr>
            <w:tcW w:w="380" w:type="dxa"/>
            <w:tcBorders>
              <w:bottom w:val="single" w:sz="8" w:space="0" w:color="auto"/>
            </w:tcBorders>
            <w:vAlign w:val="bottom"/>
          </w:tcPr>
          <w:p>
            <w:pPr>
              <w:spacing w:after="0"/>
              <w:rPr>
                <w:color w:val="auto"/>
                <w:sz w:val="12"/>
                <w:szCs w:val="12"/>
              </w:rPr>
            </w:pPr>
          </w:p>
        </w:tc>
        <w:tc>
          <w:tcPr>
            <w:tcW w:w="10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1,771</w:t>
            </w:r>
          </w:p>
        </w:tc>
        <w:tc>
          <w:tcPr>
            <w:tcW w:w="1" w:type="dxa"/>
            <w:vAlign w:val="bottom"/>
          </w:tcPr>
          <w:p>
            <w:pPr>
              <w:spacing w:after="0"/>
              <w:rPr>
                <w:color w:val="auto"/>
                <w:sz w:val="1"/>
                <w:szCs w:val="1"/>
              </w:rPr>
            </w:pPr>
          </w:p>
        </w:tc>
      </w:tr>
      <w:tr>
        <w:tblPrEx>
          <w:tblInd w:w="0" w:type="dxa"/>
          <w:tblLayout w:type="fixed"/>
        </w:tblPrEx>
        <w:trPr>
          <w:trHeight w:val="164"/>
        </w:trPr>
        <w:tc>
          <w:tcPr>
            <w:tcW w:w="70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Basic earnings per share atributable to AbbVie Inc.</w:t>
            </w:r>
          </w:p>
        </w:tc>
        <w:tc>
          <w:tcPr>
            <w:tcW w:w="34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w w:val="97"/>
                <w:sz w:val="12"/>
                <w:szCs w:val="12"/>
              </w:rPr>
              <w:t>$</w:t>
            </w:r>
          </w:p>
        </w:tc>
        <w:tc>
          <w:tcPr>
            <w:tcW w:w="106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2.40</w:t>
            </w:r>
          </w:p>
        </w:tc>
        <w:tc>
          <w:tcPr>
            <w:tcW w:w="16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26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2.73</w:t>
            </w:r>
          </w:p>
        </w:tc>
        <w:tc>
          <w:tcPr>
            <w:tcW w:w="380" w:type="dxa"/>
            <w:tcBorders>
              <w:bottom w:val="single" w:sz="8" w:space="0" w:color="auto"/>
            </w:tcBorders>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0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6.65</w:t>
            </w:r>
          </w:p>
        </w:tc>
        <w:tc>
          <w:tcPr>
            <w:tcW w:w="1" w:type="dxa"/>
            <w:vAlign w:val="bottom"/>
          </w:tcPr>
          <w:p>
            <w:pPr>
              <w:spacing w:after="0"/>
              <w:rPr>
                <w:color w:val="auto"/>
                <w:sz w:val="1"/>
                <w:szCs w:val="1"/>
              </w:rPr>
            </w:pPr>
          </w:p>
        </w:tc>
      </w:tr>
      <w:tr>
        <w:tblPrEx>
          <w:tblInd w:w="0" w:type="dxa"/>
          <w:tblLayout w:type="fixed"/>
        </w:tblPrEx>
        <w:trPr>
          <w:trHeight w:val="162"/>
        </w:trPr>
        <w:tc>
          <w:tcPr>
            <w:tcW w:w="7040" w:type="dxa"/>
            <w:vAlign w:val="bottom"/>
          </w:tcPr>
          <w:p>
            <w:pPr>
              <w:spacing w:after="0"/>
              <w:rPr>
                <w:color w:val="auto"/>
                <w:sz w:val="14"/>
                <w:szCs w:val="14"/>
              </w:rPr>
            </w:pPr>
          </w:p>
        </w:tc>
        <w:tc>
          <w:tcPr>
            <w:tcW w:w="340" w:type="dxa"/>
            <w:vAlign w:val="bottom"/>
          </w:tcPr>
          <w:p>
            <w:pPr>
              <w:spacing w:after="0"/>
              <w:rPr>
                <w:color w:val="auto"/>
                <w:sz w:val="14"/>
                <w:szCs w:val="14"/>
              </w:rPr>
            </w:pPr>
          </w:p>
        </w:tc>
        <w:tc>
          <w:tcPr>
            <w:tcW w:w="106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1260" w:type="dxa"/>
            <w:vAlign w:val="bottom"/>
          </w:tcPr>
          <w:p>
            <w:pPr>
              <w:spacing w:after="0"/>
              <w:rPr>
                <w:color w:val="auto"/>
                <w:sz w:val="14"/>
                <w:szCs w:val="14"/>
              </w:rPr>
            </w:pPr>
          </w:p>
        </w:tc>
        <w:tc>
          <w:tcPr>
            <w:tcW w:w="380" w:type="dxa"/>
            <w:vAlign w:val="bottom"/>
          </w:tcPr>
          <w:p>
            <w:pPr>
              <w:spacing w:after="0"/>
              <w:rPr>
                <w:color w:val="auto"/>
                <w:sz w:val="14"/>
                <w:szCs w:val="14"/>
              </w:rPr>
            </w:pPr>
          </w:p>
        </w:tc>
        <w:tc>
          <w:tcPr>
            <w:tcW w:w="1020" w:type="dxa"/>
            <w:vAlign w:val="bottom"/>
          </w:tcPr>
          <w:p>
            <w:pPr>
              <w:spacing w:after="0"/>
              <w:rPr>
                <w:color w:val="auto"/>
                <w:sz w:val="14"/>
                <w:szCs w:val="14"/>
              </w:rPr>
            </w:pPr>
          </w:p>
        </w:tc>
        <w:tc>
          <w:tcPr>
            <w:tcW w:w="1" w:type="dxa"/>
            <w:vAlign w:val="bottom"/>
          </w:tcPr>
          <w:p>
            <w:pPr>
              <w:spacing w:after="0"/>
              <w:rPr>
                <w:color w:val="auto"/>
                <w:sz w:val="1"/>
                <w:szCs w:val="1"/>
              </w:rPr>
            </w:pPr>
          </w:p>
        </w:tc>
      </w:tr>
      <w:tr>
        <w:tblPrEx>
          <w:tblInd w:w="0" w:type="dxa"/>
          <w:tblLayout w:type="fixed"/>
        </w:tblPrEx>
        <w:trPr>
          <w:trHeight w:val="153"/>
        </w:trPr>
        <w:tc>
          <w:tcPr>
            <w:tcW w:w="7040" w:type="dxa"/>
            <w:shd w:val="clear" w:color="auto" w:fill="CCEEFF"/>
            <w:vAlign w:val="bottom"/>
          </w:tcPr>
          <w:p>
            <w:pPr>
              <w:spacing w:after="0" w:line="142" w:lineRule="exact"/>
              <w:rPr>
                <w:color w:val="auto"/>
                <w:sz w:val="20"/>
                <w:szCs w:val="20"/>
              </w:rPr>
            </w:pPr>
            <w:r>
              <w:rPr>
                <w:rFonts w:ascii="Calibri" w:eastAsia="Calibri" w:hAnsi="Calibri" w:cs="Calibri"/>
                <w:b/>
                <w:bCs/>
                <w:color w:val="auto"/>
                <w:sz w:val="12"/>
                <w:szCs w:val="12"/>
              </w:rPr>
              <w:t>Diluted EPS</w:t>
            </w:r>
          </w:p>
        </w:tc>
        <w:tc>
          <w:tcPr>
            <w:tcW w:w="340" w:type="dxa"/>
            <w:shd w:val="clear" w:color="auto" w:fill="CCEEFF"/>
            <w:vAlign w:val="bottom"/>
          </w:tcPr>
          <w:p>
            <w:pPr>
              <w:spacing w:after="0"/>
              <w:rPr>
                <w:color w:val="auto"/>
                <w:sz w:val="13"/>
                <w:szCs w:val="13"/>
              </w:rPr>
            </w:pPr>
          </w:p>
        </w:tc>
        <w:tc>
          <w:tcPr>
            <w:tcW w:w="1060" w:type="dxa"/>
            <w:shd w:val="clear" w:color="auto" w:fill="CCEEFF"/>
            <w:vAlign w:val="bottom"/>
          </w:tcPr>
          <w:p>
            <w:pPr>
              <w:spacing w:after="0"/>
              <w:rPr>
                <w:color w:val="auto"/>
                <w:sz w:val="13"/>
                <w:szCs w:val="13"/>
              </w:rPr>
            </w:pPr>
          </w:p>
        </w:tc>
        <w:tc>
          <w:tcPr>
            <w:tcW w:w="160" w:type="dxa"/>
            <w:shd w:val="clear" w:color="auto" w:fill="CCEEFF"/>
            <w:vAlign w:val="bottom"/>
          </w:tcPr>
          <w:p>
            <w:pPr>
              <w:spacing w:after="0"/>
              <w:rPr>
                <w:color w:val="auto"/>
                <w:sz w:val="13"/>
                <w:szCs w:val="13"/>
              </w:rPr>
            </w:pPr>
          </w:p>
        </w:tc>
        <w:tc>
          <w:tcPr>
            <w:tcW w:w="1260" w:type="dxa"/>
            <w:shd w:val="clear" w:color="auto" w:fill="CCEEFF"/>
            <w:vAlign w:val="bottom"/>
          </w:tcPr>
          <w:p>
            <w:pPr>
              <w:spacing w:after="0"/>
              <w:rPr>
                <w:color w:val="auto"/>
                <w:sz w:val="13"/>
                <w:szCs w:val="13"/>
              </w:rPr>
            </w:pPr>
          </w:p>
        </w:tc>
        <w:tc>
          <w:tcPr>
            <w:tcW w:w="380" w:type="dxa"/>
            <w:shd w:val="clear" w:color="auto" w:fill="CCEEFF"/>
            <w:vAlign w:val="bottom"/>
          </w:tcPr>
          <w:p>
            <w:pPr>
              <w:spacing w:after="0"/>
              <w:rPr>
                <w:color w:val="auto"/>
                <w:sz w:val="13"/>
                <w:szCs w:val="13"/>
              </w:rPr>
            </w:pPr>
          </w:p>
        </w:tc>
        <w:tc>
          <w:tcPr>
            <w:tcW w:w="1020" w:type="dxa"/>
            <w:shd w:val="clear" w:color="auto" w:fill="CCEEFF"/>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7"/>
        </w:trPr>
        <w:tc>
          <w:tcPr>
            <w:tcW w:w="7040" w:type="dxa"/>
            <w:vAlign w:val="bottom"/>
          </w:tcPr>
          <w:p>
            <w:pPr>
              <w:spacing w:after="0" w:line="142" w:lineRule="exact"/>
              <w:rPr>
                <w:color w:val="auto"/>
                <w:sz w:val="20"/>
                <w:szCs w:val="20"/>
              </w:rPr>
            </w:pPr>
            <w:r>
              <w:rPr>
                <w:rFonts w:ascii="Calibri" w:eastAsia="Calibri" w:hAnsi="Calibri" w:cs="Calibri"/>
                <w:color w:val="auto"/>
                <w:sz w:val="12"/>
                <w:szCs w:val="12"/>
              </w:rPr>
              <w:t>Net earnings atributable to AbbVie Inc.</w:t>
            </w:r>
          </w:p>
        </w:tc>
        <w:tc>
          <w:tcPr>
            <w:tcW w:w="340" w:type="dxa"/>
            <w:vAlign w:val="bottom"/>
          </w:tcPr>
          <w:p>
            <w:pPr>
              <w:spacing w:after="0" w:line="142" w:lineRule="exact"/>
              <w:ind w:right="200"/>
              <w:jc w:val="right"/>
              <w:rPr>
                <w:color w:val="auto"/>
                <w:sz w:val="20"/>
                <w:szCs w:val="20"/>
              </w:rPr>
            </w:pPr>
            <w:r>
              <w:rPr>
                <w:rFonts w:ascii="Calibri" w:eastAsia="Calibri" w:hAnsi="Calibri" w:cs="Calibri"/>
                <w:color w:val="auto"/>
                <w:w w:val="97"/>
                <w:sz w:val="12"/>
                <w:szCs w:val="12"/>
              </w:rPr>
              <w:t>$</w:t>
            </w:r>
          </w:p>
        </w:tc>
        <w:tc>
          <w:tcPr>
            <w:tcW w:w="106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4,278</w:t>
            </w:r>
          </w:p>
        </w:tc>
        <w:tc>
          <w:tcPr>
            <w:tcW w:w="16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2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4,863</w:t>
            </w:r>
          </w:p>
        </w:tc>
        <w:tc>
          <w:tcPr>
            <w:tcW w:w="380" w:type="dxa"/>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020" w:type="dxa"/>
            <w:vAlign w:val="bottom"/>
          </w:tcPr>
          <w:p>
            <w:pPr>
              <w:spacing w:after="0" w:line="142" w:lineRule="exact"/>
              <w:jc w:val="right"/>
              <w:rPr>
                <w:color w:val="auto"/>
                <w:sz w:val="20"/>
                <w:szCs w:val="20"/>
              </w:rPr>
            </w:pPr>
            <w:r>
              <w:rPr>
                <w:rFonts w:ascii="Calibri" w:eastAsia="Calibri" w:hAnsi="Calibri" w:cs="Calibri"/>
                <w:color w:val="auto"/>
                <w:sz w:val="12"/>
                <w:szCs w:val="12"/>
              </w:rPr>
              <w:t>11,836</w:t>
            </w:r>
          </w:p>
        </w:tc>
        <w:tc>
          <w:tcPr>
            <w:tcW w:w="1" w:type="dxa"/>
            <w:vAlign w:val="bottom"/>
          </w:tcPr>
          <w:p>
            <w:pPr>
              <w:spacing w:after="0"/>
              <w:rPr>
                <w:color w:val="auto"/>
                <w:sz w:val="1"/>
                <w:szCs w:val="1"/>
              </w:rPr>
            </w:pPr>
          </w:p>
        </w:tc>
      </w:tr>
      <w:tr>
        <w:tblPrEx>
          <w:tblInd w:w="0" w:type="dxa"/>
          <w:tblLayout w:type="fixed"/>
        </w:tblPrEx>
        <w:trPr>
          <w:trHeight w:val="153"/>
        </w:trPr>
        <w:tc>
          <w:tcPr>
            <w:tcW w:w="704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Earnings allocated to partcipatng securites</w:t>
            </w:r>
          </w:p>
        </w:tc>
        <w:tc>
          <w:tcPr>
            <w:tcW w:w="340" w:type="dxa"/>
            <w:tcBorders>
              <w:bottom w:val="single" w:sz="8" w:space="0" w:color="auto"/>
            </w:tcBorders>
            <w:shd w:val="clear" w:color="auto" w:fill="CCEEFF"/>
            <w:vAlign w:val="bottom"/>
          </w:tcPr>
          <w:p>
            <w:pPr>
              <w:spacing w:after="0"/>
              <w:rPr>
                <w:color w:val="auto"/>
                <w:sz w:val="13"/>
                <w:szCs w:val="13"/>
              </w:rPr>
            </w:pPr>
          </w:p>
        </w:tc>
        <w:tc>
          <w:tcPr>
            <w:tcW w:w="106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40</w:t>
            </w:r>
          </w:p>
        </w:tc>
        <w:tc>
          <w:tcPr>
            <w:tcW w:w="160" w:type="dxa"/>
            <w:tcBorders>
              <w:bottom w:val="single" w:sz="8" w:space="0" w:color="auto"/>
            </w:tcBorders>
            <w:shd w:val="clear" w:color="auto" w:fill="CCEEFF"/>
            <w:vAlign w:val="bottom"/>
          </w:tcPr>
          <w:p>
            <w:pPr>
              <w:spacing w:after="0"/>
              <w:rPr>
                <w:color w:val="auto"/>
                <w:sz w:val="13"/>
                <w:szCs w:val="13"/>
              </w:rPr>
            </w:pPr>
          </w:p>
        </w:tc>
        <w:tc>
          <w:tcPr>
            <w:tcW w:w="126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43</w:t>
            </w:r>
          </w:p>
        </w:tc>
        <w:tc>
          <w:tcPr>
            <w:tcW w:w="380" w:type="dxa"/>
            <w:tcBorders>
              <w:bottom w:val="single" w:sz="8" w:space="0" w:color="auto"/>
            </w:tcBorders>
            <w:shd w:val="clear" w:color="auto" w:fill="CCEEFF"/>
            <w:vAlign w:val="bottom"/>
          </w:tcPr>
          <w:p>
            <w:pPr>
              <w:spacing w:after="0"/>
              <w:rPr>
                <w:color w:val="auto"/>
                <w:sz w:val="13"/>
                <w:szCs w:val="13"/>
              </w:rPr>
            </w:pPr>
          </w:p>
        </w:tc>
        <w:tc>
          <w:tcPr>
            <w:tcW w:w="10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54</w:t>
            </w:r>
          </w:p>
        </w:tc>
        <w:tc>
          <w:tcPr>
            <w:tcW w:w="1" w:type="dxa"/>
            <w:vAlign w:val="bottom"/>
          </w:tcPr>
          <w:p>
            <w:pPr>
              <w:spacing w:after="0"/>
              <w:rPr>
                <w:color w:val="auto"/>
                <w:sz w:val="1"/>
                <w:szCs w:val="1"/>
              </w:rPr>
            </w:pPr>
          </w:p>
        </w:tc>
      </w:tr>
      <w:tr>
        <w:tblPrEx>
          <w:tblInd w:w="0" w:type="dxa"/>
          <w:tblLayout w:type="fixed"/>
        </w:tblPrEx>
        <w:trPr>
          <w:trHeight w:val="164"/>
        </w:trPr>
        <w:tc>
          <w:tcPr>
            <w:tcW w:w="7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Earnings available to common shareholders</w:t>
            </w:r>
          </w:p>
        </w:tc>
        <w:tc>
          <w:tcPr>
            <w:tcW w:w="340" w:type="dxa"/>
            <w:tcBorders>
              <w:bottom w:val="single" w:sz="8" w:space="0" w:color="auto"/>
            </w:tcBorders>
            <w:vAlign w:val="bottom"/>
          </w:tcPr>
          <w:p>
            <w:pPr>
              <w:spacing w:after="0" w:line="142" w:lineRule="exact"/>
              <w:ind w:right="200"/>
              <w:jc w:val="right"/>
              <w:rPr>
                <w:color w:val="auto"/>
                <w:sz w:val="20"/>
                <w:szCs w:val="20"/>
              </w:rPr>
            </w:pPr>
            <w:r>
              <w:rPr>
                <w:rFonts w:ascii="Calibri" w:eastAsia="Calibri" w:hAnsi="Calibri" w:cs="Calibri"/>
                <w:color w:val="auto"/>
                <w:w w:val="97"/>
                <w:sz w:val="12"/>
                <w:szCs w:val="12"/>
              </w:rPr>
              <w:t>$</w:t>
            </w:r>
          </w:p>
        </w:tc>
        <w:tc>
          <w:tcPr>
            <w:tcW w:w="106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4,238</w:t>
            </w:r>
          </w:p>
        </w:tc>
        <w:tc>
          <w:tcPr>
            <w:tcW w:w="1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2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4,820</w:t>
            </w:r>
          </w:p>
        </w:tc>
        <w:tc>
          <w:tcPr>
            <w:tcW w:w="380" w:type="dxa"/>
            <w:tcBorders>
              <w:bottom w:val="single" w:sz="8" w:space="0" w:color="auto"/>
            </w:tcBorders>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0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11,782</w:t>
            </w:r>
          </w:p>
        </w:tc>
        <w:tc>
          <w:tcPr>
            <w:tcW w:w="1" w:type="dxa"/>
            <w:vAlign w:val="bottom"/>
          </w:tcPr>
          <w:p>
            <w:pPr>
              <w:spacing w:after="0"/>
              <w:rPr>
                <w:color w:val="auto"/>
                <w:sz w:val="1"/>
                <w:szCs w:val="1"/>
              </w:rPr>
            </w:pPr>
          </w:p>
        </w:tc>
      </w:tr>
      <w:tr>
        <w:tblPrEx>
          <w:tblInd w:w="0" w:type="dxa"/>
          <w:tblLayout w:type="fixed"/>
        </w:tblPrEx>
        <w:trPr>
          <w:trHeight w:val="153"/>
        </w:trPr>
        <w:tc>
          <w:tcPr>
            <w:tcW w:w="70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Weighted average shares of common stock outstanding</w:t>
            </w:r>
          </w:p>
        </w:tc>
        <w:tc>
          <w:tcPr>
            <w:tcW w:w="340" w:type="dxa"/>
            <w:shd w:val="clear" w:color="auto" w:fill="CCEEFF"/>
            <w:vAlign w:val="bottom"/>
          </w:tcPr>
          <w:p>
            <w:pPr>
              <w:spacing w:after="0"/>
              <w:rPr>
                <w:color w:val="auto"/>
                <w:sz w:val="13"/>
                <w:szCs w:val="13"/>
              </w:rPr>
            </w:pPr>
          </w:p>
        </w:tc>
        <w:tc>
          <w:tcPr>
            <w:tcW w:w="1060" w:type="dxa"/>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1,769</w:t>
            </w:r>
          </w:p>
        </w:tc>
        <w:tc>
          <w:tcPr>
            <w:tcW w:w="160" w:type="dxa"/>
            <w:shd w:val="clear" w:color="auto" w:fill="CCEEFF"/>
            <w:vAlign w:val="bottom"/>
          </w:tcPr>
          <w:p>
            <w:pPr>
              <w:spacing w:after="0"/>
              <w:rPr>
                <w:color w:val="auto"/>
                <w:sz w:val="13"/>
                <w:szCs w:val="13"/>
              </w:rPr>
            </w:pPr>
          </w:p>
        </w:tc>
        <w:tc>
          <w:tcPr>
            <w:tcW w:w="126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1,768</w:t>
            </w:r>
          </w:p>
        </w:tc>
        <w:tc>
          <w:tcPr>
            <w:tcW w:w="380" w:type="dxa"/>
            <w:shd w:val="clear" w:color="auto" w:fill="CCEEFF"/>
            <w:vAlign w:val="bottom"/>
          </w:tcPr>
          <w:p>
            <w:pPr>
              <w:spacing w:after="0"/>
              <w:rPr>
                <w:color w:val="auto"/>
                <w:sz w:val="13"/>
                <w:szCs w:val="13"/>
              </w:rPr>
            </w:pPr>
          </w:p>
        </w:tc>
        <w:tc>
          <w:tcPr>
            <w:tcW w:w="102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1,771</w:t>
            </w:r>
          </w:p>
        </w:tc>
        <w:tc>
          <w:tcPr>
            <w:tcW w:w="1" w:type="dxa"/>
            <w:vAlign w:val="bottom"/>
          </w:tcPr>
          <w:p>
            <w:pPr>
              <w:spacing w:after="0"/>
              <w:rPr>
                <w:color w:val="auto"/>
                <w:sz w:val="1"/>
                <w:szCs w:val="1"/>
              </w:rPr>
            </w:pPr>
          </w:p>
        </w:tc>
      </w:tr>
      <w:tr>
        <w:tblPrEx>
          <w:tblInd w:w="0" w:type="dxa"/>
          <w:tblLayout w:type="fixed"/>
        </w:tblPrEx>
        <w:trPr>
          <w:trHeight w:val="147"/>
        </w:trPr>
        <w:tc>
          <w:tcPr>
            <w:tcW w:w="7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Efect of dilutve securites</w:t>
            </w:r>
          </w:p>
        </w:tc>
        <w:tc>
          <w:tcPr>
            <w:tcW w:w="340" w:type="dxa"/>
            <w:tcBorders>
              <w:bottom w:val="single" w:sz="8" w:space="0" w:color="auto"/>
            </w:tcBorders>
            <w:vAlign w:val="bottom"/>
          </w:tcPr>
          <w:p>
            <w:pPr>
              <w:spacing w:after="0"/>
              <w:rPr>
                <w:color w:val="auto"/>
                <w:sz w:val="12"/>
                <w:szCs w:val="12"/>
              </w:rPr>
            </w:pPr>
          </w:p>
        </w:tc>
        <w:tc>
          <w:tcPr>
            <w:tcW w:w="106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4</w:t>
            </w:r>
          </w:p>
        </w:tc>
        <w:tc>
          <w:tcPr>
            <w:tcW w:w="160" w:type="dxa"/>
            <w:tcBorders>
              <w:bottom w:val="single" w:sz="8" w:space="0" w:color="auto"/>
            </w:tcBorders>
            <w:vAlign w:val="bottom"/>
          </w:tcPr>
          <w:p>
            <w:pPr>
              <w:spacing w:after="0"/>
              <w:rPr>
                <w:color w:val="auto"/>
                <w:sz w:val="12"/>
                <w:szCs w:val="12"/>
              </w:rPr>
            </w:pPr>
          </w:p>
        </w:tc>
        <w:tc>
          <w:tcPr>
            <w:tcW w:w="12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5</w:t>
            </w:r>
          </w:p>
        </w:tc>
        <w:tc>
          <w:tcPr>
            <w:tcW w:w="380" w:type="dxa"/>
            <w:tcBorders>
              <w:bottom w:val="single" w:sz="8" w:space="0" w:color="auto"/>
            </w:tcBorders>
            <w:vAlign w:val="bottom"/>
          </w:tcPr>
          <w:p>
            <w:pPr>
              <w:spacing w:after="0"/>
              <w:rPr>
                <w:color w:val="auto"/>
                <w:sz w:val="12"/>
                <w:szCs w:val="12"/>
              </w:rPr>
            </w:pPr>
          </w:p>
        </w:tc>
        <w:tc>
          <w:tcPr>
            <w:tcW w:w="10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7</w:t>
            </w:r>
          </w:p>
        </w:tc>
        <w:tc>
          <w:tcPr>
            <w:tcW w:w="1" w:type="dxa"/>
            <w:vAlign w:val="bottom"/>
          </w:tcPr>
          <w:p>
            <w:pPr>
              <w:spacing w:after="0"/>
              <w:rPr>
                <w:color w:val="auto"/>
                <w:sz w:val="1"/>
                <w:szCs w:val="1"/>
              </w:rPr>
            </w:pPr>
          </w:p>
        </w:tc>
      </w:tr>
      <w:tr>
        <w:tblPrEx>
          <w:tblInd w:w="0" w:type="dxa"/>
          <w:tblLayout w:type="fixed"/>
        </w:tblPrEx>
        <w:trPr>
          <w:trHeight w:val="142"/>
        </w:trPr>
        <w:tc>
          <w:tcPr>
            <w:tcW w:w="70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Weighted average diluted shares of common stock outstanding</w:t>
            </w:r>
          </w:p>
        </w:tc>
        <w:tc>
          <w:tcPr>
            <w:tcW w:w="340" w:type="dxa"/>
            <w:tcBorders>
              <w:bottom w:val="single" w:sz="8" w:space="0" w:color="auto"/>
            </w:tcBorders>
            <w:shd w:val="clear" w:color="auto" w:fill="CCEEFF"/>
            <w:vAlign w:val="bottom"/>
          </w:tcPr>
          <w:p>
            <w:pPr>
              <w:spacing w:after="0"/>
              <w:rPr>
                <w:color w:val="auto"/>
                <w:sz w:val="12"/>
                <w:szCs w:val="12"/>
              </w:rPr>
            </w:pPr>
          </w:p>
        </w:tc>
        <w:tc>
          <w:tcPr>
            <w:tcW w:w="106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1,773</w:t>
            </w:r>
          </w:p>
        </w:tc>
        <w:tc>
          <w:tcPr>
            <w:tcW w:w="160" w:type="dxa"/>
            <w:tcBorders>
              <w:bottom w:val="single" w:sz="8" w:space="0" w:color="auto"/>
            </w:tcBorders>
            <w:shd w:val="clear" w:color="auto" w:fill="CCEEFF"/>
            <w:vAlign w:val="bottom"/>
          </w:tcPr>
          <w:p>
            <w:pPr>
              <w:spacing w:after="0"/>
              <w:rPr>
                <w:color w:val="auto"/>
                <w:sz w:val="12"/>
                <w:szCs w:val="12"/>
              </w:rPr>
            </w:pPr>
          </w:p>
        </w:tc>
        <w:tc>
          <w:tcPr>
            <w:tcW w:w="126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1,773</w:t>
            </w:r>
          </w:p>
        </w:tc>
        <w:tc>
          <w:tcPr>
            <w:tcW w:w="380" w:type="dxa"/>
            <w:tcBorders>
              <w:bottom w:val="single" w:sz="8" w:space="0" w:color="auto"/>
            </w:tcBorders>
            <w:shd w:val="clear" w:color="auto" w:fill="CCEEFF"/>
            <w:vAlign w:val="bottom"/>
          </w:tcPr>
          <w:p>
            <w:pPr>
              <w:spacing w:after="0"/>
              <w:rPr>
                <w:color w:val="auto"/>
                <w:sz w:val="12"/>
                <w:szCs w:val="12"/>
              </w:rPr>
            </w:pPr>
          </w:p>
        </w:tc>
        <w:tc>
          <w:tcPr>
            <w:tcW w:w="10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1,778</w:t>
            </w:r>
          </w:p>
        </w:tc>
        <w:tc>
          <w:tcPr>
            <w:tcW w:w="1" w:type="dxa"/>
            <w:vAlign w:val="bottom"/>
          </w:tcPr>
          <w:p>
            <w:pPr>
              <w:spacing w:after="0"/>
              <w:rPr>
                <w:color w:val="auto"/>
                <w:sz w:val="1"/>
                <w:szCs w:val="1"/>
              </w:rPr>
            </w:pPr>
          </w:p>
        </w:tc>
      </w:tr>
      <w:tr>
        <w:tblPrEx>
          <w:tblInd w:w="0" w:type="dxa"/>
          <w:tblLayout w:type="fixed"/>
        </w:tblPrEx>
        <w:trPr>
          <w:trHeight w:val="142"/>
        </w:trPr>
        <w:tc>
          <w:tcPr>
            <w:tcW w:w="7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Diluted earnings per share atributable to AbbVie Inc.</w:t>
            </w:r>
          </w:p>
        </w:tc>
        <w:tc>
          <w:tcPr>
            <w:tcW w:w="340" w:type="dxa"/>
            <w:tcBorders>
              <w:bottom w:val="single" w:sz="8" w:space="0" w:color="auto"/>
            </w:tcBorders>
            <w:vAlign w:val="bottom"/>
          </w:tcPr>
          <w:p>
            <w:pPr>
              <w:spacing w:after="0" w:line="142" w:lineRule="exact"/>
              <w:ind w:right="200"/>
              <w:jc w:val="right"/>
              <w:rPr>
                <w:color w:val="auto"/>
                <w:sz w:val="20"/>
                <w:szCs w:val="20"/>
              </w:rPr>
            </w:pPr>
            <w:r>
              <w:rPr>
                <w:rFonts w:ascii="Calibri" w:eastAsia="Calibri" w:hAnsi="Calibri" w:cs="Calibri"/>
                <w:color w:val="auto"/>
                <w:w w:val="97"/>
                <w:sz w:val="12"/>
                <w:szCs w:val="12"/>
              </w:rPr>
              <w:t>$</w:t>
            </w:r>
          </w:p>
        </w:tc>
        <w:tc>
          <w:tcPr>
            <w:tcW w:w="106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2.39</w:t>
            </w:r>
          </w:p>
        </w:tc>
        <w:tc>
          <w:tcPr>
            <w:tcW w:w="1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2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2.72</w:t>
            </w:r>
          </w:p>
        </w:tc>
        <w:tc>
          <w:tcPr>
            <w:tcW w:w="380" w:type="dxa"/>
            <w:tcBorders>
              <w:bottom w:val="single" w:sz="8" w:space="0" w:color="auto"/>
            </w:tcBorders>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0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6.63</w:t>
            </w:r>
          </w:p>
        </w:tc>
        <w:tc>
          <w:tcPr>
            <w:tcW w:w="1" w:type="dxa"/>
            <w:vAlign w:val="bottom"/>
          </w:tcPr>
          <w:p>
            <w:pPr>
              <w:spacing w:after="0"/>
              <w:rPr>
                <w:color w:val="auto"/>
                <w:sz w:val="1"/>
                <w:szCs w:val="1"/>
              </w:rPr>
            </w:pPr>
          </w:p>
        </w:tc>
      </w:tr>
      <w:tr>
        <w:tblPrEx>
          <w:tblInd w:w="0" w:type="dxa"/>
          <w:tblLayout w:type="fixed"/>
        </w:tblPrEx>
        <w:trPr>
          <w:trHeight w:val="20"/>
        </w:trPr>
        <w:tc>
          <w:tcPr>
            <w:tcW w:w="7040" w:type="dxa"/>
            <w:tcBorders>
              <w:bottom w:val="single" w:sz="8" w:space="0" w:color="auto"/>
            </w:tcBorders>
            <w:vAlign w:val="bottom"/>
          </w:tcPr>
          <w:p>
            <w:pPr>
              <w:spacing w:after="0" w:line="20" w:lineRule="exact"/>
              <w:rPr>
                <w:color w:val="auto"/>
                <w:sz w:val="1"/>
                <w:szCs w:val="1"/>
              </w:rPr>
            </w:pPr>
          </w:p>
        </w:tc>
        <w:tc>
          <w:tcPr>
            <w:tcW w:w="340" w:type="dxa"/>
            <w:tcBorders>
              <w:bottom w:val="single" w:sz="8" w:space="0" w:color="auto"/>
            </w:tcBorders>
            <w:vAlign w:val="bottom"/>
          </w:tcPr>
          <w:p>
            <w:pPr>
              <w:spacing w:after="0" w:line="20" w:lineRule="exact"/>
              <w:rPr>
                <w:color w:val="auto"/>
                <w:sz w:val="1"/>
                <w:szCs w:val="1"/>
              </w:rPr>
            </w:pPr>
          </w:p>
        </w:tc>
        <w:tc>
          <w:tcPr>
            <w:tcW w:w="1060" w:type="dxa"/>
            <w:tcBorders>
              <w:bottom w:val="single" w:sz="8" w:space="0" w:color="auto"/>
            </w:tcBorders>
            <w:vAlign w:val="bottom"/>
          </w:tcPr>
          <w:p>
            <w:pPr>
              <w:spacing w:after="0" w:line="20" w:lineRule="exact"/>
              <w:rPr>
                <w:color w:val="auto"/>
                <w:sz w:val="1"/>
                <w:szCs w:val="1"/>
              </w:rPr>
            </w:pPr>
          </w:p>
        </w:tc>
        <w:tc>
          <w:tcPr>
            <w:tcW w:w="160" w:type="dxa"/>
            <w:tcBorders>
              <w:bottom w:val="single" w:sz="8" w:space="0" w:color="auto"/>
            </w:tcBorders>
            <w:vAlign w:val="bottom"/>
          </w:tcPr>
          <w:p>
            <w:pPr>
              <w:spacing w:after="0" w:line="20" w:lineRule="exact"/>
              <w:rPr>
                <w:color w:val="auto"/>
                <w:sz w:val="1"/>
                <w:szCs w:val="1"/>
              </w:rPr>
            </w:pPr>
          </w:p>
        </w:tc>
        <w:tc>
          <w:tcPr>
            <w:tcW w:w="126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1020" w:type="dxa"/>
            <w:tcBorders>
              <w:bottom w:val="single" w:sz="8" w:space="0" w:color="auto"/>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bl>
    <w:p>
      <w:pPr>
        <w:spacing w:after="0" w:line="138"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Certain shares issuable under stock-based compensaton plans were excluded from the computaton of EPS because the efect would have been antdilutve. The number of common shares excluded was insignifcant for all periods presented.</w:t>
      </w:r>
    </w:p>
    <w:p>
      <w:pPr>
        <w:spacing w:after="0" w:line="14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5 Licensing, Acquisitons and Other Arrangements</w:t>
      </w:r>
    </w:p>
    <w:p>
      <w:pPr>
        <w:spacing w:after="0" w:line="20" w:lineRule="exact"/>
        <w:rPr>
          <w:color w:val="auto"/>
          <w:sz w:val="20"/>
          <w:szCs w:val="20"/>
        </w:rPr>
      </w:pPr>
      <w:r>
        <w:rPr>
          <w:color w:val="auto"/>
          <w:sz w:val="20"/>
          <w:szCs w:val="20"/>
        </w:rPr>
        <w:drawing>
          <wp:anchor simplePos="0" relativeHeight="251820032" behindDoc="1" locked="0" layoutInCell="0" allowOverlap="1">
            <wp:simplePos x="0" y="0"/>
            <wp:positionH relativeFrom="column">
              <wp:posOffset>-4445</wp:posOffset>
            </wp:positionH>
            <wp:positionV relativeFrom="paragraph">
              <wp:posOffset>29845</wp:posOffset>
            </wp:positionV>
            <wp:extent cx="7166610" cy="5715"/>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Acquisiton of Cerevel Therapeutcs Holdings, Inc.</w:t>
      </w:r>
    </w:p>
    <w:p>
      <w:pPr>
        <w:spacing w:after="0" w:line="101"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On August 1, 2024, AbbVie completed its previously announced acquisiton of Cerevel Therapeutcs. Cerevel Therapeutcs is a clinical-stage biotechnology company focused on the discovery and development of diferentated therapies for neuroscience diseases. Cerevel Therapeutcs neuroscience pipeline includes multple clinical-stage and preclinical candidates with the potental to treat several diseases including schizophrenia, Parkinson's disease and mood disorders. Under the terms of the agreement, AbbVie acquired all outstanding shares of Cerevel Therapeutcs for $45.00 per share in cash. The total fair value of the consideraton transferred to owners of Cerevel Therapeutcs common stock was $8.7 billion ($8.3 billion, net of cash acquired).</w:t>
      </w:r>
    </w:p>
    <w:p>
      <w:pPr>
        <w:spacing w:after="0" w:line="164"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The acquisiton of Cerevel Therapeutcs has been accounted for as a business combinaton using the acquisiton method of accountng. The acquisiton method requires, among other things, that assets acquired and liabilites assumed in a business combinaton be recognized at their fair values as of the acquisiton date. The valuaton of assets acquired and liabilites assumed has not yet been fnalized as of December 31, 2024. As a result, AbbVie recorded preliminary estmates for the fair value of assets acquired and liabilites assumed as of the acquisiton date. Finalizaton of the valuaton during the measurement period could result in a change in the amounts recorded for the acquisiton date fair value of intangible assets, goodwill and income taxes among other items. The completon of the valuaton will occur no later than one year from the acquisiton date.</w:t>
      </w:r>
    </w:p>
    <w:p>
      <w:pPr>
        <w:spacing w:after="0" w:line="105"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63</w:t>
      </w:r>
      <w:r>
        <w:rPr>
          <w:color w:val="auto"/>
          <w:sz w:val="20"/>
          <w:szCs w:val="20"/>
        </w:rPr>
        <w:tab/>
      </w:r>
      <w:r>
        <w:rPr>
          <w:color w:val="auto"/>
          <w:sz w:val="1"/>
          <w:szCs w:val="1"/>
        </w:rPr>
        <w:drawing>
          <wp:inline distT="0" distB="0" distL="0" distR="0">
            <wp:extent cx="400050" cy="7429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21056" behindDoc="1" locked="0" layoutInCell="0" allowOverlap="1">
            <wp:simplePos x="0" y="0"/>
            <wp:positionH relativeFrom="column">
              <wp:posOffset>-17145</wp:posOffset>
            </wp:positionH>
            <wp:positionV relativeFrom="paragraph">
              <wp:posOffset>133985</wp:posOffset>
            </wp:positionV>
            <wp:extent cx="7203440" cy="3683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804" w:right="339" w:bottom="1440" w:left="300" w:header="0" w:footer="0" w:gutter="0"/>
          <w:cols w:num="1" w:space="720" w:equalWidth="0">
            <w:col w:w="11260" w:space="0"/>
          </w:cols>
        </w:sectPr>
      </w:pPr>
    </w:p>
    <w:bookmarkStart w:id="65" w:name="page66"/>
    <w:bookmarkEnd w:id="65"/>
    <w:p>
      <w:pPr>
        <w:spacing w:after="0"/>
        <w:ind w:left="280"/>
        <w:rPr>
          <w:color w:val="auto"/>
          <w:sz w:val="20"/>
          <w:szCs w:val="20"/>
        </w:rPr>
      </w:pPr>
      <w:r>
        <w:rPr>
          <w:rFonts w:ascii="Calibri" w:eastAsia="Calibri" w:hAnsi="Calibri" w:cs="Calibri"/>
          <w:color w:val="auto"/>
          <w:sz w:val="12"/>
          <w:szCs w:val="12"/>
        </w:rPr>
        <w:t>The following table summarizes the preliminary fair value of assets acquired and liabilites assumed as of the acquisiton date:</w:t>
      </w:r>
    </w:p>
    <w:p>
      <w:pPr>
        <w:spacing w:after="0" w:line="106" w:lineRule="exact"/>
        <w:rPr>
          <w:color w:val="auto"/>
          <w:sz w:val="20"/>
          <w:szCs w:val="20"/>
        </w:rPr>
      </w:pPr>
    </w:p>
    <w:p>
      <w:pPr>
        <w:spacing w:after="0"/>
        <w:rPr>
          <w:color w:val="auto"/>
          <w:sz w:val="20"/>
          <w:szCs w:val="20"/>
        </w:rPr>
      </w:pPr>
      <w:r>
        <w:rPr>
          <w:rFonts w:ascii="Calibri" w:eastAsia="Calibri" w:hAnsi="Calibri" w:cs="Calibri"/>
          <w:b/>
          <w:bCs/>
          <w:color w:val="auto"/>
          <w:sz w:val="10"/>
          <w:szCs w:val="10"/>
        </w:rPr>
        <w:t>(in millions)</w:t>
      </w:r>
    </w:p>
    <w:p>
      <w:pPr>
        <w:spacing w:after="0" w:line="12" w:lineRule="exact"/>
        <w:rPr>
          <w:color w:val="auto"/>
          <w:sz w:val="20"/>
          <w:szCs w:val="20"/>
        </w:rPr>
      </w:pPr>
    </w:p>
    <w:tbl>
      <w:tblPr>
        <w:tblInd w:w="0" w:type="dxa"/>
        <w:tblLayout w:type="fixed"/>
        <w:tblCellMar>
          <w:top w:w="0" w:type="dxa"/>
          <w:left w:w="0" w:type="dxa"/>
          <w:bottom w:w="0" w:type="dxa"/>
          <w:right w:w="0" w:type="dxa"/>
        </w:tblCellMar>
      </w:tblPr>
      <w:tblGrid>
        <w:gridCol w:w="5700"/>
        <w:gridCol w:w="4440"/>
        <w:gridCol w:w="1160"/>
      </w:tblGrid>
      <w:tr>
        <w:tblPrEx>
          <w:tblInd w:w="0" w:type="dxa"/>
          <w:tblLayout w:type="fixed"/>
        </w:tblPrEx>
        <w:trPr>
          <w:trHeight w:val="156"/>
        </w:trPr>
        <w:tc>
          <w:tcPr>
            <w:tcW w:w="5700" w:type="dxa"/>
            <w:tcBorders>
              <w:top w:val="single" w:sz="8" w:space="0" w:color="auto"/>
            </w:tcBorders>
            <w:vAlign w:val="bottom"/>
          </w:tcPr>
          <w:p>
            <w:pPr>
              <w:spacing w:after="0"/>
              <w:rPr>
                <w:color w:val="auto"/>
                <w:sz w:val="20"/>
                <w:szCs w:val="20"/>
              </w:rPr>
            </w:pPr>
            <w:r>
              <w:rPr>
                <w:rFonts w:ascii="Calibri" w:eastAsia="Calibri" w:hAnsi="Calibri" w:cs="Calibri"/>
                <w:b/>
                <w:bCs/>
                <w:color w:val="auto"/>
                <w:sz w:val="12"/>
                <w:szCs w:val="12"/>
              </w:rPr>
              <w:t>Assets acquired and liabilites assumed</w:t>
            </w:r>
          </w:p>
        </w:tc>
        <w:tc>
          <w:tcPr>
            <w:tcW w:w="4440" w:type="dxa"/>
            <w:tcBorders>
              <w:top w:val="single" w:sz="8" w:space="0" w:color="auto"/>
            </w:tcBorders>
            <w:vAlign w:val="bottom"/>
          </w:tcPr>
          <w:p>
            <w:pPr>
              <w:spacing w:after="0"/>
              <w:rPr>
                <w:color w:val="auto"/>
                <w:sz w:val="13"/>
                <w:szCs w:val="13"/>
              </w:rPr>
            </w:pPr>
          </w:p>
        </w:tc>
        <w:tc>
          <w:tcPr>
            <w:tcW w:w="1160" w:type="dxa"/>
            <w:tcBorders>
              <w:top w:val="single" w:sz="8" w:space="0" w:color="auto"/>
            </w:tcBorders>
            <w:vAlign w:val="bottom"/>
          </w:tcPr>
          <w:p>
            <w:pPr>
              <w:spacing w:after="0"/>
              <w:rPr>
                <w:color w:val="auto"/>
                <w:sz w:val="13"/>
                <w:szCs w:val="13"/>
              </w:rPr>
            </w:pPr>
          </w:p>
        </w:tc>
      </w:tr>
      <w:tr>
        <w:tblPrEx>
          <w:tblInd w:w="0" w:type="dxa"/>
          <w:tblLayout w:type="fixed"/>
        </w:tblPrEx>
        <w:trPr>
          <w:trHeight w:val="159"/>
        </w:trPr>
        <w:tc>
          <w:tcPr>
            <w:tcW w:w="5700" w:type="dxa"/>
            <w:shd w:val="clear" w:color="auto" w:fill="CCEEFF"/>
            <w:vAlign w:val="bottom"/>
          </w:tcPr>
          <w:p>
            <w:pPr>
              <w:spacing w:after="0"/>
              <w:rPr>
                <w:color w:val="auto"/>
                <w:sz w:val="20"/>
                <w:szCs w:val="20"/>
              </w:rPr>
            </w:pPr>
            <w:r>
              <w:rPr>
                <w:rFonts w:ascii="Calibri" w:eastAsia="Calibri" w:hAnsi="Calibri" w:cs="Calibri"/>
                <w:color w:val="auto"/>
                <w:sz w:val="12"/>
                <w:szCs w:val="12"/>
              </w:rPr>
              <w:t>Cash and equivalents</w:t>
            </w:r>
          </w:p>
        </w:tc>
        <w:tc>
          <w:tcPr>
            <w:tcW w:w="4440" w:type="dxa"/>
            <w:shd w:val="clear" w:color="auto" w:fill="CCEEFF"/>
            <w:vAlign w:val="bottom"/>
          </w:tcPr>
          <w:p>
            <w:pPr>
              <w:spacing w:after="0"/>
              <w:ind w:right="72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361</w:t>
            </w:r>
          </w:p>
        </w:tc>
      </w:tr>
      <w:tr>
        <w:tblPrEx>
          <w:tblInd w:w="0" w:type="dxa"/>
          <w:tblLayout w:type="fixed"/>
        </w:tblPrEx>
        <w:trPr>
          <w:trHeight w:val="147"/>
        </w:trPr>
        <w:tc>
          <w:tcPr>
            <w:tcW w:w="5700" w:type="dxa"/>
            <w:vAlign w:val="bottom"/>
          </w:tcPr>
          <w:p>
            <w:pPr>
              <w:spacing w:after="0" w:line="142" w:lineRule="exact"/>
              <w:rPr>
                <w:color w:val="auto"/>
                <w:sz w:val="20"/>
                <w:szCs w:val="20"/>
              </w:rPr>
            </w:pPr>
            <w:r>
              <w:rPr>
                <w:rFonts w:ascii="Calibri" w:eastAsia="Calibri" w:hAnsi="Calibri" w:cs="Calibri"/>
                <w:color w:val="auto"/>
                <w:sz w:val="12"/>
                <w:szCs w:val="12"/>
              </w:rPr>
              <w:t>Short-term investments</w:t>
            </w:r>
          </w:p>
        </w:tc>
        <w:tc>
          <w:tcPr>
            <w:tcW w:w="4440" w:type="dxa"/>
            <w:vAlign w:val="bottom"/>
          </w:tcPr>
          <w:p>
            <w:pPr>
              <w:spacing w:after="0"/>
              <w:rPr>
                <w:color w:val="auto"/>
                <w:sz w:val="12"/>
                <w:szCs w:val="12"/>
              </w:rPr>
            </w:pPr>
          </w:p>
        </w:tc>
        <w:tc>
          <w:tcPr>
            <w:tcW w:w="1160" w:type="dxa"/>
            <w:vAlign w:val="bottom"/>
          </w:tcPr>
          <w:p>
            <w:pPr>
              <w:spacing w:after="0" w:line="142" w:lineRule="exact"/>
              <w:jc w:val="right"/>
              <w:rPr>
                <w:color w:val="auto"/>
                <w:sz w:val="20"/>
                <w:szCs w:val="20"/>
              </w:rPr>
            </w:pPr>
            <w:r>
              <w:rPr>
                <w:rFonts w:ascii="Calibri" w:eastAsia="Calibri" w:hAnsi="Calibri" w:cs="Calibri"/>
                <w:color w:val="auto"/>
                <w:sz w:val="12"/>
                <w:szCs w:val="12"/>
              </w:rPr>
              <w:t>382</w:t>
            </w:r>
          </w:p>
        </w:tc>
      </w:tr>
      <w:tr>
        <w:tblPrEx>
          <w:tblInd w:w="0" w:type="dxa"/>
          <w:tblLayout w:type="fixed"/>
        </w:tblPrEx>
        <w:trPr>
          <w:trHeight w:val="159"/>
        </w:trPr>
        <w:tc>
          <w:tcPr>
            <w:tcW w:w="5700" w:type="dxa"/>
            <w:shd w:val="clear" w:color="auto" w:fill="CCEEFF"/>
            <w:vAlign w:val="bottom"/>
          </w:tcPr>
          <w:p>
            <w:pPr>
              <w:spacing w:after="0"/>
              <w:rPr>
                <w:color w:val="auto"/>
                <w:sz w:val="20"/>
                <w:szCs w:val="20"/>
              </w:rPr>
            </w:pPr>
            <w:r>
              <w:rPr>
                <w:rFonts w:ascii="Calibri" w:eastAsia="Calibri" w:hAnsi="Calibri" w:cs="Calibri"/>
                <w:color w:val="auto"/>
                <w:sz w:val="12"/>
                <w:szCs w:val="12"/>
              </w:rPr>
              <w:t>Prepaid expenses and other current assets</w:t>
            </w:r>
          </w:p>
        </w:tc>
        <w:tc>
          <w:tcPr>
            <w:tcW w:w="44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9</w:t>
            </w:r>
          </w:p>
        </w:tc>
      </w:tr>
      <w:tr>
        <w:tblPrEx>
          <w:tblInd w:w="0" w:type="dxa"/>
          <w:tblLayout w:type="fixed"/>
        </w:tblPrEx>
        <w:trPr>
          <w:trHeight w:val="147"/>
        </w:trPr>
        <w:tc>
          <w:tcPr>
            <w:tcW w:w="5700" w:type="dxa"/>
            <w:vAlign w:val="bottom"/>
          </w:tcPr>
          <w:p>
            <w:pPr>
              <w:spacing w:after="0" w:line="142" w:lineRule="exact"/>
              <w:rPr>
                <w:color w:val="auto"/>
                <w:sz w:val="20"/>
                <w:szCs w:val="20"/>
              </w:rPr>
            </w:pPr>
            <w:r>
              <w:rPr>
                <w:rFonts w:ascii="Calibri" w:eastAsia="Calibri" w:hAnsi="Calibri" w:cs="Calibri"/>
                <w:color w:val="auto"/>
                <w:sz w:val="12"/>
                <w:szCs w:val="12"/>
              </w:rPr>
              <w:t>Property and equipment, net</w:t>
            </w:r>
          </w:p>
        </w:tc>
        <w:tc>
          <w:tcPr>
            <w:tcW w:w="4440" w:type="dxa"/>
            <w:vAlign w:val="bottom"/>
          </w:tcPr>
          <w:p>
            <w:pPr>
              <w:spacing w:after="0"/>
              <w:rPr>
                <w:color w:val="auto"/>
                <w:sz w:val="12"/>
                <w:szCs w:val="12"/>
              </w:rPr>
            </w:pPr>
          </w:p>
        </w:tc>
        <w:tc>
          <w:tcPr>
            <w:tcW w:w="1160" w:type="dxa"/>
            <w:vAlign w:val="bottom"/>
          </w:tcPr>
          <w:p>
            <w:pPr>
              <w:spacing w:after="0" w:line="142" w:lineRule="exact"/>
              <w:jc w:val="right"/>
              <w:rPr>
                <w:color w:val="auto"/>
                <w:sz w:val="20"/>
                <w:szCs w:val="20"/>
              </w:rPr>
            </w:pPr>
            <w:r>
              <w:rPr>
                <w:rFonts w:ascii="Calibri" w:eastAsia="Calibri" w:hAnsi="Calibri" w:cs="Calibri"/>
                <w:color w:val="auto"/>
                <w:sz w:val="12"/>
                <w:szCs w:val="12"/>
              </w:rPr>
              <w:t>25</w:t>
            </w:r>
          </w:p>
        </w:tc>
      </w:tr>
      <w:tr>
        <w:tblPrEx>
          <w:tblInd w:w="0" w:type="dxa"/>
          <w:tblLayout w:type="fixed"/>
        </w:tblPrEx>
        <w:trPr>
          <w:trHeight w:val="159"/>
        </w:trPr>
        <w:tc>
          <w:tcPr>
            <w:tcW w:w="5700" w:type="dxa"/>
            <w:shd w:val="clear" w:color="auto" w:fill="CCEEFF"/>
            <w:vAlign w:val="bottom"/>
          </w:tcPr>
          <w:p>
            <w:pPr>
              <w:spacing w:after="0"/>
              <w:rPr>
                <w:color w:val="auto"/>
                <w:sz w:val="20"/>
                <w:szCs w:val="20"/>
              </w:rPr>
            </w:pPr>
            <w:r>
              <w:rPr>
                <w:rFonts w:ascii="Calibri" w:eastAsia="Calibri" w:hAnsi="Calibri" w:cs="Calibri"/>
                <w:color w:val="auto"/>
                <w:sz w:val="12"/>
                <w:szCs w:val="12"/>
              </w:rPr>
              <w:t>Investments</w:t>
            </w:r>
          </w:p>
        </w:tc>
        <w:tc>
          <w:tcPr>
            <w:tcW w:w="44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121</w:t>
            </w:r>
          </w:p>
        </w:tc>
      </w:tr>
      <w:tr>
        <w:tblPrEx>
          <w:tblInd w:w="0" w:type="dxa"/>
          <w:tblLayout w:type="fixed"/>
        </w:tblPrEx>
        <w:trPr>
          <w:trHeight w:val="147"/>
        </w:trPr>
        <w:tc>
          <w:tcPr>
            <w:tcW w:w="5700" w:type="dxa"/>
            <w:vAlign w:val="bottom"/>
          </w:tcPr>
          <w:p>
            <w:pPr>
              <w:spacing w:after="0" w:line="142" w:lineRule="exact"/>
              <w:rPr>
                <w:color w:val="auto"/>
                <w:sz w:val="20"/>
                <w:szCs w:val="20"/>
              </w:rPr>
            </w:pPr>
            <w:r>
              <w:rPr>
                <w:rFonts w:ascii="Calibri" w:eastAsia="Calibri" w:hAnsi="Calibri" w:cs="Calibri"/>
                <w:color w:val="auto"/>
                <w:sz w:val="12"/>
                <w:szCs w:val="12"/>
              </w:rPr>
              <w:t>Intangible assets, net</w:t>
            </w:r>
          </w:p>
        </w:tc>
        <w:tc>
          <w:tcPr>
            <w:tcW w:w="4440" w:type="dxa"/>
            <w:vAlign w:val="bottom"/>
          </w:tcPr>
          <w:p>
            <w:pPr>
              <w:spacing w:after="0"/>
              <w:rPr>
                <w:color w:val="auto"/>
                <w:sz w:val="12"/>
                <w:szCs w:val="12"/>
              </w:rPr>
            </w:pPr>
          </w:p>
        </w:tc>
        <w:tc>
          <w:tcPr>
            <w:tcW w:w="1160" w:type="dxa"/>
            <w:vAlign w:val="bottom"/>
          </w:tcPr>
          <w:p>
            <w:pPr>
              <w:spacing w:after="0" w:line="142" w:lineRule="exact"/>
              <w:jc w:val="right"/>
              <w:rPr>
                <w:color w:val="auto"/>
                <w:sz w:val="20"/>
                <w:szCs w:val="20"/>
              </w:rPr>
            </w:pPr>
            <w:r>
              <w:rPr>
                <w:rFonts w:ascii="Calibri" w:eastAsia="Calibri" w:hAnsi="Calibri" w:cs="Calibri"/>
                <w:color w:val="auto"/>
                <w:sz w:val="12"/>
                <w:szCs w:val="12"/>
              </w:rPr>
              <w:t>8,100</w:t>
            </w:r>
          </w:p>
        </w:tc>
      </w:tr>
      <w:tr>
        <w:tblPrEx>
          <w:tblInd w:w="0" w:type="dxa"/>
          <w:tblLayout w:type="fixed"/>
        </w:tblPrEx>
        <w:trPr>
          <w:trHeight w:val="159"/>
        </w:trPr>
        <w:tc>
          <w:tcPr>
            <w:tcW w:w="5700" w:type="dxa"/>
            <w:shd w:val="clear" w:color="auto" w:fill="CCEEFF"/>
            <w:vAlign w:val="bottom"/>
          </w:tcPr>
          <w:p>
            <w:pPr>
              <w:spacing w:after="0"/>
              <w:rPr>
                <w:color w:val="auto"/>
                <w:sz w:val="20"/>
                <w:szCs w:val="20"/>
              </w:rPr>
            </w:pPr>
            <w:r>
              <w:rPr>
                <w:rFonts w:ascii="Calibri" w:eastAsia="Calibri" w:hAnsi="Calibri" w:cs="Calibri"/>
                <w:color w:val="auto"/>
                <w:sz w:val="12"/>
                <w:szCs w:val="12"/>
              </w:rPr>
              <w:t>Other noncurrent assets</w:t>
            </w:r>
          </w:p>
        </w:tc>
        <w:tc>
          <w:tcPr>
            <w:tcW w:w="44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31</w:t>
            </w:r>
          </w:p>
        </w:tc>
      </w:tr>
      <w:tr>
        <w:tblPrEx>
          <w:tblInd w:w="0" w:type="dxa"/>
          <w:tblLayout w:type="fixed"/>
        </w:tblPrEx>
        <w:trPr>
          <w:trHeight w:val="147"/>
        </w:trPr>
        <w:tc>
          <w:tcPr>
            <w:tcW w:w="5700" w:type="dxa"/>
            <w:vAlign w:val="bottom"/>
          </w:tcPr>
          <w:p>
            <w:pPr>
              <w:spacing w:after="0" w:line="142" w:lineRule="exact"/>
              <w:rPr>
                <w:color w:val="auto"/>
                <w:sz w:val="20"/>
                <w:szCs w:val="20"/>
              </w:rPr>
            </w:pPr>
            <w:r>
              <w:rPr>
                <w:rFonts w:ascii="Calibri" w:eastAsia="Calibri" w:hAnsi="Calibri" w:cs="Calibri"/>
                <w:color w:val="auto"/>
                <w:sz w:val="12"/>
                <w:szCs w:val="12"/>
              </w:rPr>
              <w:t>Current porton of long-term debt</w:t>
            </w:r>
          </w:p>
        </w:tc>
        <w:tc>
          <w:tcPr>
            <w:tcW w:w="4440" w:type="dxa"/>
            <w:vAlign w:val="bottom"/>
          </w:tcPr>
          <w:p>
            <w:pPr>
              <w:spacing w:after="0"/>
              <w:rPr>
                <w:color w:val="auto"/>
                <w:sz w:val="12"/>
                <w:szCs w:val="12"/>
              </w:rPr>
            </w:pPr>
          </w:p>
        </w:tc>
        <w:tc>
          <w:tcPr>
            <w:tcW w:w="1160" w:type="dxa"/>
            <w:vAlign w:val="bottom"/>
          </w:tcPr>
          <w:p>
            <w:pPr>
              <w:spacing w:after="0" w:line="142" w:lineRule="exact"/>
              <w:jc w:val="right"/>
              <w:rPr>
                <w:color w:val="auto"/>
                <w:sz w:val="20"/>
                <w:szCs w:val="20"/>
              </w:rPr>
            </w:pPr>
            <w:r>
              <w:rPr>
                <w:rFonts w:ascii="Calibri" w:eastAsia="Calibri" w:hAnsi="Calibri" w:cs="Calibri"/>
                <w:color w:val="auto"/>
                <w:sz w:val="12"/>
                <w:szCs w:val="12"/>
              </w:rPr>
              <w:t>(400)</w:t>
            </w:r>
          </w:p>
        </w:tc>
      </w:tr>
      <w:tr>
        <w:tblPrEx>
          <w:tblInd w:w="0" w:type="dxa"/>
          <w:tblLayout w:type="fixed"/>
        </w:tblPrEx>
        <w:trPr>
          <w:trHeight w:val="159"/>
        </w:trPr>
        <w:tc>
          <w:tcPr>
            <w:tcW w:w="5700" w:type="dxa"/>
            <w:shd w:val="clear" w:color="auto" w:fill="CCEEFF"/>
            <w:vAlign w:val="bottom"/>
          </w:tcPr>
          <w:p>
            <w:pPr>
              <w:spacing w:after="0"/>
              <w:rPr>
                <w:color w:val="auto"/>
                <w:sz w:val="20"/>
                <w:szCs w:val="20"/>
              </w:rPr>
            </w:pPr>
            <w:r>
              <w:rPr>
                <w:rFonts w:ascii="Calibri" w:eastAsia="Calibri" w:hAnsi="Calibri" w:cs="Calibri"/>
                <w:color w:val="auto"/>
                <w:sz w:val="12"/>
                <w:szCs w:val="12"/>
              </w:rPr>
              <w:t>Accounts payable and accrued liabilites</w:t>
            </w:r>
          </w:p>
        </w:tc>
        <w:tc>
          <w:tcPr>
            <w:tcW w:w="44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(100)</w:t>
            </w:r>
          </w:p>
        </w:tc>
      </w:tr>
      <w:tr>
        <w:tblPrEx>
          <w:tblInd w:w="0" w:type="dxa"/>
          <w:tblLayout w:type="fixed"/>
        </w:tblPrEx>
        <w:trPr>
          <w:trHeight w:val="147"/>
        </w:trPr>
        <w:tc>
          <w:tcPr>
            <w:tcW w:w="5700" w:type="dxa"/>
            <w:vAlign w:val="bottom"/>
          </w:tcPr>
          <w:p>
            <w:pPr>
              <w:spacing w:after="0" w:line="142" w:lineRule="exact"/>
              <w:rPr>
                <w:color w:val="auto"/>
                <w:sz w:val="20"/>
                <w:szCs w:val="20"/>
              </w:rPr>
            </w:pPr>
            <w:r>
              <w:rPr>
                <w:rFonts w:ascii="Calibri" w:eastAsia="Calibri" w:hAnsi="Calibri" w:cs="Calibri"/>
                <w:color w:val="auto"/>
                <w:sz w:val="12"/>
                <w:szCs w:val="12"/>
              </w:rPr>
              <w:t>Long-term debt</w:t>
            </w:r>
          </w:p>
        </w:tc>
        <w:tc>
          <w:tcPr>
            <w:tcW w:w="4440" w:type="dxa"/>
            <w:vAlign w:val="bottom"/>
          </w:tcPr>
          <w:p>
            <w:pPr>
              <w:spacing w:after="0"/>
              <w:rPr>
                <w:color w:val="auto"/>
                <w:sz w:val="12"/>
                <w:szCs w:val="12"/>
              </w:rPr>
            </w:pPr>
          </w:p>
        </w:tc>
        <w:tc>
          <w:tcPr>
            <w:tcW w:w="1160" w:type="dxa"/>
            <w:vAlign w:val="bottom"/>
          </w:tcPr>
          <w:p>
            <w:pPr>
              <w:spacing w:after="0" w:line="142" w:lineRule="exact"/>
              <w:jc w:val="right"/>
              <w:rPr>
                <w:color w:val="auto"/>
                <w:sz w:val="20"/>
                <w:szCs w:val="20"/>
              </w:rPr>
            </w:pPr>
            <w:r>
              <w:rPr>
                <w:rFonts w:ascii="Calibri" w:eastAsia="Calibri" w:hAnsi="Calibri" w:cs="Calibri"/>
                <w:color w:val="auto"/>
                <w:sz w:val="12"/>
                <w:szCs w:val="12"/>
              </w:rPr>
              <w:t>(246)</w:t>
            </w:r>
          </w:p>
        </w:tc>
      </w:tr>
      <w:tr>
        <w:tblPrEx>
          <w:tblInd w:w="0" w:type="dxa"/>
          <w:tblLayout w:type="fixed"/>
        </w:tblPrEx>
        <w:trPr>
          <w:trHeight w:val="159"/>
        </w:trPr>
        <w:tc>
          <w:tcPr>
            <w:tcW w:w="5700" w:type="dxa"/>
            <w:shd w:val="clear" w:color="auto" w:fill="CCEEFF"/>
            <w:vAlign w:val="bottom"/>
          </w:tcPr>
          <w:p>
            <w:pPr>
              <w:spacing w:after="0"/>
              <w:rPr>
                <w:color w:val="auto"/>
                <w:sz w:val="20"/>
                <w:szCs w:val="20"/>
              </w:rPr>
            </w:pPr>
            <w:r>
              <w:rPr>
                <w:rFonts w:ascii="Calibri" w:eastAsia="Calibri" w:hAnsi="Calibri" w:cs="Calibri"/>
                <w:color w:val="auto"/>
                <w:sz w:val="12"/>
                <w:szCs w:val="12"/>
              </w:rPr>
              <w:t>Deferred income taxes</w:t>
            </w:r>
          </w:p>
        </w:tc>
        <w:tc>
          <w:tcPr>
            <w:tcW w:w="44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(1,292)</w:t>
            </w:r>
          </w:p>
        </w:tc>
      </w:tr>
      <w:tr>
        <w:tblPrEx>
          <w:tblInd w:w="0" w:type="dxa"/>
          <w:tblLayout w:type="fixed"/>
        </w:tblPrEx>
        <w:trPr>
          <w:trHeight w:val="147"/>
        </w:trPr>
        <w:tc>
          <w:tcPr>
            <w:tcW w:w="57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Other long-term liabilites</w:t>
            </w:r>
          </w:p>
        </w:tc>
        <w:tc>
          <w:tcPr>
            <w:tcW w:w="444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(31)</w:t>
            </w:r>
          </w:p>
        </w:tc>
      </w:tr>
      <w:tr>
        <w:tblPrEx>
          <w:tblInd w:w="0" w:type="dxa"/>
          <w:tblLayout w:type="fixed"/>
        </w:tblPrEx>
        <w:trPr>
          <w:trHeight w:val="148"/>
        </w:trPr>
        <w:tc>
          <w:tcPr>
            <w:tcW w:w="57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identfable net assets</w:t>
            </w:r>
          </w:p>
        </w:tc>
        <w:tc>
          <w:tcPr>
            <w:tcW w:w="4440" w:type="dxa"/>
            <w:shd w:val="clear" w:color="auto" w:fill="CCEEFF"/>
            <w:vAlign w:val="bottom"/>
          </w:tcPr>
          <w:p>
            <w:pPr>
              <w:spacing w:after="0"/>
              <w:rPr>
                <w:color w:val="auto"/>
                <w:sz w:val="12"/>
                <w:szCs w:val="12"/>
              </w:rPr>
            </w:pPr>
          </w:p>
        </w:tc>
        <w:tc>
          <w:tcPr>
            <w:tcW w:w="116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6,960</w:t>
            </w:r>
          </w:p>
        </w:tc>
      </w:tr>
      <w:tr>
        <w:tblPrEx>
          <w:tblInd w:w="0" w:type="dxa"/>
          <w:tblLayout w:type="fixed"/>
        </w:tblPrEx>
        <w:trPr>
          <w:trHeight w:val="147"/>
        </w:trPr>
        <w:tc>
          <w:tcPr>
            <w:tcW w:w="57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Goodwill</w:t>
            </w:r>
          </w:p>
        </w:tc>
        <w:tc>
          <w:tcPr>
            <w:tcW w:w="444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1,702</w:t>
            </w:r>
          </w:p>
        </w:tc>
      </w:tr>
      <w:tr>
        <w:tblPrEx>
          <w:tblInd w:w="0" w:type="dxa"/>
          <w:tblLayout w:type="fixed"/>
        </w:tblPrEx>
        <w:trPr>
          <w:trHeight w:val="164"/>
        </w:trPr>
        <w:tc>
          <w:tcPr>
            <w:tcW w:w="570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assets acquired and liabilites assumed</w:t>
            </w:r>
          </w:p>
        </w:tc>
        <w:tc>
          <w:tcPr>
            <w:tcW w:w="4440" w:type="dxa"/>
            <w:tcBorders>
              <w:bottom w:val="single" w:sz="8" w:space="0" w:color="auto"/>
            </w:tcBorders>
            <w:shd w:val="clear" w:color="auto" w:fill="CCEEFF"/>
            <w:vAlign w:val="bottom"/>
          </w:tcPr>
          <w:p>
            <w:pPr>
              <w:spacing w:after="0" w:line="142" w:lineRule="exact"/>
              <w:ind w:right="72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8,662</w:t>
            </w:r>
          </w:p>
        </w:tc>
      </w:tr>
    </w:tbl>
    <w:p>
      <w:pPr>
        <w:spacing w:after="0" w:line="147" w:lineRule="exact"/>
        <w:rPr>
          <w:color w:val="auto"/>
          <w:sz w:val="20"/>
          <w:szCs w:val="20"/>
        </w:rPr>
      </w:pPr>
    </w:p>
    <w:p>
      <w:pPr>
        <w:spacing w:after="0" w:line="261" w:lineRule="auto"/>
        <w:ind w:right="20" w:firstLine="297"/>
        <w:rPr>
          <w:color w:val="auto"/>
          <w:sz w:val="20"/>
          <w:szCs w:val="20"/>
        </w:rPr>
      </w:pPr>
      <w:r>
        <w:rPr>
          <w:rFonts w:ascii="Calibri" w:eastAsia="Calibri" w:hAnsi="Calibri" w:cs="Calibri"/>
          <w:color w:val="auto"/>
          <w:sz w:val="11"/>
          <w:szCs w:val="11"/>
        </w:rPr>
        <w:t>Intangible assets relate to $8.1 billion of acquired in-process research and development (IPR&amp;D) associated with products that have not yet received regulatory approval. The estmated fair values of identfable intangible assets were determined using the "income approach" which is a valuaton technique that provides an estmate of the fair value of an asset based on market partcipant expectatons of the cash fows an asset would generate over its remaining useful life. Some of the more signifcant assumptons inherent in the development of these asset valuatons include the estmated net cash fows for each year for each asset or product, the appropriate discount rate necessary to measure the risk inherent in each future cash fow stream, the life cycle of each asset, the potental regulatory and commercial success risk, compettve trends impactng the asset and each cash fow stream, as well as other factors.</w:t>
      </w:r>
    </w:p>
    <w:p>
      <w:pPr>
        <w:spacing w:after="0" w:line="82" w:lineRule="exact"/>
        <w:rPr>
          <w:color w:val="auto"/>
          <w:sz w:val="20"/>
          <w:szCs w:val="20"/>
        </w:rPr>
      </w:pPr>
    </w:p>
    <w:p>
      <w:pPr>
        <w:spacing w:after="0" w:line="234" w:lineRule="auto"/>
        <w:ind w:firstLine="297"/>
        <w:jc w:val="both"/>
        <w:rPr>
          <w:color w:val="auto"/>
          <w:sz w:val="20"/>
          <w:szCs w:val="20"/>
        </w:rPr>
      </w:pPr>
      <w:r>
        <w:rPr>
          <w:rFonts w:ascii="Calibri" w:eastAsia="Calibri" w:hAnsi="Calibri" w:cs="Calibri"/>
          <w:color w:val="auto"/>
          <w:sz w:val="12"/>
          <w:szCs w:val="12"/>
        </w:rPr>
        <w:t>The current porton of long-term debt assumed by AbbVie consists of $345 million aggregate principal of 2.5% convertble senior notes due 2027. Upon acquisiton, the convertble senior notes became callable and note holders could redeem the convertble senior notes for cash at a premium. As of the acquisiton date, the convertble senior notes were recognized as current porton of long-term debt on the consolidated balance sheets at an aggregate fair value of $400 million. Following the acquisiton date, the company repaid the convertble senior notes and there were no amounts outstanding as of December 31, 2024.</w:t>
      </w:r>
    </w:p>
    <w:p>
      <w:pPr>
        <w:spacing w:after="0" w:line="103"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Long-term debt assumed by AbbVie relates to funding agreements entered into by Cerevel Therapeutcs prior to the acquisiton. Under the agreements, Cerevel Therapeutcs received funding to support development of tavapadon and agreed to repay regulatory milestones, sales milestones and royaltes contngent upon approval of tavapadon by the U.S. Food and Drug Administraton (FDA). The funding agreements were accounted for as fnancing arrangements and the fair value of the related fnancing liability was $246 million as of the acquisiton date. The estmated fair value of the fnancing liability was determined using a probability-weighted expected payment model for regulatory milestone payments and a Monte Carlo simulaton model for sales milestones and royalty payments, which are then discounted to present value. Assumptons inherent in the development of fair value include discount rates, estmated probabilites and tming of achieving milestones and estmated amounts of future sales. See Note 10 and Note 11 for additonal informaton.</w:t>
      </w:r>
    </w:p>
    <w:p>
      <w:pPr>
        <w:spacing w:after="0" w:line="102"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Goodwill was calculated as the excess of the consideraton transferred over the fair value of net assets recognized and represents the future economic benefts arising from other assets acquired that could not be individually identfed and separately recognized. Specifcally, the goodwill recognized from the acquisiton of Cerevel Therapeutcs represents expected synergies, including the ability to: (i) expand AbbVie’s neuroscience pipeline, (ii) leverage AbbVie’s commercial, regulatory and clinical expertse to maximize Cerevel Therapeutc’s assets and (iii) enhance AbbVie’s existng neuroscience discovery capabilites. The goodwill is not deductble for tax purposes.</w:t>
      </w:r>
    </w:p>
    <w:p>
      <w:pPr>
        <w:spacing w:after="0" w:line="20" w:lineRule="exact"/>
        <w:rPr>
          <w:color w:val="auto"/>
          <w:sz w:val="20"/>
          <w:szCs w:val="20"/>
        </w:rPr>
      </w:pPr>
      <w:r>
        <w:rPr>
          <w:color w:val="auto"/>
          <w:sz w:val="20"/>
          <w:szCs w:val="20"/>
        </w:rPr>
        <w:drawing>
          <wp:anchor simplePos="0" relativeHeight="251822080" behindDoc="1" locked="0" layoutInCell="0" allowOverlap="1">
            <wp:simplePos x="0" y="0"/>
            <wp:positionH relativeFrom="column">
              <wp:posOffset>6475730</wp:posOffset>
            </wp:positionH>
            <wp:positionV relativeFrom="paragraph">
              <wp:posOffset>251460</wp:posOffset>
            </wp:positionV>
            <wp:extent cx="400050" cy="7429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2"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64</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823104" behindDoc="1" locked="0" layoutInCell="0" allowOverlap="1">
            <wp:simplePos x="0" y="0"/>
            <wp:positionH relativeFrom="column">
              <wp:posOffset>7154545</wp:posOffset>
            </wp:positionH>
            <wp:positionV relativeFrom="paragraph">
              <wp:posOffset>-23495</wp:posOffset>
            </wp:positionV>
            <wp:extent cx="31115" cy="3683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24128" behindDoc="1" locked="0" layoutInCell="0" allowOverlap="1">
            <wp:simplePos x="0" y="0"/>
            <wp:positionH relativeFrom="column">
              <wp:posOffset>-17145</wp:posOffset>
            </wp:positionH>
            <wp:positionV relativeFrom="paragraph">
              <wp:posOffset>-23495</wp:posOffset>
            </wp:positionV>
            <wp:extent cx="31115" cy="3683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66" w:name="page67"/>
    <w:bookmarkEnd w:id="66"/>
    <w:p>
      <w:pPr>
        <w:spacing w:after="0" w:line="234" w:lineRule="auto"/>
        <w:ind w:firstLine="297"/>
        <w:rPr>
          <w:color w:val="auto"/>
          <w:sz w:val="20"/>
          <w:szCs w:val="20"/>
        </w:rPr>
      </w:pPr>
      <w:r>
        <w:rPr>
          <w:rFonts w:ascii="Calibri" w:eastAsia="Calibri" w:hAnsi="Calibri" w:cs="Calibri"/>
          <w:color w:val="auto"/>
          <w:sz w:val="12"/>
          <w:szCs w:val="12"/>
        </w:rPr>
        <w:t>AbbVie also assumed a licensing agreement entered into by Cerevel Therapeutcs with Pfzer Inc. (Pfzer) prior to the acquisiton. Under the agreement, Cerevel Therapeutcs was granted an exclusive global license under certain Pfzer patent rights to develop, manufacture and commercialize compounds included in Cerevel Therapeutc’s pipeline. AbbVie could make additonal payments of up to $1.6 billion upon achievement of certain regulatory and commercial milestones for all programs. Additonally, AbbVie will pay tered royaltes on net revenues.</w:t>
      </w:r>
    </w:p>
    <w:p>
      <w:pPr>
        <w:spacing w:after="0" w:line="94"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Following the acquisiton date, the operatng results of Cerevel Therapeutcs have been included in the consolidated fnancial statements. For the period from the acquisiton date through December 31, 2024, operatng losses atributable to Cerevel Therapeutcs were $4.9 billion, inclusive of an intangible asset impairment charge of $4.5 billion related to emraclidine. See Note 7 for additonal informaton. Operatng losses atributable to Cerevel Therapeutcs also included $161 million of cash-setled, post-closing expense for Cerevel Therapeutcs employee incentve awards. AbbVie issued 0.3 million RSUs to holders of Cerevel Therapeutcs equity awards based on a conversion factor described in the transacton agreement. Stock compensaton expense related to RSUs issued at the acquisiton date was not signifcant.</w:t>
      </w:r>
    </w:p>
    <w:p>
      <w:pPr>
        <w:spacing w:after="0" w:line="101" w:lineRule="exact"/>
        <w:rPr>
          <w:color w:val="auto"/>
          <w:sz w:val="20"/>
          <w:szCs w:val="20"/>
        </w:rPr>
      </w:pPr>
    </w:p>
    <w:p>
      <w:pPr>
        <w:spacing w:after="0" w:line="234" w:lineRule="auto"/>
        <w:ind w:right="20" w:firstLine="297"/>
        <w:jc w:val="both"/>
        <w:rPr>
          <w:color w:val="auto"/>
          <w:sz w:val="20"/>
          <w:szCs w:val="20"/>
        </w:rPr>
      </w:pPr>
      <w:r>
        <w:rPr>
          <w:rFonts w:ascii="Calibri" w:eastAsia="Calibri" w:hAnsi="Calibri" w:cs="Calibri"/>
          <w:color w:val="auto"/>
          <w:sz w:val="12"/>
          <w:szCs w:val="12"/>
        </w:rPr>
        <w:t>Acquisiton-related expenses, which were comprised primarily of regulatory, fnancial advisory and legal fees, totaled $44 million for the year ended December 31, 2024 and were included in selling, general and administratve (SG&amp;A) expense in the consolidated statements of earnings.</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Acquisiton of ImmunoGen, Inc.</w:t>
      </w:r>
    </w:p>
    <w:p>
      <w:pPr>
        <w:spacing w:after="0" w:line="92" w:lineRule="exact"/>
        <w:rPr>
          <w:color w:val="auto"/>
          <w:sz w:val="20"/>
          <w:szCs w:val="20"/>
        </w:rPr>
      </w:pPr>
    </w:p>
    <w:p>
      <w:pPr>
        <w:spacing w:after="0" w:line="235" w:lineRule="auto"/>
        <w:ind w:right="20" w:firstLine="297"/>
        <w:jc w:val="both"/>
        <w:rPr>
          <w:color w:val="auto"/>
          <w:sz w:val="20"/>
          <w:szCs w:val="20"/>
        </w:rPr>
      </w:pPr>
      <w:r>
        <w:rPr>
          <w:rFonts w:ascii="Calibri" w:eastAsia="Calibri" w:hAnsi="Calibri" w:cs="Calibri"/>
          <w:color w:val="auto"/>
          <w:sz w:val="12"/>
          <w:szCs w:val="12"/>
        </w:rPr>
        <w:t>On February 12, 2024, AbbVie completed its previously announced acquisiton of ImmunoGen. ImmunoGen is a commercial-stage biotechnology company focused on the discovery, development and commercializaton of antbody-drug conjugates (ADC) for cancer patents. ImmunoGen's oncology portolio includes its fagship cancer therapy Elahere, a frst-in-class ADC approved for platnum-resistant ovarian cancer, and a pipeline of promising next-generaton ADC's targetng hematologic malignancies and solid tumors. The combinaton accelerates AbbVie’s entry into the solid tumor space and strengthens its oncology pipeline. Under the terms of the agreement, AbbVie acquired all outstanding shares of ImmunoGen for $31.26 per share in cash. The total fair value of the consideraton transferred to owners of ImmunoGen common stock was $9.8 billion ($9.2 billion, net of cash acquired).</w:t>
      </w:r>
    </w:p>
    <w:p>
      <w:pPr>
        <w:spacing w:after="0" w:line="101" w:lineRule="exact"/>
        <w:rPr>
          <w:color w:val="auto"/>
          <w:sz w:val="20"/>
          <w:szCs w:val="20"/>
        </w:rPr>
      </w:pPr>
    </w:p>
    <w:p>
      <w:pPr>
        <w:spacing w:after="0" w:line="234" w:lineRule="auto"/>
        <w:ind w:right="180" w:firstLine="297"/>
        <w:rPr>
          <w:color w:val="auto"/>
          <w:sz w:val="20"/>
          <w:szCs w:val="20"/>
        </w:rPr>
      </w:pPr>
      <w:r>
        <w:rPr>
          <w:rFonts w:ascii="Calibri" w:eastAsia="Calibri" w:hAnsi="Calibri" w:cs="Calibri"/>
          <w:color w:val="auto"/>
          <w:sz w:val="12"/>
          <w:szCs w:val="12"/>
        </w:rPr>
        <w:t>The acquisiton of ImmunoGen has been accounted for as a business combinaton using the acquisiton method of accountng. The acquisiton method requires, among other things, that assets acquired and liabilites assumed in a business combinaton be recognized at their fair values as of the acquisiton date. The valuaton of assets acquired and liabilites assumed was fnalized during the three months ended December 31, 2024.</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the fnal fair value of assets acquired and liabilites assumed as of the acquisiton date:</w:t>
      </w:r>
    </w:p>
    <w:p>
      <w:pPr>
        <w:spacing w:after="0" w:line="16" w:lineRule="exact"/>
        <w:rPr>
          <w:color w:val="auto"/>
          <w:sz w:val="20"/>
          <w:szCs w:val="20"/>
        </w:rPr>
      </w:pPr>
    </w:p>
    <w:p>
      <w:pPr>
        <w:spacing w:after="0"/>
        <w:rPr>
          <w:color w:val="auto"/>
          <w:sz w:val="20"/>
          <w:szCs w:val="20"/>
        </w:rPr>
      </w:pPr>
      <w:r>
        <w:rPr>
          <w:rFonts w:ascii="Calibri" w:eastAsia="Calibri" w:hAnsi="Calibri" w:cs="Calibri"/>
          <w:b/>
          <w:bCs/>
          <w:color w:val="auto"/>
          <w:sz w:val="10"/>
          <w:szCs w:val="10"/>
        </w:rPr>
        <w:t>(in millions)</w:t>
      </w:r>
    </w:p>
    <w:p>
      <w:pPr>
        <w:spacing w:after="0" w:line="12" w:lineRule="exact"/>
        <w:rPr>
          <w:color w:val="auto"/>
          <w:sz w:val="20"/>
          <w:szCs w:val="20"/>
        </w:rPr>
      </w:pPr>
    </w:p>
    <w:tbl>
      <w:tblPr>
        <w:tblInd w:w="0" w:type="dxa"/>
        <w:tblLayout w:type="fixed"/>
        <w:tblCellMar>
          <w:top w:w="0" w:type="dxa"/>
          <w:left w:w="0" w:type="dxa"/>
          <w:bottom w:w="0" w:type="dxa"/>
          <w:right w:w="0" w:type="dxa"/>
        </w:tblCellMar>
      </w:tblPr>
      <w:tblGrid>
        <w:gridCol w:w="1100"/>
        <w:gridCol w:w="8180"/>
        <w:gridCol w:w="880"/>
        <w:gridCol w:w="1140"/>
      </w:tblGrid>
      <w:tr>
        <w:tblPrEx>
          <w:tblInd w:w="0" w:type="dxa"/>
          <w:tblLayout w:type="fixed"/>
        </w:tblPrEx>
        <w:trPr>
          <w:trHeight w:val="156"/>
        </w:trPr>
        <w:tc>
          <w:tcPr>
            <w:tcW w:w="9280" w:type="dxa"/>
            <w:gridSpan w:val="2"/>
            <w:tcBorders>
              <w:top w:val="single" w:sz="8" w:space="0" w:color="auto"/>
            </w:tcBorders>
            <w:vAlign w:val="bottom"/>
          </w:tcPr>
          <w:p>
            <w:pPr>
              <w:spacing w:after="0"/>
              <w:rPr>
                <w:color w:val="auto"/>
                <w:sz w:val="20"/>
                <w:szCs w:val="20"/>
              </w:rPr>
            </w:pPr>
            <w:r>
              <w:rPr>
                <w:rFonts w:ascii="Calibri" w:eastAsia="Calibri" w:hAnsi="Calibri" w:cs="Calibri"/>
                <w:b/>
                <w:bCs/>
                <w:color w:val="auto"/>
                <w:sz w:val="12"/>
                <w:szCs w:val="12"/>
              </w:rPr>
              <w:t>Assets acquired and liabilites assumed</w:t>
            </w:r>
          </w:p>
        </w:tc>
        <w:tc>
          <w:tcPr>
            <w:tcW w:w="880" w:type="dxa"/>
            <w:tcBorders>
              <w:top w:val="single" w:sz="8" w:space="0" w:color="auto"/>
            </w:tcBorders>
            <w:vAlign w:val="bottom"/>
          </w:tcPr>
          <w:p>
            <w:pPr>
              <w:spacing w:after="0"/>
              <w:rPr>
                <w:color w:val="auto"/>
                <w:sz w:val="13"/>
                <w:szCs w:val="13"/>
              </w:rPr>
            </w:pPr>
          </w:p>
        </w:tc>
        <w:tc>
          <w:tcPr>
            <w:tcW w:w="1140" w:type="dxa"/>
            <w:tcBorders>
              <w:top w:val="single" w:sz="8" w:space="0" w:color="auto"/>
            </w:tcBorders>
            <w:vAlign w:val="bottom"/>
          </w:tcPr>
          <w:p>
            <w:pPr>
              <w:spacing w:after="0"/>
              <w:rPr>
                <w:color w:val="auto"/>
                <w:sz w:val="13"/>
                <w:szCs w:val="13"/>
              </w:rPr>
            </w:pPr>
          </w:p>
        </w:tc>
      </w:tr>
      <w:tr>
        <w:tblPrEx>
          <w:tblInd w:w="0" w:type="dxa"/>
          <w:tblLayout w:type="fixed"/>
        </w:tblPrEx>
        <w:trPr>
          <w:trHeight w:val="159"/>
        </w:trPr>
        <w:tc>
          <w:tcPr>
            <w:tcW w:w="1100" w:type="dxa"/>
            <w:shd w:val="clear" w:color="auto" w:fill="CCEEFF"/>
            <w:vAlign w:val="bottom"/>
          </w:tcPr>
          <w:p>
            <w:pPr>
              <w:spacing w:after="0"/>
              <w:rPr>
                <w:color w:val="auto"/>
                <w:sz w:val="20"/>
                <w:szCs w:val="20"/>
              </w:rPr>
            </w:pPr>
            <w:r>
              <w:rPr>
                <w:rFonts w:ascii="Calibri" w:eastAsia="Calibri" w:hAnsi="Calibri" w:cs="Calibri"/>
                <w:color w:val="auto"/>
                <w:sz w:val="12"/>
                <w:szCs w:val="12"/>
              </w:rPr>
              <w:t>Cash and equivalents</w:t>
            </w:r>
          </w:p>
        </w:tc>
        <w:tc>
          <w:tcPr>
            <w:tcW w:w="8180" w:type="dxa"/>
            <w:shd w:val="clear" w:color="auto" w:fill="CCEEFF"/>
            <w:vAlign w:val="bottom"/>
          </w:tcPr>
          <w:p>
            <w:pPr>
              <w:spacing w:after="0"/>
              <w:rPr>
                <w:color w:val="auto"/>
                <w:sz w:val="13"/>
                <w:szCs w:val="13"/>
              </w:rPr>
            </w:pPr>
          </w:p>
        </w:tc>
        <w:tc>
          <w:tcPr>
            <w:tcW w:w="880" w:type="dxa"/>
            <w:shd w:val="clear" w:color="auto" w:fill="CCEEFF"/>
            <w:vAlign w:val="bottom"/>
          </w:tcPr>
          <w:p>
            <w:pPr>
              <w:spacing w:after="0"/>
              <w:ind w:right="740"/>
              <w:jc w:val="right"/>
              <w:rPr>
                <w:color w:val="auto"/>
                <w:sz w:val="20"/>
                <w:szCs w:val="20"/>
              </w:rPr>
            </w:pPr>
            <w:r>
              <w:rPr>
                <w:rFonts w:ascii="Calibri" w:eastAsia="Calibri" w:hAnsi="Calibri" w:cs="Calibri"/>
                <w:color w:val="auto"/>
                <w:w w:val="97"/>
                <w:sz w:val="12"/>
                <w:szCs w:val="12"/>
              </w:rPr>
              <w:t>$</w:t>
            </w:r>
          </w:p>
        </w:tc>
        <w:tc>
          <w:tcPr>
            <w:tcW w:w="1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591</w:t>
            </w:r>
          </w:p>
        </w:tc>
      </w:tr>
      <w:tr>
        <w:tblPrEx>
          <w:tblInd w:w="0" w:type="dxa"/>
          <w:tblLayout w:type="fixed"/>
        </w:tblPrEx>
        <w:trPr>
          <w:trHeight w:val="147"/>
        </w:trPr>
        <w:tc>
          <w:tcPr>
            <w:tcW w:w="1100" w:type="dxa"/>
            <w:vAlign w:val="bottom"/>
          </w:tcPr>
          <w:p>
            <w:pPr>
              <w:spacing w:after="0" w:line="142" w:lineRule="exact"/>
              <w:rPr>
                <w:color w:val="auto"/>
                <w:sz w:val="20"/>
                <w:szCs w:val="20"/>
              </w:rPr>
            </w:pPr>
            <w:r>
              <w:rPr>
                <w:rFonts w:ascii="Calibri" w:eastAsia="Calibri" w:hAnsi="Calibri" w:cs="Calibri"/>
                <w:color w:val="auto"/>
                <w:sz w:val="12"/>
                <w:szCs w:val="12"/>
              </w:rPr>
              <w:t>Accounts receivable</w:t>
            </w:r>
          </w:p>
        </w:tc>
        <w:tc>
          <w:tcPr>
            <w:tcW w:w="8180" w:type="dxa"/>
            <w:vAlign w:val="bottom"/>
          </w:tcPr>
          <w:p>
            <w:pPr>
              <w:spacing w:after="0"/>
              <w:rPr>
                <w:color w:val="auto"/>
                <w:sz w:val="12"/>
                <w:szCs w:val="12"/>
              </w:rPr>
            </w:pPr>
          </w:p>
        </w:tc>
        <w:tc>
          <w:tcPr>
            <w:tcW w:w="880" w:type="dxa"/>
            <w:vAlign w:val="bottom"/>
          </w:tcPr>
          <w:p>
            <w:pPr>
              <w:spacing w:after="0"/>
              <w:rPr>
                <w:color w:val="auto"/>
                <w:sz w:val="12"/>
                <w:szCs w:val="12"/>
              </w:rPr>
            </w:pPr>
          </w:p>
        </w:tc>
        <w:tc>
          <w:tcPr>
            <w:tcW w:w="1140" w:type="dxa"/>
            <w:vAlign w:val="bottom"/>
          </w:tcPr>
          <w:p>
            <w:pPr>
              <w:spacing w:after="0" w:line="142" w:lineRule="exact"/>
              <w:jc w:val="right"/>
              <w:rPr>
                <w:color w:val="auto"/>
                <w:sz w:val="20"/>
                <w:szCs w:val="20"/>
              </w:rPr>
            </w:pPr>
            <w:r>
              <w:rPr>
                <w:rFonts w:ascii="Calibri" w:eastAsia="Calibri" w:hAnsi="Calibri" w:cs="Calibri"/>
                <w:color w:val="auto"/>
                <w:sz w:val="12"/>
                <w:szCs w:val="12"/>
              </w:rPr>
              <w:t>171</w:t>
            </w:r>
          </w:p>
        </w:tc>
      </w:tr>
      <w:tr>
        <w:tblPrEx>
          <w:tblInd w:w="0" w:type="dxa"/>
          <w:tblLayout w:type="fixed"/>
        </w:tblPrEx>
        <w:trPr>
          <w:trHeight w:val="159"/>
        </w:trPr>
        <w:tc>
          <w:tcPr>
            <w:tcW w:w="1100" w:type="dxa"/>
            <w:shd w:val="clear" w:color="auto" w:fill="CCEEFF"/>
            <w:vAlign w:val="bottom"/>
          </w:tcPr>
          <w:p>
            <w:pPr>
              <w:spacing w:after="0"/>
              <w:rPr>
                <w:color w:val="auto"/>
                <w:sz w:val="20"/>
                <w:szCs w:val="20"/>
              </w:rPr>
            </w:pPr>
            <w:r>
              <w:rPr>
                <w:rFonts w:ascii="Calibri" w:eastAsia="Calibri" w:hAnsi="Calibri" w:cs="Calibri"/>
                <w:color w:val="auto"/>
                <w:sz w:val="12"/>
                <w:szCs w:val="12"/>
              </w:rPr>
              <w:t>Inventories</w:t>
            </w:r>
          </w:p>
        </w:tc>
        <w:tc>
          <w:tcPr>
            <w:tcW w:w="8180" w:type="dxa"/>
            <w:shd w:val="clear" w:color="auto" w:fill="CCEEFF"/>
            <w:vAlign w:val="bottom"/>
          </w:tcPr>
          <w:p>
            <w:pPr>
              <w:spacing w:after="0"/>
              <w:rPr>
                <w:color w:val="auto"/>
                <w:sz w:val="13"/>
                <w:szCs w:val="13"/>
              </w:rPr>
            </w:pPr>
          </w:p>
        </w:tc>
        <w:tc>
          <w:tcPr>
            <w:tcW w:w="88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211</w:t>
            </w:r>
          </w:p>
        </w:tc>
      </w:tr>
      <w:tr>
        <w:tblPrEx>
          <w:tblInd w:w="0" w:type="dxa"/>
          <w:tblLayout w:type="fixed"/>
        </w:tblPrEx>
        <w:trPr>
          <w:trHeight w:val="147"/>
        </w:trPr>
        <w:tc>
          <w:tcPr>
            <w:tcW w:w="9280" w:type="dxa"/>
            <w:gridSpan w:val="2"/>
            <w:vAlign w:val="bottom"/>
          </w:tcPr>
          <w:p>
            <w:pPr>
              <w:spacing w:after="0" w:line="142" w:lineRule="exact"/>
              <w:rPr>
                <w:color w:val="auto"/>
                <w:sz w:val="20"/>
                <w:szCs w:val="20"/>
              </w:rPr>
            </w:pPr>
            <w:r>
              <w:rPr>
                <w:rFonts w:ascii="Calibri" w:eastAsia="Calibri" w:hAnsi="Calibri" w:cs="Calibri"/>
                <w:color w:val="auto"/>
                <w:sz w:val="12"/>
                <w:szCs w:val="12"/>
              </w:rPr>
              <w:t>Prepaid expenses and other current assets</w:t>
            </w:r>
          </w:p>
        </w:tc>
        <w:tc>
          <w:tcPr>
            <w:tcW w:w="880" w:type="dxa"/>
            <w:vAlign w:val="bottom"/>
          </w:tcPr>
          <w:p>
            <w:pPr>
              <w:spacing w:after="0"/>
              <w:rPr>
                <w:color w:val="auto"/>
                <w:sz w:val="12"/>
                <w:szCs w:val="12"/>
              </w:rPr>
            </w:pPr>
          </w:p>
        </w:tc>
        <w:tc>
          <w:tcPr>
            <w:tcW w:w="1140" w:type="dxa"/>
            <w:vAlign w:val="bottom"/>
          </w:tcPr>
          <w:p>
            <w:pPr>
              <w:spacing w:after="0" w:line="142" w:lineRule="exact"/>
              <w:jc w:val="right"/>
              <w:rPr>
                <w:color w:val="auto"/>
                <w:sz w:val="20"/>
                <w:szCs w:val="20"/>
              </w:rPr>
            </w:pPr>
            <w:r>
              <w:rPr>
                <w:rFonts w:ascii="Calibri" w:eastAsia="Calibri" w:hAnsi="Calibri" w:cs="Calibri"/>
                <w:color w:val="auto"/>
                <w:sz w:val="12"/>
                <w:szCs w:val="12"/>
              </w:rPr>
              <w:t>40</w:t>
            </w:r>
          </w:p>
        </w:tc>
      </w:tr>
      <w:tr>
        <w:tblPrEx>
          <w:tblInd w:w="0" w:type="dxa"/>
          <w:tblLayout w:type="fixed"/>
        </w:tblPrEx>
        <w:trPr>
          <w:trHeight w:val="159"/>
        </w:trPr>
        <w:tc>
          <w:tcPr>
            <w:tcW w:w="9280" w:type="dxa"/>
            <w:gridSpan w:val="2"/>
            <w:shd w:val="clear" w:color="auto" w:fill="CCEEFF"/>
            <w:vAlign w:val="bottom"/>
          </w:tcPr>
          <w:p>
            <w:pPr>
              <w:spacing w:after="0"/>
              <w:rPr>
                <w:color w:val="auto"/>
                <w:sz w:val="20"/>
                <w:szCs w:val="20"/>
              </w:rPr>
            </w:pPr>
            <w:r>
              <w:rPr>
                <w:rFonts w:ascii="Calibri" w:eastAsia="Calibri" w:hAnsi="Calibri" w:cs="Calibri"/>
                <w:color w:val="auto"/>
                <w:sz w:val="12"/>
                <w:szCs w:val="12"/>
              </w:rPr>
              <w:t>Property and equipment, net</w:t>
            </w:r>
          </w:p>
        </w:tc>
        <w:tc>
          <w:tcPr>
            <w:tcW w:w="88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w:t>
            </w:r>
          </w:p>
        </w:tc>
      </w:tr>
      <w:tr>
        <w:tblPrEx>
          <w:tblInd w:w="0" w:type="dxa"/>
          <w:tblLayout w:type="fixed"/>
        </w:tblPrEx>
        <w:trPr>
          <w:trHeight w:val="147"/>
        </w:trPr>
        <w:tc>
          <w:tcPr>
            <w:tcW w:w="1100" w:type="dxa"/>
            <w:vAlign w:val="bottom"/>
          </w:tcPr>
          <w:p>
            <w:pPr>
              <w:spacing w:after="0" w:line="142" w:lineRule="exact"/>
              <w:rPr>
                <w:color w:val="auto"/>
                <w:sz w:val="20"/>
                <w:szCs w:val="20"/>
              </w:rPr>
            </w:pPr>
            <w:r>
              <w:rPr>
                <w:rFonts w:ascii="Calibri" w:eastAsia="Calibri" w:hAnsi="Calibri" w:cs="Calibri"/>
                <w:color w:val="auto"/>
                <w:sz w:val="12"/>
                <w:szCs w:val="12"/>
              </w:rPr>
              <w:t>Intangible assets, net</w:t>
            </w:r>
          </w:p>
        </w:tc>
        <w:tc>
          <w:tcPr>
            <w:tcW w:w="8180" w:type="dxa"/>
            <w:vAlign w:val="bottom"/>
          </w:tcPr>
          <w:p>
            <w:pPr>
              <w:spacing w:after="0"/>
              <w:rPr>
                <w:color w:val="auto"/>
                <w:sz w:val="12"/>
                <w:szCs w:val="12"/>
              </w:rPr>
            </w:pPr>
          </w:p>
        </w:tc>
        <w:tc>
          <w:tcPr>
            <w:tcW w:w="880" w:type="dxa"/>
            <w:vAlign w:val="bottom"/>
          </w:tcPr>
          <w:p>
            <w:pPr>
              <w:spacing w:after="0"/>
              <w:rPr>
                <w:color w:val="auto"/>
                <w:sz w:val="12"/>
                <w:szCs w:val="12"/>
              </w:rPr>
            </w:pPr>
          </w:p>
        </w:tc>
        <w:tc>
          <w:tcPr>
            <w:tcW w:w="1140" w:type="dxa"/>
            <w:vAlign w:val="bottom"/>
          </w:tcPr>
          <w:p>
            <w:pPr>
              <w:spacing w:after="0"/>
              <w:rPr>
                <w:color w:val="auto"/>
                <w:sz w:val="12"/>
                <w:szCs w:val="12"/>
              </w:rPr>
            </w:pPr>
          </w:p>
        </w:tc>
      </w:tr>
      <w:tr>
        <w:tblPrEx>
          <w:tblInd w:w="0" w:type="dxa"/>
          <w:tblLayout w:type="fixed"/>
        </w:tblPrEx>
        <w:trPr>
          <w:trHeight w:val="159"/>
        </w:trPr>
        <w:tc>
          <w:tcPr>
            <w:tcW w:w="9280" w:type="dxa"/>
            <w:gridSpan w:val="2"/>
            <w:shd w:val="clear" w:color="auto" w:fill="CCEEFF"/>
            <w:vAlign w:val="bottom"/>
          </w:tcPr>
          <w:p>
            <w:pPr>
              <w:spacing w:after="0"/>
              <w:ind w:left="80"/>
              <w:rPr>
                <w:color w:val="auto"/>
                <w:sz w:val="20"/>
                <w:szCs w:val="20"/>
              </w:rPr>
            </w:pPr>
            <w:r>
              <w:rPr>
                <w:rFonts w:ascii="Calibri" w:eastAsia="Calibri" w:hAnsi="Calibri" w:cs="Calibri"/>
                <w:color w:val="auto"/>
                <w:sz w:val="12"/>
                <w:szCs w:val="12"/>
              </w:rPr>
              <w:t>Developed product rights</w:t>
            </w:r>
          </w:p>
        </w:tc>
        <w:tc>
          <w:tcPr>
            <w:tcW w:w="88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7,200</w:t>
            </w:r>
          </w:p>
        </w:tc>
      </w:tr>
      <w:tr>
        <w:tblPrEx>
          <w:tblInd w:w="0" w:type="dxa"/>
          <w:tblLayout w:type="fixed"/>
        </w:tblPrEx>
        <w:trPr>
          <w:trHeight w:val="147"/>
        </w:trPr>
        <w:tc>
          <w:tcPr>
            <w:tcW w:w="1100" w:type="dxa"/>
            <w:vAlign w:val="bottom"/>
          </w:tcPr>
          <w:p>
            <w:pPr>
              <w:spacing w:after="0" w:line="142" w:lineRule="exact"/>
              <w:ind w:left="80"/>
              <w:rPr>
                <w:color w:val="auto"/>
                <w:sz w:val="20"/>
                <w:szCs w:val="20"/>
              </w:rPr>
            </w:pPr>
            <w:r>
              <w:rPr>
                <w:rFonts w:ascii="Calibri" w:eastAsia="Calibri" w:hAnsi="Calibri" w:cs="Calibri"/>
                <w:color w:val="auto"/>
                <w:sz w:val="12"/>
                <w:szCs w:val="12"/>
              </w:rPr>
              <w:t>License agreements</w:t>
            </w:r>
          </w:p>
        </w:tc>
        <w:tc>
          <w:tcPr>
            <w:tcW w:w="8180" w:type="dxa"/>
            <w:vAlign w:val="bottom"/>
          </w:tcPr>
          <w:p>
            <w:pPr>
              <w:spacing w:after="0"/>
              <w:rPr>
                <w:color w:val="auto"/>
                <w:sz w:val="12"/>
                <w:szCs w:val="12"/>
              </w:rPr>
            </w:pPr>
          </w:p>
        </w:tc>
        <w:tc>
          <w:tcPr>
            <w:tcW w:w="880" w:type="dxa"/>
            <w:vAlign w:val="bottom"/>
          </w:tcPr>
          <w:p>
            <w:pPr>
              <w:spacing w:after="0"/>
              <w:rPr>
                <w:color w:val="auto"/>
                <w:sz w:val="12"/>
                <w:szCs w:val="12"/>
              </w:rPr>
            </w:pPr>
          </w:p>
        </w:tc>
        <w:tc>
          <w:tcPr>
            <w:tcW w:w="1140" w:type="dxa"/>
            <w:vAlign w:val="bottom"/>
          </w:tcPr>
          <w:p>
            <w:pPr>
              <w:spacing w:after="0" w:line="142" w:lineRule="exact"/>
              <w:jc w:val="right"/>
              <w:rPr>
                <w:color w:val="auto"/>
                <w:sz w:val="20"/>
                <w:szCs w:val="20"/>
              </w:rPr>
            </w:pPr>
            <w:r>
              <w:rPr>
                <w:rFonts w:ascii="Calibri" w:eastAsia="Calibri" w:hAnsi="Calibri" w:cs="Calibri"/>
                <w:color w:val="auto"/>
                <w:sz w:val="12"/>
                <w:szCs w:val="12"/>
              </w:rPr>
              <w:t>125</w:t>
            </w:r>
          </w:p>
        </w:tc>
      </w:tr>
      <w:tr>
        <w:tblPrEx>
          <w:tblInd w:w="0" w:type="dxa"/>
          <w:tblLayout w:type="fixed"/>
        </w:tblPrEx>
        <w:trPr>
          <w:trHeight w:val="159"/>
        </w:trPr>
        <w:tc>
          <w:tcPr>
            <w:tcW w:w="9280" w:type="dxa"/>
            <w:gridSpan w:val="2"/>
            <w:shd w:val="clear" w:color="auto" w:fill="CCEEFF"/>
            <w:vAlign w:val="bottom"/>
          </w:tcPr>
          <w:p>
            <w:pPr>
              <w:spacing w:after="0"/>
              <w:ind w:left="80"/>
              <w:rPr>
                <w:color w:val="auto"/>
                <w:sz w:val="20"/>
                <w:szCs w:val="20"/>
              </w:rPr>
            </w:pPr>
            <w:r>
              <w:rPr>
                <w:rFonts w:ascii="Calibri" w:eastAsia="Calibri" w:hAnsi="Calibri" w:cs="Calibri"/>
                <w:color w:val="auto"/>
                <w:sz w:val="12"/>
                <w:szCs w:val="12"/>
              </w:rPr>
              <w:t>Acquired in-process research and development</w:t>
            </w:r>
          </w:p>
        </w:tc>
        <w:tc>
          <w:tcPr>
            <w:tcW w:w="88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1,280</w:t>
            </w:r>
          </w:p>
        </w:tc>
      </w:tr>
      <w:tr>
        <w:tblPrEx>
          <w:tblInd w:w="0" w:type="dxa"/>
          <w:tblLayout w:type="fixed"/>
        </w:tblPrEx>
        <w:trPr>
          <w:trHeight w:val="147"/>
        </w:trPr>
        <w:tc>
          <w:tcPr>
            <w:tcW w:w="9280" w:type="dxa"/>
            <w:gridSpan w:val="2"/>
            <w:vAlign w:val="bottom"/>
          </w:tcPr>
          <w:p>
            <w:pPr>
              <w:spacing w:after="0" w:line="142" w:lineRule="exact"/>
              <w:rPr>
                <w:color w:val="auto"/>
                <w:sz w:val="20"/>
                <w:szCs w:val="20"/>
              </w:rPr>
            </w:pPr>
            <w:r>
              <w:rPr>
                <w:rFonts w:ascii="Calibri" w:eastAsia="Calibri" w:hAnsi="Calibri" w:cs="Calibri"/>
                <w:color w:val="auto"/>
                <w:sz w:val="12"/>
                <w:szCs w:val="12"/>
              </w:rPr>
              <w:t>Other noncurrent assets</w:t>
            </w:r>
          </w:p>
        </w:tc>
        <w:tc>
          <w:tcPr>
            <w:tcW w:w="880" w:type="dxa"/>
            <w:vAlign w:val="bottom"/>
          </w:tcPr>
          <w:p>
            <w:pPr>
              <w:spacing w:after="0"/>
              <w:rPr>
                <w:color w:val="auto"/>
                <w:sz w:val="12"/>
                <w:szCs w:val="12"/>
              </w:rPr>
            </w:pPr>
          </w:p>
        </w:tc>
        <w:tc>
          <w:tcPr>
            <w:tcW w:w="1140" w:type="dxa"/>
            <w:vAlign w:val="bottom"/>
          </w:tcPr>
          <w:p>
            <w:pPr>
              <w:spacing w:after="0" w:line="142" w:lineRule="exact"/>
              <w:jc w:val="right"/>
              <w:rPr>
                <w:color w:val="auto"/>
                <w:sz w:val="20"/>
                <w:szCs w:val="20"/>
              </w:rPr>
            </w:pPr>
            <w:r>
              <w:rPr>
                <w:rFonts w:ascii="Calibri" w:eastAsia="Calibri" w:hAnsi="Calibri" w:cs="Calibri"/>
                <w:color w:val="auto"/>
                <w:sz w:val="12"/>
                <w:szCs w:val="12"/>
              </w:rPr>
              <w:t>273</w:t>
            </w:r>
          </w:p>
        </w:tc>
      </w:tr>
      <w:tr>
        <w:tblPrEx>
          <w:tblInd w:w="0" w:type="dxa"/>
          <w:tblLayout w:type="fixed"/>
        </w:tblPrEx>
        <w:trPr>
          <w:trHeight w:val="159"/>
        </w:trPr>
        <w:tc>
          <w:tcPr>
            <w:tcW w:w="9280" w:type="dxa"/>
            <w:gridSpan w:val="2"/>
            <w:shd w:val="clear" w:color="auto" w:fill="CCEEFF"/>
            <w:vAlign w:val="bottom"/>
          </w:tcPr>
          <w:p>
            <w:pPr>
              <w:spacing w:after="0"/>
              <w:rPr>
                <w:color w:val="auto"/>
                <w:sz w:val="20"/>
                <w:szCs w:val="20"/>
              </w:rPr>
            </w:pPr>
            <w:r>
              <w:rPr>
                <w:rFonts w:ascii="Calibri" w:eastAsia="Calibri" w:hAnsi="Calibri" w:cs="Calibri"/>
                <w:color w:val="auto"/>
                <w:sz w:val="12"/>
                <w:szCs w:val="12"/>
              </w:rPr>
              <w:t>Current porton of long-term debt</w:t>
            </w:r>
          </w:p>
        </w:tc>
        <w:tc>
          <w:tcPr>
            <w:tcW w:w="88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(99)</w:t>
            </w:r>
          </w:p>
        </w:tc>
      </w:tr>
      <w:tr>
        <w:tblPrEx>
          <w:tblInd w:w="0" w:type="dxa"/>
          <w:tblLayout w:type="fixed"/>
        </w:tblPrEx>
        <w:trPr>
          <w:trHeight w:val="147"/>
        </w:trPr>
        <w:tc>
          <w:tcPr>
            <w:tcW w:w="9280" w:type="dxa"/>
            <w:gridSpan w:val="2"/>
            <w:vAlign w:val="bottom"/>
          </w:tcPr>
          <w:p>
            <w:pPr>
              <w:spacing w:after="0" w:line="142" w:lineRule="exact"/>
              <w:rPr>
                <w:color w:val="auto"/>
                <w:sz w:val="20"/>
                <w:szCs w:val="20"/>
              </w:rPr>
            </w:pPr>
            <w:r>
              <w:rPr>
                <w:rFonts w:ascii="Calibri" w:eastAsia="Calibri" w:hAnsi="Calibri" w:cs="Calibri"/>
                <w:color w:val="auto"/>
                <w:sz w:val="12"/>
                <w:szCs w:val="12"/>
              </w:rPr>
              <w:t>Accounts payable and accrued liabilites</w:t>
            </w:r>
          </w:p>
        </w:tc>
        <w:tc>
          <w:tcPr>
            <w:tcW w:w="880" w:type="dxa"/>
            <w:vAlign w:val="bottom"/>
          </w:tcPr>
          <w:p>
            <w:pPr>
              <w:spacing w:after="0"/>
              <w:rPr>
                <w:color w:val="auto"/>
                <w:sz w:val="12"/>
                <w:szCs w:val="12"/>
              </w:rPr>
            </w:pPr>
          </w:p>
        </w:tc>
        <w:tc>
          <w:tcPr>
            <w:tcW w:w="1140" w:type="dxa"/>
            <w:vAlign w:val="bottom"/>
          </w:tcPr>
          <w:p>
            <w:pPr>
              <w:spacing w:after="0" w:line="142" w:lineRule="exact"/>
              <w:jc w:val="right"/>
              <w:rPr>
                <w:color w:val="auto"/>
                <w:sz w:val="20"/>
                <w:szCs w:val="20"/>
              </w:rPr>
            </w:pPr>
            <w:r>
              <w:rPr>
                <w:rFonts w:ascii="Calibri" w:eastAsia="Calibri" w:hAnsi="Calibri" w:cs="Calibri"/>
                <w:color w:val="auto"/>
                <w:sz w:val="12"/>
                <w:szCs w:val="12"/>
              </w:rPr>
              <w:t>(312)</w:t>
            </w:r>
          </w:p>
        </w:tc>
      </w:tr>
      <w:tr>
        <w:tblPrEx>
          <w:tblInd w:w="0" w:type="dxa"/>
          <w:tblLayout w:type="fixed"/>
        </w:tblPrEx>
        <w:trPr>
          <w:trHeight w:val="159"/>
        </w:trPr>
        <w:tc>
          <w:tcPr>
            <w:tcW w:w="1100" w:type="dxa"/>
            <w:shd w:val="clear" w:color="auto" w:fill="CCEEFF"/>
            <w:vAlign w:val="bottom"/>
          </w:tcPr>
          <w:p>
            <w:pPr>
              <w:spacing w:after="0"/>
              <w:rPr>
                <w:color w:val="auto"/>
                <w:sz w:val="20"/>
                <w:szCs w:val="20"/>
              </w:rPr>
            </w:pPr>
            <w:r>
              <w:rPr>
                <w:rFonts w:ascii="Calibri" w:eastAsia="Calibri" w:hAnsi="Calibri" w:cs="Calibri"/>
                <w:color w:val="auto"/>
                <w:w w:val="97"/>
                <w:sz w:val="12"/>
                <w:szCs w:val="12"/>
              </w:rPr>
              <w:t>Deferred income taxes</w:t>
            </w:r>
          </w:p>
        </w:tc>
        <w:tc>
          <w:tcPr>
            <w:tcW w:w="8180" w:type="dxa"/>
            <w:shd w:val="clear" w:color="auto" w:fill="CCEEFF"/>
            <w:vAlign w:val="bottom"/>
          </w:tcPr>
          <w:p>
            <w:pPr>
              <w:spacing w:after="0"/>
              <w:rPr>
                <w:color w:val="auto"/>
                <w:sz w:val="13"/>
                <w:szCs w:val="13"/>
              </w:rPr>
            </w:pPr>
          </w:p>
        </w:tc>
        <w:tc>
          <w:tcPr>
            <w:tcW w:w="88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(899)</w:t>
            </w:r>
          </w:p>
        </w:tc>
      </w:tr>
      <w:tr>
        <w:tblPrEx>
          <w:tblInd w:w="0" w:type="dxa"/>
          <w:tblLayout w:type="fixed"/>
        </w:tblPrEx>
        <w:trPr>
          <w:trHeight w:val="147"/>
        </w:trPr>
        <w:tc>
          <w:tcPr>
            <w:tcW w:w="9280" w:type="dxa"/>
            <w:gridSpan w:val="2"/>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Other long-term liabilites</w:t>
            </w:r>
          </w:p>
        </w:tc>
        <w:tc>
          <w:tcPr>
            <w:tcW w:w="88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(47)</w:t>
            </w:r>
          </w:p>
        </w:tc>
      </w:tr>
      <w:tr>
        <w:tblPrEx>
          <w:tblInd w:w="0" w:type="dxa"/>
          <w:tblLayout w:type="fixed"/>
        </w:tblPrEx>
        <w:trPr>
          <w:trHeight w:val="148"/>
        </w:trPr>
        <w:tc>
          <w:tcPr>
            <w:tcW w:w="9280" w:type="dxa"/>
            <w:gridSpan w:val="2"/>
            <w:shd w:val="clear" w:color="auto" w:fill="CCEEFF"/>
            <w:vAlign w:val="bottom"/>
          </w:tcPr>
          <w:p>
            <w:pPr>
              <w:spacing w:after="0" w:line="142" w:lineRule="exact"/>
              <w:rPr>
                <w:color w:val="auto"/>
                <w:sz w:val="20"/>
                <w:szCs w:val="20"/>
              </w:rPr>
            </w:pPr>
            <w:r>
              <w:rPr>
                <w:rFonts w:ascii="Calibri" w:eastAsia="Calibri" w:hAnsi="Calibri" w:cs="Calibri"/>
                <w:b/>
                <w:bCs/>
                <w:color w:val="auto"/>
                <w:sz w:val="12"/>
                <w:szCs w:val="12"/>
              </w:rPr>
              <w:t>Total identfable net assets</w:t>
            </w:r>
          </w:p>
        </w:tc>
        <w:tc>
          <w:tcPr>
            <w:tcW w:w="880" w:type="dxa"/>
            <w:shd w:val="clear" w:color="auto" w:fill="CCEEFF"/>
            <w:vAlign w:val="bottom"/>
          </w:tcPr>
          <w:p>
            <w:pPr>
              <w:spacing w:after="0"/>
              <w:rPr>
                <w:color w:val="auto"/>
                <w:sz w:val="12"/>
                <w:szCs w:val="12"/>
              </w:rPr>
            </w:pPr>
          </w:p>
        </w:tc>
        <w:tc>
          <w:tcPr>
            <w:tcW w:w="114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8,541</w:t>
            </w:r>
          </w:p>
        </w:tc>
      </w:tr>
      <w:tr>
        <w:tblPrEx>
          <w:tblInd w:w="0" w:type="dxa"/>
          <w:tblLayout w:type="fixed"/>
        </w:tblPrEx>
        <w:trPr>
          <w:trHeight w:val="147"/>
        </w:trPr>
        <w:tc>
          <w:tcPr>
            <w:tcW w:w="11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Goodwill</w:t>
            </w:r>
          </w:p>
        </w:tc>
        <w:tc>
          <w:tcPr>
            <w:tcW w:w="8180" w:type="dxa"/>
            <w:tcBorders>
              <w:bottom w:val="single" w:sz="8" w:space="0" w:color="auto"/>
            </w:tcBorders>
            <w:vAlign w:val="bottom"/>
          </w:tcPr>
          <w:p>
            <w:pPr>
              <w:spacing w:after="0"/>
              <w:rPr>
                <w:color w:val="auto"/>
                <w:sz w:val="12"/>
                <w:szCs w:val="12"/>
              </w:rPr>
            </w:pPr>
          </w:p>
        </w:tc>
        <w:tc>
          <w:tcPr>
            <w:tcW w:w="88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1,249</w:t>
            </w:r>
          </w:p>
        </w:tc>
      </w:tr>
      <w:tr>
        <w:tblPrEx>
          <w:tblInd w:w="0" w:type="dxa"/>
          <w:tblLayout w:type="fixed"/>
        </w:tblPrEx>
        <w:trPr>
          <w:trHeight w:val="164"/>
        </w:trPr>
        <w:tc>
          <w:tcPr>
            <w:tcW w:w="9280" w:type="dxa"/>
            <w:gridSpan w:val="2"/>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b/>
                <w:bCs/>
                <w:color w:val="auto"/>
                <w:sz w:val="12"/>
                <w:szCs w:val="12"/>
              </w:rPr>
              <w:t>Total assets acquired and liabilites assumed</w:t>
            </w:r>
          </w:p>
        </w:tc>
        <w:tc>
          <w:tcPr>
            <w:tcW w:w="880" w:type="dxa"/>
            <w:tcBorders>
              <w:bottom w:val="single" w:sz="8" w:space="0" w:color="auto"/>
            </w:tcBorders>
            <w:shd w:val="clear" w:color="auto" w:fill="CCEEFF"/>
            <w:vAlign w:val="bottom"/>
          </w:tcPr>
          <w:p>
            <w:pPr>
              <w:spacing w:after="0" w:line="142" w:lineRule="exact"/>
              <w:ind w:right="740"/>
              <w:jc w:val="right"/>
              <w:rPr>
                <w:color w:val="auto"/>
                <w:sz w:val="20"/>
                <w:szCs w:val="20"/>
              </w:rPr>
            </w:pPr>
            <w:r>
              <w:rPr>
                <w:rFonts w:ascii="Calibri" w:eastAsia="Calibri" w:hAnsi="Calibri" w:cs="Calibri"/>
                <w:color w:val="auto"/>
                <w:w w:val="97"/>
                <w:sz w:val="12"/>
                <w:szCs w:val="12"/>
              </w:rPr>
              <w:t>$</w:t>
            </w:r>
          </w:p>
        </w:tc>
        <w:tc>
          <w:tcPr>
            <w:tcW w:w="11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9,790</w:t>
            </w:r>
          </w:p>
        </w:tc>
      </w:tr>
      <w:tr>
        <w:tblPrEx>
          <w:tblInd w:w="0" w:type="dxa"/>
          <w:tblLayout w:type="fixed"/>
        </w:tblPrEx>
        <w:trPr>
          <w:trHeight w:val="280"/>
        </w:trPr>
        <w:tc>
          <w:tcPr>
            <w:tcW w:w="9280" w:type="dxa"/>
            <w:gridSpan w:val="2"/>
            <w:vAlign w:val="bottom"/>
          </w:tcPr>
          <w:p>
            <w:pPr>
              <w:spacing w:after="0"/>
              <w:ind w:left="280"/>
              <w:rPr>
                <w:color w:val="auto"/>
                <w:sz w:val="20"/>
                <w:szCs w:val="20"/>
              </w:rPr>
            </w:pPr>
            <w:r>
              <w:rPr>
                <w:rFonts w:ascii="Calibri" w:eastAsia="Calibri" w:hAnsi="Calibri" w:cs="Calibri"/>
                <w:color w:val="auto"/>
                <w:w w:val="97"/>
                <w:sz w:val="12"/>
                <w:szCs w:val="12"/>
              </w:rPr>
              <w:t>The fair value step-up adjustment to inventories of $179 million was amortzed to cost of products sold when the inventory was sold to customers during the year ended December 31, 2024.</w:t>
            </w:r>
          </w:p>
        </w:tc>
        <w:tc>
          <w:tcPr>
            <w:tcW w:w="880" w:type="dxa"/>
            <w:vAlign w:val="bottom"/>
          </w:tcPr>
          <w:p>
            <w:pPr>
              <w:spacing w:after="0"/>
              <w:rPr>
                <w:color w:val="auto"/>
                <w:sz w:val="24"/>
                <w:szCs w:val="24"/>
              </w:rPr>
            </w:pPr>
          </w:p>
        </w:tc>
        <w:tc>
          <w:tcPr>
            <w:tcW w:w="1140" w:type="dxa"/>
            <w:vAlign w:val="bottom"/>
          </w:tcPr>
          <w:p>
            <w:pPr>
              <w:spacing w:after="0"/>
              <w:rPr>
                <w:color w:val="auto"/>
                <w:sz w:val="24"/>
                <w:szCs w:val="24"/>
              </w:rPr>
            </w:pPr>
          </w:p>
        </w:tc>
      </w:tr>
      <w:tr>
        <w:tblPrEx>
          <w:tblInd w:w="0" w:type="dxa"/>
          <w:tblLayout w:type="fixed"/>
        </w:tblPrEx>
        <w:trPr>
          <w:trHeight w:val="576"/>
        </w:trPr>
        <w:tc>
          <w:tcPr>
            <w:tcW w:w="1100" w:type="dxa"/>
            <w:vAlign w:val="bottom"/>
          </w:tcPr>
          <w:p>
            <w:pPr>
              <w:spacing w:after="0"/>
              <w:rPr>
                <w:color w:val="auto"/>
                <w:sz w:val="20"/>
                <w:szCs w:val="20"/>
              </w:rPr>
            </w:pPr>
            <w:r>
              <w:rPr>
                <w:rFonts w:ascii="Calibri" w:eastAsia="Calibri" w:hAnsi="Calibri" w:cs="Calibri"/>
                <w:b/>
                <w:bCs/>
                <w:i/>
                <w:iCs/>
                <w:color w:val="auto"/>
                <w:sz w:val="12"/>
                <w:szCs w:val="12"/>
              </w:rPr>
              <w:t>65</w:t>
            </w:r>
          </w:p>
        </w:tc>
        <w:tc>
          <w:tcPr>
            <w:tcW w:w="8180" w:type="dxa"/>
            <w:vAlign w:val="bottom"/>
          </w:tcPr>
          <w:p>
            <w:pPr>
              <w:spacing w:after="0"/>
              <w:ind w:left="20"/>
              <w:rPr>
                <w:color w:val="auto"/>
                <w:sz w:val="20"/>
                <w:szCs w:val="20"/>
              </w:rPr>
            </w:pP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tc>
        <w:tc>
          <w:tcPr>
            <w:tcW w:w="880" w:type="dxa"/>
            <w:vAlign w:val="bottom"/>
          </w:tcPr>
          <w:p>
            <w:pPr>
              <w:spacing w:after="0"/>
              <w:rPr>
                <w:color w:val="auto"/>
                <w:sz w:val="24"/>
                <w:szCs w:val="24"/>
              </w:rPr>
            </w:pPr>
          </w:p>
        </w:tc>
        <w:tc>
          <w:tcPr>
            <w:tcW w:w="1140" w:type="dxa"/>
            <w:vAlign w:val="bottom"/>
          </w:tcPr>
          <w:p>
            <w:pPr>
              <w:spacing w:after="0"/>
              <w:rPr>
                <w:color w:val="auto"/>
                <w:sz w:val="24"/>
                <w:szCs w:val="24"/>
              </w:rPr>
            </w:pPr>
          </w:p>
        </w:tc>
      </w:tr>
      <w:tr>
        <w:tblPrEx>
          <w:tblInd w:w="0" w:type="dxa"/>
          <w:tblLayout w:type="fixed"/>
        </w:tblPrEx>
        <w:trPr>
          <w:trHeight w:val="152"/>
        </w:trPr>
        <w:tc>
          <w:tcPr>
            <w:tcW w:w="1100" w:type="dxa"/>
            <w:tcBorders>
              <w:bottom w:val="single" w:sz="8" w:space="0" w:color="9A9A9A"/>
            </w:tcBorders>
            <w:vAlign w:val="bottom"/>
          </w:tcPr>
          <w:p>
            <w:pPr>
              <w:spacing w:after="0"/>
              <w:rPr>
                <w:color w:val="auto"/>
                <w:sz w:val="13"/>
                <w:szCs w:val="13"/>
              </w:rPr>
            </w:pPr>
          </w:p>
        </w:tc>
        <w:tc>
          <w:tcPr>
            <w:tcW w:w="8180" w:type="dxa"/>
            <w:tcBorders>
              <w:bottom w:val="single" w:sz="8" w:space="0" w:color="9A9A9A"/>
            </w:tcBorders>
            <w:vAlign w:val="bottom"/>
          </w:tcPr>
          <w:p>
            <w:pPr>
              <w:spacing w:after="0"/>
              <w:rPr>
                <w:color w:val="auto"/>
                <w:sz w:val="13"/>
                <w:szCs w:val="13"/>
              </w:rPr>
            </w:pPr>
          </w:p>
        </w:tc>
        <w:tc>
          <w:tcPr>
            <w:tcW w:w="880" w:type="dxa"/>
            <w:tcBorders>
              <w:bottom w:val="single" w:sz="8" w:space="0" w:color="9A9A9A"/>
            </w:tcBorders>
            <w:vAlign w:val="bottom"/>
          </w:tcPr>
          <w:p>
            <w:pPr>
              <w:spacing w:after="0"/>
              <w:rPr>
                <w:color w:val="auto"/>
                <w:sz w:val="13"/>
                <w:szCs w:val="13"/>
              </w:rPr>
            </w:pPr>
          </w:p>
        </w:tc>
        <w:tc>
          <w:tcPr>
            <w:tcW w:w="11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25152" behindDoc="1" locked="0" layoutInCell="0" allowOverlap="1">
            <wp:simplePos x="0" y="0"/>
            <wp:positionH relativeFrom="column">
              <wp:posOffset>7154545</wp:posOffset>
            </wp:positionH>
            <wp:positionV relativeFrom="paragraph">
              <wp:posOffset>-23495</wp:posOffset>
            </wp:positionV>
            <wp:extent cx="31115" cy="3683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26176" behindDoc="1" locked="0" layoutInCell="0" allowOverlap="1">
            <wp:simplePos x="0" y="0"/>
            <wp:positionH relativeFrom="column">
              <wp:posOffset>-17145</wp:posOffset>
            </wp:positionH>
            <wp:positionV relativeFrom="paragraph">
              <wp:posOffset>-23495</wp:posOffset>
            </wp:positionV>
            <wp:extent cx="31115" cy="3683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27200" behindDoc="1" locked="0" layoutInCell="0" allowOverlap="1">
            <wp:simplePos x="0" y="0"/>
            <wp:positionH relativeFrom="column">
              <wp:posOffset>292100</wp:posOffset>
            </wp:positionH>
            <wp:positionV relativeFrom="paragraph">
              <wp:posOffset>-233680</wp:posOffset>
            </wp:positionV>
            <wp:extent cx="400050" cy="7429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67" w:name="page68"/>
    <w:bookmarkEnd w:id="67"/>
    <w:p>
      <w:pPr>
        <w:spacing w:after="0" w:line="235" w:lineRule="auto"/>
        <w:ind w:right="40" w:firstLine="297"/>
        <w:rPr>
          <w:color w:val="auto"/>
          <w:sz w:val="20"/>
          <w:szCs w:val="20"/>
        </w:rPr>
      </w:pPr>
      <w:r>
        <w:rPr>
          <w:rFonts w:ascii="Calibri" w:eastAsia="Calibri" w:hAnsi="Calibri" w:cs="Calibri"/>
          <w:color w:val="auto"/>
          <w:sz w:val="12"/>
          <w:szCs w:val="12"/>
        </w:rPr>
        <w:t>Intangible assets relate to $7.3 billion of defnite-lived intangible assets and $1.3 billion of acquired IPR&amp;D associated with products that have not yet received regulatory approval. The acquired defnite-lived intangible assets consist of developed product rights and license agreements and are being amortzed over a weighted-average estmated useful life of approximately 12 years using the estmated patern of economic beneft. The estmated fair values of identfable intangible assets were determined using the "income approach" which is a valuaton technique that provides an estmate of the fair value of an asset based on market partcipant expectatons of the cash fows an asset would generate over its remaining useful life. Some of the more signifcant assumptons inherent in the development of these asset valuatons include the estmated net cash fows for each year for each asset or product, the appropriate discount rate necessary to measure the risk inherent in each future cash fow stream, the life cycle of each asset, the potental regulatory and commercial success risk, compettve trends impactng the asset and each cash fow stream, as well as other factors.</w:t>
      </w:r>
    </w:p>
    <w:p>
      <w:pPr>
        <w:spacing w:after="0" w:line="89"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Other noncurrent assets primarily consist of $250 million of deferred tax assets.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current porton of long-term debt assumed by AbbVie was repaid concurrent with the acquisiton at the fair value of $99 million. See Note 10 for additonal informaton.</w:t>
      </w:r>
    </w:p>
    <w:p>
      <w:pPr>
        <w:spacing w:after="0" w:line="101"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Goodwill was calculated as the excess of the consideraton transferred over the fair value of net assets recognized and represents the future economic benefts arising from other assets acquired that could not be individually identfed and separately recognized. Specifcally, the goodwill recognized from the acquisiton of ImmunoGen represents expected synergies including, the ability to: (i) expand AbbVie’s product portolio as well as the potental to increase revenue from future growth platorms, (ii) accelerate AbbVie’s clinical and commercial presence in the solid tumor space within oncology, (iii) leverage the respectve strengths of each company, and (iv) enhance AbbVie’s existng ADC development eforts. The goodwill is not deductble for tax purposes.</w:t>
      </w:r>
    </w:p>
    <w:p>
      <w:pPr>
        <w:spacing w:after="0" w:line="92"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Following the acquisiton date, the operatng results of ImmunoGen have been included in the consolidated fnancial statements. For the period from the acquisiton date through December 31, 2024, net revenues atributable to ImmunoGen were $578 million and operatng losses atributable to ImmunoGen were $682 million, inclusive of $349 million of cash-setled, post-closing expense for ImmunoGen employee incentve awards, $179 million of inventory fair value step-up amortzaton and $157 million of intangible asset amortzaton. AbbVie also issued 0.3 million RSUs to holders of ImmunoGen equity awards based on a conversion factor described in the transacton agreement. Stock compensaton expense related to RSUs issued at the acquisiton date was not signifcant.</w:t>
      </w:r>
    </w:p>
    <w:p>
      <w:pPr>
        <w:spacing w:after="0" w:line="101" w:lineRule="exact"/>
        <w:rPr>
          <w:color w:val="auto"/>
          <w:sz w:val="20"/>
          <w:szCs w:val="20"/>
        </w:rPr>
      </w:pPr>
    </w:p>
    <w:p>
      <w:pPr>
        <w:spacing w:after="0" w:line="234" w:lineRule="auto"/>
        <w:ind w:right="400" w:firstLine="297"/>
        <w:rPr>
          <w:color w:val="auto"/>
          <w:sz w:val="20"/>
          <w:szCs w:val="20"/>
        </w:rPr>
      </w:pPr>
      <w:r>
        <w:rPr>
          <w:rFonts w:ascii="Calibri" w:eastAsia="Calibri" w:hAnsi="Calibri" w:cs="Calibri"/>
          <w:color w:val="auto"/>
          <w:sz w:val="12"/>
          <w:szCs w:val="12"/>
        </w:rPr>
        <w:t>Acquisiton-related expenses, which were comprised primarily of regulatory, fnancial advisory and legal fees, totaled $59 million for the year ended December 31, 2024 and were included in SG&amp;A expense in the consolidated statements of earnings.</w:t>
      </w:r>
    </w:p>
    <w:p>
      <w:pPr>
        <w:spacing w:after="0" w:line="97"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Pro Forma Financial Informaton</w:t>
      </w:r>
    </w:p>
    <w:p>
      <w:pPr>
        <w:spacing w:after="0" w:line="92" w:lineRule="exact"/>
        <w:rPr>
          <w:color w:val="auto"/>
          <w:sz w:val="20"/>
          <w:szCs w:val="20"/>
        </w:rPr>
      </w:pPr>
    </w:p>
    <w:p>
      <w:pPr>
        <w:spacing w:after="0"/>
        <w:ind w:left="280"/>
        <w:rPr>
          <w:color w:val="auto"/>
          <w:sz w:val="20"/>
          <w:szCs w:val="20"/>
        </w:rPr>
      </w:pPr>
      <w:r>
        <w:rPr>
          <w:rFonts w:ascii="Calibri" w:eastAsia="Calibri" w:hAnsi="Calibri" w:cs="Calibri"/>
          <w:color w:val="auto"/>
          <w:sz w:val="11"/>
          <w:szCs w:val="11"/>
        </w:rPr>
        <w:t>The following table presents the unaudited pro forma combined results of AbbVie, ImmunoGen and Cerevel Therapeutcs for 2024 and 2023 as if the acquisitons of ImmunoGen and Cerevel Therapeutcs had occurred on January 1,</w:t>
      </w:r>
    </w:p>
    <w:p>
      <w:pPr>
        <w:spacing w:after="0" w:line="5" w:lineRule="exact"/>
        <w:rPr>
          <w:color w:val="auto"/>
          <w:sz w:val="20"/>
          <w:szCs w:val="20"/>
        </w:rPr>
      </w:pPr>
    </w:p>
    <w:p>
      <w:pPr>
        <w:spacing w:after="0"/>
        <w:rPr>
          <w:color w:val="auto"/>
          <w:sz w:val="20"/>
          <w:szCs w:val="20"/>
        </w:rPr>
      </w:pPr>
      <w:r>
        <w:rPr>
          <w:rFonts w:ascii="Calibri" w:eastAsia="Calibri" w:hAnsi="Calibri" w:cs="Calibri"/>
          <w:color w:val="auto"/>
          <w:sz w:val="12"/>
          <w:szCs w:val="12"/>
        </w:rPr>
        <w:t>2023:</w:t>
      </w:r>
    </w:p>
    <w:p>
      <w:pPr>
        <w:spacing w:after="0" w:line="115" w:lineRule="exact"/>
        <w:rPr>
          <w:color w:val="auto"/>
          <w:sz w:val="20"/>
          <w:szCs w:val="20"/>
        </w:rPr>
      </w:pPr>
    </w:p>
    <w:tbl>
      <w:tblPr>
        <w:tblInd w:w="0" w:type="dxa"/>
        <w:tblLayout w:type="fixed"/>
        <w:tblCellMar>
          <w:top w:w="0" w:type="dxa"/>
          <w:left w:w="0" w:type="dxa"/>
          <w:bottom w:w="0" w:type="dxa"/>
          <w:right w:w="0" w:type="dxa"/>
        </w:tblCellMar>
      </w:tblPr>
      <w:tblGrid>
        <w:gridCol w:w="5140"/>
        <w:gridCol w:w="3920"/>
        <w:gridCol w:w="940"/>
        <w:gridCol w:w="320"/>
        <w:gridCol w:w="980"/>
      </w:tblGrid>
      <w:tr>
        <w:tblPrEx>
          <w:tblInd w:w="0" w:type="dxa"/>
          <w:tblLayout w:type="fixed"/>
        </w:tblPrEx>
        <w:trPr>
          <w:trHeight w:val="122"/>
        </w:trPr>
        <w:tc>
          <w:tcPr>
            <w:tcW w:w="514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3920" w:type="dxa"/>
            <w:vAlign w:val="bottom"/>
          </w:tcPr>
          <w:p>
            <w:pPr>
              <w:spacing w:after="0"/>
              <w:rPr>
                <w:color w:val="auto"/>
                <w:sz w:val="10"/>
                <w:szCs w:val="10"/>
              </w:rPr>
            </w:pPr>
          </w:p>
        </w:tc>
        <w:tc>
          <w:tcPr>
            <w:tcW w:w="940" w:type="dxa"/>
            <w:vAlign w:val="bottom"/>
          </w:tcPr>
          <w:p>
            <w:pPr>
              <w:spacing w:after="0"/>
              <w:ind w:right="464"/>
              <w:jc w:val="right"/>
              <w:rPr>
                <w:color w:val="auto"/>
                <w:sz w:val="20"/>
                <w:szCs w:val="20"/>
              </w:rPr>
            </w:pPr>
            <w:r>
              <w:rPr>
                <w:rFonts w:ascii="Calibri" w:eastAsia="Calibri" w:hAnsi="Calibri" w:cs="Calibri"/>
                <w:b/>
                <w:bCs/>
                <w:color w:val="auto"/>
                <w:sz w:val="10"/>
                <w:szCs w:val="10"/>
              </w:rPr>
              <w:t>2024</w:t>
            </w:r>
          </w:p>
        </w:tc>
        <w:tc>
          <w:tcPr>
            <w:tcW w:w="320" w:type="dxa"/>
            <w:vAlign w:val="bottom"/>
          </w:tcPr>
          <w:p>
            <w:pPr>
              <w:spacing w:after="0"/>
              <w:rPr>
                <w:color w:val="auto"/>
                <w:sz w:val="10"/>
                <w:szCs w:val="10"/>
              </w:rPr>
            </w:pPr>
          </w:p>
        </w:tc>
        <w:tc>
          <w:tcPr>
            <w:tcW w:w="980" w:type="dxa"/>
            <w:vAlign w:val="bottom"/>
          </w:tcPr>
          <w:p>
            <w:pPr>
              <w:spacing w:after="0"/>
              <w:ind w:right="484"/>
              <w:jc w:val="right"/>
              <w:rPr>
                <w:color w:val="auto"/>
                <w:sz w:val="20"/>
                <w:szCs w:val="20"/>
              </w:rPr>
            </w:pPr>
            <w:r>
              <w:rPr>
                <w:rFonts w:ascii="Calibri" w:eastAsia="Calibri" w:hAnsi="Calibri" w:cs="Calibri"/>
                <w:b/>
                <w:bCs/>
                <w:color w:val="auto"/>
                <w:sz w:val="10"/>
                <w:szCs w:val="10"/>
              </w:rPr>
              <w:t>2023</w:t>
            </w:r>
          </w:p>
        </w:tc>
      </w:tr>
      <w:tr>
        <w:tblPrEx>
          <w:tblInd w:w="0" w:type="dxa"/>
          <w:tblLayout w:type="fixed"/>
        </w:tblPrEx>
        <w:trPr>
          <w:trHeight w:val="32"/>
        </w:trPr>
        <w:tc>
          <w:tcPr>
            <w:tcW w:w="5140" w:type="dxa"/>
            <w:tcBorders>
              <w:bottom w:val="single" w:sz="8" w:space="0" w:color="auto"/>
            </w:tcBorders>
            <w:vAlign w:val="bottom"/>
          </w:tcPr>
          <w:p>
            <w:pPr>
              <w:spacing w:after="0"/>
              <w:rPr>
                <w:color w:val="auto"/>
                <w:sz w:val="2"/>
                <w:szCs w:val="2"/>
              </w:rPr>
            </w:pPr>
          </w:p>
        </w:tc>
        <w:tc>
          <w:tcPr>
            <w:tcW w:w="392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9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51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Net revenues</w:t>
            </w:r>
          </w:p>
        </w:tc>
        <w:tc>
          <w:tcPr>
            <w:tcW w:w="3920" w:type="dxa"/>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94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56,389</w:t>
            </w:r>
          </w:p>
        </w:tc>
        <w:tc>
          <w:tcPr>
            <w:tcW w:w="32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80" w:type="dxa"/>
            <w:shd w:val="clear" w:color="auto" w:fill="CCEEFF"/>
            <w:vAlign w:val="bottom"/>
          </w:tcPr>
          <w:p>
            <w:pPr>
              <w:spacing w:after="0" w:line="142" w:lineRule="exact"/>
              <w:ind w:right="4"/>
              <w:jc w:val="right"/>
              <w:rPr>
                <w:color w:val="auto"/>
                <w:sz w:val="20"/>
                <w:szCs w:val="20"/>
              </w:rPr>
            </w:pPr>
            <w:r>
              <w:rPr>
                <w:rFonts w:ascii="Calibri" w:eastAsia="Calibri" w:hAnsi="Calibri" w:cs="Calibri"/>
                <w:color w:val="auto"/>
                <w:sz w:val="12"/>
                <w:szCs w:val="12"/>
              </w:rPr>
              <w:t>54,691</w:t>
            </w:r>
          </w:p>
        </w:tc>
      </w:tr>
      <w:tr>
        <w:tblPrEx>
          <w:tblInd w:w="0" w:type="dxa"/>
          <w:tblLayout w:type="fixed"/>
        </w:tblPrEx>
        <w:trPr>
          <w:trHeight w:val="147"/>
        </w:trPr>
        <w:tc>
          <w:tcPr>
            <w:tcW w:w="51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Net earnings</w:t>
            </w:r>
          </w:p>
        </w:tc>
        <w:tc>
          <w:tcPr>
            <w:tcW w:w="3920" w:type="dxa"/>
            <w:tcBorders>
              <w:bottom w:val="single" w:sz="8" w:space="0" w:color="auto"/>
            </w:tcBorders>
            <w:vAlign w:val="bottom"/>
          </w:tcPr>
          <w:p>
            <w:pPr>
              <w:spacing w:after="0"/>
              <w:rPr>
                <w:color w:val="auto"/>
                <w:sz w:val="12"/>
                <w:szCs w:val="12"/>
              </w:rPr>
            </w:pPr>
          </w:p>
        </w:tc>
        <w:tc>
          <w:tcPr>
            <w:tcW w:w="9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4,564</w:t>
            </w:r>
          </w:p>
        </w:tc>
        <w:tc>
          <w:tcPr>
            <w:tcW w:w="32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2,862</w:t>
            </w:r>
          </w:p>
        </w:tc>
      </w:tr>
    </w:tbl>
    <w:p>
      <w:pPr>
        <w:spacing w:after="0" w:line="138" w:lineRule="exact"/>
        <w:rPr>
          <w:color w:val="auto"/>
          <w:sz w:val="20"/>
          <w:szCs w:val="20"/>
        </w:rPr>
      </w:pPr>
    </w:p>
    <w:p>
      <w:pPr>
        <w:spacing w:after="0" w:line="235" w:lineRule="auto"/>
        <w:ind w:right="100" w:firstLine="297"/>
        <w:rPr>
          <w:color w:val="auto"/>
          <w:sz w:val="20"/>
          <w:szCs w:val="20"/>
        </w:rPr>
      </w:pPr>
      <w:r>
        <w:rPr>
          <w:rFonts w:ascii="Calibri" w:eastAsia="Calibri" w:hAnsi="Calibri" w:cs="Calibri"/>
          <w:color w:val="auto"/>
          <w:sz w:val="12"/>
          <w:szCs w:val="12"/>
        </w:rPr>
        <w:t>The unaudited pro forma combined fnancial informaton was prepared using the acquisiton method of accountng and was based on the historical fnancial informaton of AbbVie, ImmunoGen and Cerevel Therapeutcs. In order to refect the occurrence of the acquisitons on January 1, 2023 as required, the unaudited pro forma fnancial informaton includes adjustments to refect incremental amortzaton expense to be incurred based on the fair values of the identfable intangible assets acquired; the incremental cost of products sold related to the fair value adjustments associated with acquisiton date inventory; the additonal interest expense associated with the issuance of debt to fnance the acquisiton; and the reclassifcaton of acquisiton-related costs incurred during the year ended December 31, 2024 to the year ended December 31, 2023. The unaudited pro forma fnancial informaton is not necessarily indicatve of what the consolidated results of operatons would have been had the acquisitons been completed on January 1, 2023. In additon, the unaudited pro forma fnancial informaton is not a projecton of future results of operatons of the combined company nor does it refect the expected realizaton of any synergies or cost savings associated with the acquisitons.</w:t>
      </w:r>
    </w:p>
    <w:p>
      <w:pPr>
        <w:spacing w:after="0" w:line="20" w:lineRule="exact"/>
        <w:rPr>
          <w:color w:val="auto"/>
          <w:sz w:val="20"/>
          <w:szCs w:val="20"/>
        </w:rPr>
      </w:pPr>
      <w:r>
        <w:rPr>
          <w:color w:val="auto"/>
          <w:sz w:val="20"/>
          <w:szCs w:val="20"/>
        </w:rPr>
        <w:drawing>
          <wp:anchor simplePos="0" relativeHeight="251828224" behindDoc="1" locked="0" layoutInCell="0" allowOverlap="1">
            <wp:simplePos x="0" y="0"/>
            <wp:positionH relativeFrom="column">
              <wp:posOffset>6475730</wp:posOffset>
            </wp:positionH>
            <wp:positionV relativeFrom="paragraph">
              <wp:posOffset>417195</wp:posOffset>
            </wp:positionV>
            <wp:extent cx="400050" cy="7429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0" w:lineRule="exact"/>
        <w:rPr>
          <w:color w:val="auto"/>
          <w:sz w:val="20"/>
          <w:szCs w:val="20"/>
        </w:rPr>
      </w:pPr>
    </w:p>
    <w:p>
      <w:pPr>
        <w:spacing w:after="0" w:line="272"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66</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29248" behindDoc="1" locked="0" layoutInCell="0" allowOverlap="1">
            <wp:simplePos x="0" y="0"/>
            <wp:positionH relativeFrom="column">
              <wp:posOffset>7154545</wp:posOffset>
            </wp:positionH>
            <wp:positionV relativeFrom="paragraph">
              <wp:posOffset>-23495</wp:posOffset>
            </wp:positionV>
            <wp:extent cx="31115" cy="3683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30272" behindDoc="1" locked="0" layoutInCell="0" allowOverlap="1">
            <wp:simplePos x="0" y="0"/>
            <wp:positionH relativeFrom="column">
              <wp:posOffset>-17145</wp:posOffset>
            </wp:positionH>
            <wp:positionV relativeFrom="paragraph">
              <wp:posOffset>-23495</wp:posOffset>
            </wp:positionV>
            <wp:extent cx="31115" cy="3683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68" w:name="page69"/>
    <w:bookmarkEnd w:id="68"/>
    <w:p>
      <w:pPr>
        <w:spacing w:after="0"/>
        <w:rPr>
          <w:color w:val="auto"/>
          <w:sz w:val="20"/>
          <w:szCs w:val="20"/>
        </w:rPr>
      </w:pPr>
      <w:r>
        <w:rPr>
          <w:rFonts w:ascii="Calibri" w:eastAsia="Calibri" w:hAnsi="Calibri" w:cs="Calibri"/>
          <w:b/>
          <w:bCs/>
          <w:color w:val="444867"/>
          <w:sz w:val="12"/>
          <w:szCs w:val="12"/>
        </w:rPr>
        <w:t>Acquisiton of DJS Antbodies Ltd</w:t>
      </w:r>
    </w:p>
    <w:p>
      <w:pPr>
        <w:spacing w:after="0" w:line="92"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In October 2022, AbbVie entered into an agreement to acquire DJS Antbodies Ltd (DJS) including its lead program DJS-002 and proprietary HEPTAD platorm. DJS-002 is an LPAR1 antagonist antbody currently in preclinical studies for the treatment of Idiopathic Pulmonary Fibrosis and other fbrotc diseases. HEPTAD platorm is a potental novel approach to antbody discovery with specifc capabilites targetng transmembrane protein targets. The aggregate purchase price of $287 million was comprised of a $255 million upfront cash payment and $32 million for the acquisiton date fair value of contngent consideraton liabilites, for which AbbVie may owe up to $95 million in future payments upon achievement of certain development milestones. The transacton was accounted for as a business combinaton using the acquisiton method of accountng. As of the acquisiton date, AbbVie acquired $233 million of intangible assets for in-process research and development, $22 million of intangible assets for developed product rights and $60 million of deferred tax liabilites. Other assets and liabilites assumed were insignifcant. The acquisiton resulted in the recogniton of $92 million of goodwill which is not deductble for tax purposes.</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Other Licensing &amp; Acquisitons Actvity</w:t>
      </w:r>
    </w:p>
    <w:p>
      <w:pPr>
        <w:spacing w:after="0" w:line="101"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Cash outlows related to other acquisitons and investments totaled $3.0 billion in 2024, $1.2 billion in 2023 and $539 million in 2022. AbbVie recorded acquired IPR&amp;D and milestones expense of $2.8 billion in 2024, $778 million in 2023 and $697 million in 2022. Signifcant arrangements impactng 2024, 2023 and 2022, some of which require contngent milestone payments, are summarized below.</w:t>
      </w:r>
    </w:p>
    <w:p>
      <w:pPr>
        <w:spacing w:after="0" w:line="88"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Nimble Therapeutcs, Inc.</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Subsequent to December 31, 2024, AbbVie completed its previously announced acquisiton of Nimble Therapeutcs, Inc. (Nimble). Nimble is a biotechnology company dedicated to delivering on the promise of oral peptde</w:t>
      </w:r>
    </w:p>
    <w:p>
      <w:pPr>
        <w:spacing w:after="0" w:line="235" w:lineRule="auto"/>
        <w:rPr>
          <w:color w:val="auto"/>
          <w:sz w:val="20"/>
          <w:szCs w:val="20"/>
        </w:rPr>
      </w:pPr>
      <w:r>
        <w:rPr>
          <w:rFonts w:ascii="Calibri" w:eastAsia="Calibri" w:hAnsi="Calibri" w:cs="Calibri"/>
          <w:color w:val="auto"/>
          <w:sz w:val="12"/>
          <w:szCs w:val="12"/>
        </w:rPr>
        <w:t>therapeutcs and its lead asset, an investgatonal oral peptde IL23R inhibitor, is in preclinical development for the treatment of psoriasis. Under the terms of the agreement, AbbVie made an upfront cash payment of approximately</w:t>
      </w:r>
    </w:p>
    <w:p>
      <w:pPr>
        <w:spacing w:after="0" w:line="3" w:lineRule="exact"/>
        <w:rPr>
          <w:color w:val="auto"/>
          <w:sz w:val="20"/>
          <w:szCs w:val="20"/>
        </w:rPr>
      </w:pPr>
    </w:p>
    <w:p>
      <w:pPr>
        <w:spacing w:after="0"/>
        <w:rPr>
          <w:color w:val="auto"/>
          <w:sz w:val="20"/>
          <w:szCs w:val="20"/>
        </w:rPr>
      </w:pPr>
      <w:r>
        <w:rPr>
          <w:rFonts w:ascii="Calibri" w:eastAsia="Calibri" w:hAnsi="Calibri" w:cs="Calibri"/>
          <w:color w:val="auto"/>
          <w:sz w:val="11"/>
          <w:szCs w:val="11"/>
        </w:rPr>
        <w:t>$200 million at closing to acquire all outstanding equity of Nimble. AbbVie could make additonal future payments of up to $130 million upon the achievement of certain development milestones. The accountng impact of this acquisiton</w:t>
      </w:r>
    </w:p>
    <w:p>
      <w:pPr>
        <w:spacing w:after="0" w:line="5" w:lineRule="exact"/>
        <w:rPr>
          <w:color w:val="auto"/>
          <w:sz w:val="20"/>
          <w:szCs w:val="20"/>
        </w:rPr>
      </w:pPr>
    </w:p>
    <w:p>
      <w:pPr>
        <w:spacing w:after="0"/>
        <w:rPr>
          <w:color w:val="auto"/>
          <w:sz w:val="20"/>
          <w:szCs w:val="20"/>
        </w:rPr>
      </w:pPr>
      <w:r>
        <w:rPr>
          <w:rFonts w:ascii="Calibri" w:eastAsia="Calibri" w:hAnsi="Calibri" w:cs="Calibri"/>
          <w:color w:val="auto"/>
          <w:sz w:val="12"/>
          <w:szCs w:val="12"/>
        </w:rPr>
        <w:t>will be included in the consolidated fnancial statements beginning in the frst quarter of 2025.</w:t>
      </w:r>
    </w:p>
    <w:p>
      <w:pPr>
        <w:spacing w:after="0" w:line="160"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Aliada Therapeutcs Holdings, Inc.</w:t>
      </w:r>
    </w:p>
    <w:p>
      <w:pPr>
        <w:spacing w:after="0" w:line="101"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In December 2024, AbbVie completed its previously announced acquisiton of Aliada Therapeutcs Holdings, Inc. (Aliada) including its lead program ALIA-1758 and accounted for the transacton as an asset acquisiton. ALIA-1758 is an ant-pyroglutamate amyloid beta (3pE-Aβ) antbody in development for the treatment of Alzheimer’s Disease. Under the terms of the agreement, AbbVie made an upfront cash payment of approximately $1.4 billion to acquire all outstanding equity of Aliada which was recorded in acquired IPR&amp;D and milestones expense in the consolidated statement of earnings in the fourth quarter of 2024.</w:t>
      </w:r>
    </w:p>
    <w:p>
      <w:pPr>
        <w:spacing w:after="0" w:line="89"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Celsius Therapeutcs, Inc.</w:t>
      </w:r>
    </w:p>
    <w:p>
      <w:pPr>
        <w:spacing w:after="0" w:line="101" w:lineRule="exact"/>
        <w:rPr>
          <w:color w:val="auto"/>
          <w:sz w:val="20"/>
          <w:szCs w:val="20"/>
        </w:rPr>
      </w:pPr>
    </w:p>
    <w:p>
      <w:pPr>
        <w:spacing w:after="0" w:line="234" w:lineRule="auto"/>
        <w:ind w:right="200" w:firstLine="297"/>
        <w:rPr>
          <w:color w:val="auto"/>
          <w:sz w:val="20"/>
          <w:szCs w:val="20"/>
        </w:rPr>
      </w:pPr>
      <w:r>
        <w:rPr>
          <w:rFonts w:ascii="Calibri" w:eastAsia="Calibri" w:hAnsi="Calibri" w:cs="Calibri"/>
          <w:color w:val="auto"/>
          <w:sz w:val="12"/>
          <w:szCs w:val="12"/>
        </w:rPr>
        <w:t>In June 2024, AbbVie acquired Celsius Therapeutcs, Inc. (Celsius Therapeutcs) including its lead pipeline asset CEL383. Celsius Therapeutcs is a clinical-stage biotechnology company focused on the discovery and development of precision medicine in infammatory bowel disease. The transacton was accounted as an asset acquisiton as CEL383 represented substantally all of the fair value of the gross assets acquired. The upfront payment of $250 million was recorded in acquired IPR&amp;D and milestones expense in the consolidated statement of earnings in the second quarter of 2024.</w:t>
      </w:r>
    </w:p>
    <w:p>
      <w:pPr>
        <w:spacing w:after="0" w:line="152"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Syndesi Therapeutcs SA</w:t>
      </w:r>
    </w:p>
    <w:p>
      <w:pPr>
        <w:spacing w:after="0" w:line="92"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In February 2022, AbbVie acquired Syndesi Therapeutcs SA and its portolio of novel modulators of the synaptc vesicle protein 2A, including its lead molecule ABBV-552, previously named SDI-118, and accounted for the transacton as an asset acquisiton. ABBV-552 is a small molecule, which is being evaluated to target nerve terminals to enhance synaptc efciency. Under the terms of the agreement, AbbVie made an upfront payment of $130 million which was recorded in acquired IPR&amp;D and milestones expense in the consolidated statement of earnings in the frst quarter of 2022. The agreement also includes additonal future payments of up to $870 million upon the achievement of certain development, regulatory and commercial milestones.</w:t>
      </w:r>
    </w:p>
    <w:p>
      <w:pPr>
        <w:spacing w:after="0" w:line="200" w:lineRule="exact"/>
        <w:rPr>
          <w:color w:val="auto"/>
          <w:sz w:val="20"/>
          <w:szCs w:val="20"/>
        </w:rPr>
      </w:pPr>
    </w:p>
    <w:p>
      <w:pPr>
        <w:spacing w:after="0" w:line="265"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67</w:t>
      </w:r>
      <w:r>
        <w:rPr>
          <w:color w:val="auto"/>
          <w:sz w:val="20"/>
          <w:szCs w:val="20"/>
        </w:rPr>
        <w:tab/>
      </w:r>
      <w:r>
        <w:rPr>
          <w:color w:val="auto"/>
          <w:sz w:val="1"/>
          <w:szCs w:val="1"/>
        </w:rPr>
        <w:drawing>
          <wp:inline distT="0" distB="0" distL="0" distR="0">
            <wp:extent cx="400050" cy="7429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31296" behindDoc="1" locked="0" layoutInCell="0" allowOverlap="1">
            <wp:simplePos x="0" y="0"/>
            <wp:positionH relativeFrom="column">
              <wp:posOffset>-17145</wp:posOffset>
            </wp:positionH>
            <wp:positionV relativeFrom="paragraph">
              <wp:posOffset>133985</wp:posOffset>
            </wp:positionV>
            <wp:extent cx="7203440" cy="3683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69" w:name="page70"/>
    <w:bookmarkEnd w:id="69"/>
    <w:p>
      <w:pPr>
        <w:spacing w:after="0"/>
        <w:rPr>
          <w:color w:val="auto"/>
          <w:sz w:val="20"/>
          <w:szCs w:val="20"/>
        </w:rPr>
      </w:pPr>
      <w:r>
        <w:rPr>
          <w:rFonts w:ascii="Calibri" w:eastAsia="Calibri" w:hAnsi="Calibri" w:cs="Calibri"/>
          <w:i/>
          <w:iCs/>
          <w:color w:val="auto"/>
          <w:sz w:val="12"/>
          <w:szCs w:val="12"/>
        </w:rPr>
        <w:t>Juvise Pharmaceutcals</w:t>
      </w:r>
    </w:p>
    <w:p>
      <w:pPr>
        <w:spacing w:after="0" w:line="92"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In June 2022, AbbVie and Laboratories Juvise Pharmaceutcals (Juvise) entered into an asset purchase agreement where Juvise acquired worldwide commercial rights of a mature brand Pylera, which is used for the treatment of peptc ulcers with an infecton by the bacterium Helicobacter pylori. The transacton was accounted for as the sale of an asset. Upon completon of the transacton, AbbVie received net cash proceeds of $215 million and recognized a pre-tax gain of $172 million which was recorded in other operatng income in the consolidated statement of earnings in the second quarter of 2022.</w:t>
      </w:r>
    </w:p>
    <w:p>
      <w:pPr>
        <w:spacing w:after="0" w:line="98"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Other Arrangements</w:t>
      </w:r>
    </w:p>
    <w:p>
      <w:pPr>
        <w:spacing w:after="0" w:line="101"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In additon to the signifcant arrangements described above, AbbVie entered into several other arrangements resultng in charges related to upfront payments of $975 million in 2024, $582 million in 2023 and $315 million in 2022. In connecton with the other individually insignifcant early-stage arrangements entered into in 2024, AbbVie could make additonal payments of up to $10.1 billion upon the achievement of certain development, regulatory and commercial milestones. Acquired IPR&amp;D and milestones expense also included development milestones of $130 million in 2024, $196 million in 2023 and $252 million in 2022.</w:t>
      </w:r>
    </w:p>
    <w:p>
      <w:pPr>
        <w:spacing w:after="0" w:line="143"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6 Collaboratons</w:t>
      </w:r>
    </w:p>
    <w:p>
      <w:pPr>
        <w:spacing w:after="0" w:line="20" w:lineRule="exact"/>
        <w:rPr>
          <w:color w:val="auto"/>
          <w:sz w:val="20"/>
          <w:szCs w:val="20"/>
        </w:rPr>
      </w:pPr>
      <w:r>
        <w:rPr>
          <w:color w:val="auto"/>
          <w:sz w:val="20"/>
          <w:szCs w:val="20"/>
        </w:rPr>
        <w:drawing>
          <wp:anchor simplePos="0" relativeHeight="251832320" behindDoc="1" locked="0" layoutInCell="0" allowOverlap="1">
            <wp:simplePos x="0" y="0"/>
            <wp:positionH relativeFrom="column">
              <wp:posOffset>-4445</wp:posOffset>
            </wp:positionH>
            <wp:positionV relativeFrom="paragraph">
              <wp:posOffset>24130</wp:posOffset>
            </wp:positionV>
            <wp:extent cx="7166610" cy="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25"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company has ongoing transactons with other enttes through collaboraton agreements. The following represent the signifcant collaboraton agreements impactng 2024, 2023 and 2022.</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Collaboraton with Janssen Biotech, Inc.</w:t>
      </w:r>
    </w:p>
    <w:p>
      <w:pPr>
        <w:spacing w:after="0" w:line="101" w:lineRule="exact"/>
        <w:rPr>
          <w:color w:val="auto"/>
          <w:sz w:val="20"/>
          <w:szCs w:val="20"/>
        </w:rPr>
      </w:pPr>
    </w:p>
    <w:p>
      <w:pPr>
        <w:spacing w:after="0" w:line="234" w:lineRule="auto"/>
        <w:ind w:right="200" w:firstLine="297"/>
        <w:rPr>
          <w:color w:val="auto"/>
          <w:sz w:val="20"/>
          <w:szCs w:val="20"/>
        </w:rPr>
      </w:pPr>
      <w:r>
        <w:rPr>
          <w:rFonts w:ascii="Calibri" w:eastAsia="Calibri" w:hAnsi="Calibri" w:cs="Calibri"/>
          <w:color w:val="auto"/>
          <w:sz w:val="12"/>
          <w:szCs w:val="12"/>
        </w:rPr>
        <w:t>In December 2011, Pharmacyclics, a wholly-owned subsidiary of AbbVie, entered into a worldwide collaboraton and license agreement with Janssen Biotech, Inc. and its afliates (Janssen), one of the Janssen Pharmaceutcal companies of Johnson &amp; Johnson, for the joint development and commercializaton of Imbruvica, a novel, orally actve, selectve covalent inhibitor of Bruton's tyrosine kinase and certain compounds structurally related to Imbruvica, for oncology and other indicatons, excluding all immune and infammatory mediated diseases or conditons and all psychiatric or psychological diseases or conditons, in the United States and outside the United States.</w:t>
      </w:r>
    </w:p>
    <w:p>
      <w:pPr>
        <w:spacing w:after="0" w:line="94" w:lineRule="exact"/>
        <w:rPr>
          <w:color w:val="auto"/>
          <w:sz w:val="20"/>
          <w:szCs w:val="20"/>
        </w:rPr>
      </w:pPr>
    </w:p>
    <w:p>
      <w:pPr>
        <w:spacing w:after="0" w:line="235" w:lineRule="auto"/>
        <w:ind w:right="160" w:firstLine="297"/>
        <w:rPr>
          <w:color w:val="auto"/>
          <w:sz w:val="20"/>
          <w:szCs w:val="20"/>
        </w:rPr>
      </w:pPr>
      <w:r>
        <w:rPr>
          <w:rFonts w:ascii="Calibri" w:eastAsia="Calibri" w:hAnsi="Calibri" w:cs="Calibri"/>
          <w:color w:val="auto"/>
          <w:sz w:val="12"/>
          <w:szCs w:val="12"/>
        </w:rPr>
        <w:t>The collaboraton provides Janssen with an exclusive license to commercialize Imbruvica outside of the United States and co-exclusively with AbbVie in the United States. Both partes are responsible for the development, manufacturing and marketng of any products generated as a result of the collaboraton. The collaboraton has no set duraton or specifc expiraton date and provides for potental future development, regulatory and approval milestone payments of up to $200 million to AbbVie. The collaboraton also includes a cost sharing arrangement for associated collaboraton actvites. Except in certain cases, Janssen is responsible for approximately 60% of collaboraton development costs and AbbVie is responsible for the remaining 40% of collaboraton development costs.</w:t>
      </w:r>
    </w:p>
    <w:p>
      <w:pPr>
        <w:spacing w:after="0" w:line="101"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In the United States, both partes have co-exclusive rights to commercialize the products; however, AbbVie is the principal in the end-customer product sales. AbbVie and Janssen share pre-tax profts and losses equally from the commercializaton of products. Sales of Imbruvica are included in AbbVie's net revenues. Janssen's share of profts is included in AbbVie's cost of products sold. Other costs incurred under the collaboraton are reported in their respectve expense line items, net of Janssen's share.</w:t>
      </w:r>
    </w:p>
    <w:p>
      <w:pPr>
        <w:spacing w:after="0" w:line="103"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Outside the United States, Janssen is responsible for and has exclusive rights to commercialize Imbruvica. AbbVie and Janssen share pre-tax profts and losses equally from the commercializaton of products. AbbVie's share of profts is included in AbbVie's net revenues. Other costs incurred under the collaboraton are reported in their respectve expense line items, net of Janssen's share.</w:t>
      </w:r>
    </w:p>
    <w:p>
      <w:pPr>
        <w:spacing w:after="0" w:line="20" w:lineRule="exact"/>
        <w:rPr>
          <w:color w:val="auto"/>
          <w:sz w:val="20"/>
          <w:szCs w:val="20"/>
        </w:rPr>
      </w:pPr>
      <w:r>
        <w:rPr>
          <w:color w:val="auto"/>
          <w:sz w:val="20"/>
          <w:szCs w:val="20"/>
        </w:rPr>
        <w:drawing>
          <wp:anchor simplePos="0" relativeHeight="251833344" behindDoc="1" locked="0" layoutInCell="0" allowOverlap="1">
            <wp:simplePos x="0" y="0"/>
            <wp:positionH relativeFrom="column">
              <wp:posOffset>6475730</wp:posOffset>
            </wp:positionH>
            <wp:positionV relativeFrom="paragraph">
              <wp:posOffset>250825</wp:posOffset>
            </wp:positionV>
            <wp:extent cx="400050" cy="7429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68</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834368" behindDoc="1" locked="0" layoutInCell="0" allowOverlap="1">
            <wp:simplePos x="0" y="0"/>
            <wp:positionH relativeFrom="column">
              <wp:posOffset>7154545</wp:posOffset>
            </wp:positionH>
            <wp:positionV relativeFrom="paragraph">
              <wp:posOffset>-23495</wp:posOffset>
            </wp:positionV>
            <wp:extent cx="31115" cy="3683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35392" behindDoc="1" locked="0" layoutInCell="0" allowOverlap="1">
            <wp:simplePos x="0" y="0"/>
            <wp:positionH relativeFrom="column">
              <wp:posOffset>-17145</wp:posOffset>
            </wp:positionH>
            <wp:positionV relativeFrom="paragraph">
              <wp:posOffset>-23495</wp:posOffset>
            </wp:positionV>
            <wp:extent cx="31115" cy="3683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70" w:name="page71"/>
    <w:bookmarkEnd w:id="70"/>
    <w:p>
      <w:pPr>
        <w:spacing w:after="0"/>
        <w:ind w:left="288"/>
        <w:rPr>
          <w:color w:val="auto"/>
          <w:sz w:val="20"/>
          <w:szCs w:val="20"/>
        </w:rPr>
      </w:pPr>
      <w:r>
        <w:rPr>
          <w:rFonts w:ascii="Calibri" w:eastAsia="Calibri" w:hAnsi="Calibri" w:cs="Calibri"/>
          <w:color w:val="auto"/>
          <w:sz w:val="12"/>
          <w:szCs w:val="12"/>
        </w:rPr>
        <w:t>The following table shows the proft and cost sharing relatonship between Janssen and AbbVie:</w:t>
      </w:r>
    </w:p>
    <w:p>
      <w:pPr>
        <w:spacing w:after="0" w:line="16" w:lineRule="exact"/>
        <w:rPr>
          <w:color w:val="auto"/>
          <w:sz w:val="20"/>
          <w:szCs w:val="20"/>
        </w:rPr>
      </w:pPr>
    </w:p>
    <w:tbl>
      <w:tblPr>
        <w:tblInd w:w="8" w:type="dxa"/>
        <w:tblLayout w:type="fixed"/>
        <w:tblCellMar>
          <w:top w:w="0" w:type="dxa"/>
          <w:left w:w="0" w:type="dxa"/>
          <w:bottom w:w="0" w:type="dxa"/>
          <w:right w:w="0" w:type="dxa"/>
        </w:tblCellMar>
      </w:tblPr>
      <w:tblGrid>
        <w:gridCol w:w="5520"/>
        <w:gridCol w:w="2260"/>
        <w:gridCol w:w="960"/>
        <w:gridCol w:w="340"/>
        <w:gridCol w:w="940"/>
        <w:gridCol w:w="360"/>
        <w:gridCol w:w="920"/>
      </w:tblGrid>
      <w:tr>
        <w:tblPrEx>
          <w:tblInd w:w="8" w:type="dxa"/>
          <w:tblLayout w:type="fixed"/>
        </w:tblPrEx>
        <w:trPr>
          <w:trHeight w:val="122"/>
        </w:trPr>
        <w:tc>
          <w:tcPr>
            <w:tcW w:w="552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2260" w:type="dxa"/>
            <w:vAlign w:val="bottom"/>
          </w:tcPr>
          <w:p>
            <w:pPr>
              <w:spacing w:after="0"/>
              <w:rPr>
                <w:color w:val="auto"/>
                <w:sz w:val="10"/>
                <w:szCs w:val="10"/>
              </w:rPr>
            </w:pPr>
          </w:p>
        </w:tc>
        <w:tc>
          <w:tcPr>
            <w:tcW w:w="960" w:type="dxa"/>
            <w:vAlign w:val="bottom"/>
          </w:tcPr>
          <w:p>
            <w:pPr>
              <w:spacing w:after="0"/>
              <w:ind w:right="483"/>
              <w:jc w:val="right"/>
              <w:rPr>
                <w:color w:val="auto"/>
                <w:sz w:val="20"/>
                <w:szCs w:val="20"/>
              </w:rPr>
            </w:pPr>
            <w:r>
              <w:rPr>
                <w:rFonts w:ascii="Calibri" w:eastAsia="Calibri" w:hAnsi="Calibri" w:cs="Calibri"/>
                <w:b/>
                <w:bCs/>
                <w:color w:val="auto"/>
                <w:sz w:val="10"/>
                <w:szCs w:val="10"/>
              </w:rPr>
              <w:t>2024</w:t>
            </w:r>
          </w:p>
        </w:tc>
        <w:tc>
          <w:tcPr>
            <w:tcW w:w="340" w:type="dxa"/>
            <w:vAlign w:val="bottom"/>
          </w:tcPr>
          <w:p>
            <w:pPr>
              <w:spacing w:after="0"/>
              <w:rPr>
                <w:color w:val="auto"/>
                <w:sz w:val="10"/>
                <w:szCs w:val="10"/>
              </w:rPr>
            </w:pPr>
          </w:p>
        </w:tc>
        <w:tc>
          <w:tcPr>
            <w:tcW w:w="940" w:type="dxa"/>
            <w:vAlign w:val="bottom"/>
          </w:tcPr>
          <w:p>
            <w:pPr>
              <w:spacing w:after="0"/>
              <w:ind w:right="463"/>
              <w:jc w:val="right"/>
              <w:rPr>
                <w:color w:val="auto"/>
                <w:sz w:val="20"/>
                <w:szCs w:val="20"/>
              </w:rPr>
            </w:pPr>
            <w:r>
              <w:rPr>
                <w:rFonts w:ascii="Calibri" w:eastAsia="Calibri" w:hAnsi="Calibri" w:cs="Calibri"/>
                <w:b/>
                <w:bCs/>
                <w:color w:val="auto"/>
                <w:sz w:val="10"/>
                <w:szCs w:val="10"/>
              </w:rPr>
              <w:t>2023</w:t>
            </w:r>
          </w:p>
        </w:tc>
        <w:tc>
          <w:tcPr>
            <w:tcW w:w="360" w:type="dxa"/>
            <w:vAlign w:val="bottom"/>
          </w:tcPr>
          <w:p>
            <w:pPr>
              <w:spacing w:after="0"/>
              <w:rPr>
                <w:color w:val="auto"/>
                <w:sz w:val="10"/>
                <w:szCs w:val="10"/>
              </w:rPr>
            </w:pPr>
          </w:p>
        </w:tc>
        <w:tc>
          <w:tcPr>
            <w:tcW w:w="920" w:type="dxa"/>
            <w:vAlign w:val="bottom"/>
          </w:tcPr>
          <w:p>
            <w:pPr>
              <w:spacing w:after="0"/>
              <w:ind w:right="443"/>
              <w:jc w:val="right"/>
              <w:rPr>
                <w:color w:val="auto"/>
                <w:sz w:val="20"/>
                <w:szCs w:val="20"/>
              </w:rPr>
            </w:pPr>
            <w:r>
              <w:rPr>
                <w:rFonts w:ascii="Calibri" w:eastAsia="Calibri" w:hAnsi="Calibri" w:cs="Calibri"/>
                <w:b/>
                <w:bCs/>
                <w:color w:val="auto"/>
                <w:sz w:val="10"/>
                <w:szCs w:val="10"/>
              </w:rPr>
              <w:t>2022</w:t>
            </w:r>
          </w:p>
        </w:tc>
      </w:tr>
      <w:tr>
        <w:tblPrEx>
          <w:tblInd w:w="8" w:type="dxa"/>
          <w:tblLayout w:type="fixed"/>
        </w:tblPrEx>
        <w:trPr>
          <w:trHeight w:val="32"/>
        </w:trPr>
        <w:tc>
          <w:tcPr>
            <w:tcW w:w="5520" w:type="dxa"/>
            <w:tcBorders>
              <w:bottom w:val="single" w:sz="8" w:space="0" w:color="auto"/>
            </w:tcBorders>
            <w:vAlign w:val="bottom"/>
          </w:tcPr>
          <w:p>
            <w:pPr>
              <w:spacing w:after="0"/>
              <w:rPr>
                <w:color w:val="auto"/>
                <w:sz w:val="2"/>
                <w:szCs w:val="2"/>
              </w:rPr>
            </w:pPr>
          </w:p>
        </w:tc>
        <w:tc>
          <w:tcPr>
            <w:tcW w:w="2260" w:type="dxa"/>
            <w:tcBorders>
              <w:bottom w:val="single" w:sz="8" w:space="0" w:color="auto"/>
            </w:tcBorders>
            <w:vAlign w:val="bottom"/>
          </w:tcPr>
          <w:p>
            <w:pPr>
              <w:spacing w:after="0"/>
              <w:rPr>
                <w:color w:val="auto"/>
                <w:sz w:val="2"/>
                <w:szCs w:val="2"/>
              </w:rPr>
            </w:pPr>
          </w:p>
        </w:tc>
        <w:tc>
          <w:tcPr>
            <w:tcW w:w="96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c>
          <w:tcPr>
            <w:tcW w:w="3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r>
      <w:tr>
        <w:tblPrEx>
          <w:tblInd w:w="8" w:type="dxa"/>
          <w:tblLayout w:type="fixed"/>
        </w:tblPrEx>
        <w:trPr>
          <w:trHeight w:val="142"/>
        </w:trPr>
        <w:tc>
          <w:tcPr>
            <w:tcW w:w="55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United States - Janssen's share of profts (included in cost of products sold)</w:t>
            </w:r>
          </w:p>
        </w:tc>
        <w:tc>
          <w:tcPr>
            <w:tcW w:w="2260" w:type="dxa"/>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960" w:type="dxa"/>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1,140</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4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1,245</w:t>
            </w:r>
          </w:p>
        </w:tc>
        <w:tc>
          <w:tcPr>
            <w:tcW w:w="36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2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1,607</w:t>
            </w:r>
          </w:p>
        </w:tc>
      </w:tr>
      <w:tr>
        <w:tblPrEx>
          <w:tblInd w:w="8" w:type="dxa"/>
          <w:tblLayout w:type="fixed"/>
        </w:tblPrEx>
        <w:trPr>
          <w:trHeight w:val="147"/>
        </w:trPr>
        <w:tc>
          <w:tcPr>
            <w:tcW w:w="5520" w:type="dxa"/>
            <w:vAlign w:val="bottom"/>
          </w:tcPr>
          <w:p>
            <w:pPr>
              <w:spacing w:after="0" w:line="142" w:lineRule="exact"/>
              <w:rPr>
                <w:color w:val="auto"/>
                <w:sz w:val="20"/>
                <w:szCs w:val="20"/>
              </w:rPr>
            </w:pPr>
            <w:r>
              <w:rPr>
                <w:rFonts w:ascii="Calibri" w:eastAsia="Calibri" w:hAnsi="Calibri" w:cs="Calibri"/>
                <w:color w:val="auto"/>
                <w:sz w:val="12"/>
                <w:szCs w:val="12"/>
              </w:rPr>
              <w:t>Internatonal - AbbVie's share of profts (included in net revenues)</w:t>
            </w:r>
          </w:p>
        </w:tc>
        <w:tc>
          <w:tcPr>
            <w:tcW w:w="2260" w:type="dxa"/>
            <w:vAlign w:val="bottom"/>
          </w:tcPr>
          <w:p>
            <w:pPr>
              <w:spacing w:after="0"/>
              <w:rPr>
                <w:color w:val="auto"/>
                <w:sz w:val="12"/>
                <w:szCs w:val="12"/>
              </w:rPr>
            </w:pPr>
          </w:p>
        </w:tc>
        <w:tc>
          <w:tcPr>
            <w:tcW w:w="960" w:type="dxa"/>
            <w:vAlign w:val="bottom"/>
          </w:tcPr>
          <w:p>
            <w:pPr>
              <w:spacing w:after="0" w:line="142" w:lineRule="exact"/>
              <w:ind w:right="23"/>
              <w:jc w:val="right"/>
              <w:rPr>
                <w:color w:val="auto"/>
                <w:sz w:val="20"/>
                <w:szCs w:val="20"/>
              </w:rPr>
            </w:pPr>
            <w:r>
              <w:rPr>
                <w:rFonts w:ascii="Calibri" w:eastAsia="Calibri" w:hAnsi="Calibri" w:cs="Calibri"/>
                <w:color w:val="auto"/>
                <w:sz w:val="12"/>
                <w:szCs w:val="12"/>
              </w:rPr>
              <w:t>899</w:t>
            </w:r>
          </w:p>
        </w:tc>
        <w:tc>
          <w:tcPr>
            <w:tcW w:w="340" w:type="dxa"/>
            <w:vAlign w:val="bottom"/>
          </w:tcPr>
          <w:p>
            <w:pPr>
              <w:spacing w:after="0"/>
              <w:rPr>
                <w:color w:val="auto"/>
                <w:sz w:val="12"/>
                <w:szCs w:val="12"/>
              </w:rPr>
            </w:pPr>
          </w:p>
        </w:tc>
        <w:tc>
          <w:tcPr>
            <w:tcW w:w="94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931</w:t>
            </w:r>
          </w:p>
        </w:tc>
        <w:tc>
          <w:tcPr>
            <w:tcW w:w="360" w:type="dxa"/>
            <w:vAlign w:val="bottom"/>
          </w:tcPr>
          <w:p>
            <w:pPr>
              <w:spacing w:after="0"/>
              <w:rPr>
                <w:color w:val="auto"/>
                <w:sz w:val="12"/>
                <w:szCs w:val="12"/>
              </w:rPr>
            </w:pPr>
          </w:p>
        </w:tc>
        <w:tc>
          <w:tcPr>
            <w:tcW w:w="920" w:type="dxa"/>
            <w:vAlign w:val="bottom"/>
          </w:tcPr>
          <w:p>
            <w:pPr>
              <w:spacing w:after="0" w:line="142" w:lineRule="exact"/>
              <w:jc w:val="right"/>
              <w:rPr>
                <w:color w:val="auto"/>
                <w:sz w:val="20"/>
                <w:szCs w:val="20"/>
              </w:rPr>
            </w:pPr>
            <w:r>
              <w:rPr>
                <w:rFonts w:ascii="Calibri" w:eastAsia="Calibri" w:hAnsi="Calibri" w:cs="Calibri"/>
                <w:color w:val="auto"/>
                <w:sz w:val="12"/>
                <w:szCs w:val="12"/>
              </w:rPr>
              <w:t>1,142</w:t>
            </w:r>
          </w:p>
        </w:tc>
      </w:tr>
      <w:tr>
        <w:tblPrEx>
          <w:tblInd w:w="8" w:type="dxa"/>
          <w:tblLayout w:type="fixed"/>
        </w:tblPrEx>
        <w:trPr>
          <w:trHeight w:val="153"/>
        </w:trPr>
        <w:tc>
          <w:tcPr>
            <w:tcW w:w="552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Global - AbbVie's share of other costs (included in respectve line items)</w:t>
            </w:r>
          </w:p>
        </w:tc>
        <w:tc>
          <w:tcPr>
            <w:tcW w:w="2260" w:type="dxa"/>
            <w:tcBorders>
              <w:bottom w:val="single" w:sz="8" w:space="0" w:color="auto"/>
            </w:tcBorders>
            <w:shd w:val="clear" w:color="auto" w:fill="CCEEFF"/>
            <w:vAlign w:val="bottom"/>
          </w:tcPr>
          <w:p>
            <w:pPr>
              <w:spacing w:after="0"/>
              <w:rPr>
                <w:color w:val="auto"/>
                <w:sz w:val="13"/>
                <w:szCs w:val="13"/>
              </w:rPr>
            </w:pPr>
          </w:p>
        </w:tc>
        <w:tc>
          <w:tcPr>
            <w:tcW w:w="960" w:type="dxa"/>
            <w:tcBorders>
              <w:bottom w:val="single" w:sz="8" w:space="0" w:color="auto"/>
            </w:tcBorders>
            <w:shd w:val="clear" w:color="auto" w:fill="CCEEFF"/>
            <w:vAlign w:val="bottom"/>
          </w:tcPr>
          <w:p>
            <w:pPr>
              <w:spacing w:after="0"/>
              <w:ind w:right="23"/>
              <w:jc w:val="right"/>
              <w:rPr>
                <w:color w:val="auto"/>
                <w:sz w:val="20"/>
                <w:szCs w:val="20"/>
              </w:rPr>
            </w:pPr>
            <w:r>
              <w:rPr>
                <w:rFonts w:ascii="Calibri" w:eastAsia="Calibri" w:hAnsi="Calibri" w:cs="Calibri"/>
                <w:color w:val="auto"/>
                <w:sz w:val="12"/>
                <w:szCs w:val="12"/>
              </w:rPr>
              <w:t>162</w:t>
            </w:r>
          </w:p>
        </w:tc>
        <w:tc>
          <w:tcPr>
            <w:tcW w:w="340" w:type="dxa"/>
            <w:tcBorders>
              <w:bottom w:val="single" w:sz="8" w:space="0" w:color="auto"/>
            </w:tcBorders>
            <w:shd w:val="clear" w:color="auto" w:fill="CCEEFF"/>
            <w:vAlign w:val="bottom"/>
          </w:tcPr>
          <w:p>
            <w:pPr>
              <w:spacing w:after="0"/>
              <w:rPr>
                <w:color w:val="auto"/>
                <w:sz w:val="13"/>
                <w:szCs w:val="13"/>
              </w:rPr>
            </w:pPr>
          </w:p>
        </w:tc>
        <w:tc>
          <w:tcPr>
            <w:tcW w:w="940" w:type="dxa"/>
            <w:tcBorders>
              <w:bottom w:val="single" w:sz="8" w:space="0" w:color="auto"/>
            </w:tcBorders>
            <w:shd w:val="clear" w:color="auto" w:fill="CCEEFF"/>
            <w:vAlign w:val="bottom"/>
          </w:tcPr>
          <w:p>
            <w:pPr>
              <w:spacing w:after="0"/>
              <w:ind w:right="3"/>
              <w:jc w:val="right"/>
              <w:rPr>
                <w:color w:val="auto"/>
                <w:sz w:val="20"/>
                <w:szCs w:val="20"/>
              </w:rPr>
            </w:pPr>
            <w:r>
              <w:rPr>
                <w:rFonts w:ascii="Calibri" w:eastAsia="Calibri" w:hAnsi="Calibri" w:cs="Calibri"/>
                <w:color w:val="auto"/>
                <w:sz w:val="12"/>
                <w:szCs w:val="12"/>
              </w:rPr>
              <w:t>228</w:t>
            </w:r>
          </w:p>
        </w:tc>
        <w:tc>
          <w:tcPr>
            <w:tcW w:w="360" w:type="dxa"/>
            <w:tcBorders>
              <w:bottom w:val="single" w:sz="8" w:space="0" w:color="auto"/>
            </w:tcBorders>
            <w:shd w:val="clear" w:color="auto" w:fill="CCEEFF"/>
            <w:vAlign w:val="bottom"/>
          </w:tcPr>
          <w:p>
            <w:pPr>
              <w:spacing w:after="0"/>
              <w:rPr>
                <w:color w:val="auto"/>
                <w:sz w:val="13"/>
                <w:szCs w:val="13"/>
              </w:rPr>
            </w:pPr>
          </w:p>
        </w:tc>
        <w:tc>
          <w:tcPr>
            <w:tcW w:w="9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268</w:t>
            </w:r>
          </w:p>
        </w:tc>
      </w:tr>
    </w:tbl>
    <w:p>
      <w:pPr>
        <w:spacing w:after="0" w:line="138" w:lineRule="exact"/>
        <w:rPr>
          <w:color w:val="auto"/>
          <w:sz w:val="20"/>
          <w:szCs w:val="20"/>
        </w:rPr>
      </w:pPr>
    </w:p>
    <w:p>
      <w:pPr>
        <w:spacing w:after="0" w:line="234" w:lineRule="auto"/>
        <w:ind w:left="8" w:right="440" w:firstLine="297"/>
        <w:rPr>
          <w:color w:val="auto"/>
          <w:sz w:val="20"/>
          <w:szCs w:val="20"/>
        </w:rPr>
      </w:pPr>
      <w:r>
        <w:rPr>
          <w:rFonts w:ascii="Calibri" w:eastAsia="Calibri" w:hAnsi="Calibri" w:cs="Calibri"/>
          <w:color w:val="auto"/>
          <w:sz w:val="12"/>
          <w:szCs w:val="12"/>
        </w:rPr>
        <w:t>AbbVie’s receivable from Janssen, included in accounts receivable, net, was $237 million at December 31, 2024 and $236 million at December 31, 2023. AbbVie’s payable to Janssen, included in accounts payable and accrued liabilites, was $282 million at December 31, 2024 and $307 million at December 31, 2023.</w:t>
      </w:r>
    </w:p>
    <w:p>
      <w:pPr>
        <w:spacing w:after="0" w:line="97" w:lineRule="exact"/>
        <w:rPr>
          <w:color w:val="auto"/>
          <w:sz w:val="20"/>
          <w:szCs w:val="20"/>
        </w:rPr>
      </w:pPr>
    </w:p>
    <w:p>
      <w:pPr>
        <w:spacing w:after="0"/>
        <w:ind w:left="8"/>
        <w:rPr>
          <w:color w:val="auto"/>
          <w:sz w:val="20"/>
          <w:szCs w:val="20"/>
        </w:rPr>
      </w:pPr>
      <w:r>
        <w:rPr>
          <w:rFonts w:ascii="Calibri" w:eastAsia="Calibri" w:hAnsi="Calibri" w:cs="Calibri"/>
          <w:b/>
          <w:bCs/>
          <w:color w:val="444867"/>
          <w:sz w:val="12"/>
          <w:szCs w:val="12"/>
        </w:rPr>
        <w:t>Collaboraton with Genentech, Inc.</w:t>
      </w:r>
    </w:p>
    <w:p>
      <w:pPr>
        <w:spacing w:after="0" w:line="92" w:lineRule="exact"/>
        <w:rPr>
          <w:color w:val="auto"/>
          <w:sz w:val="20"/>
          <w:szCs w:val="20"/>
        </w:rPr>
      </w:pPr>
    </w:p>
    <w:p>
      <w:pPr>
        <w:spacing w:after="0" w:line="234" w:lineRule="auto"/>
        <w:ind w:left="8" w:right="80" w:firstLine="297"/>
        <w:rPr>
          <w:color w:val="auto"/>
          <w:sz w:val="20"/>
          <w:szCs w:val="20"/>
        </w:rPr>
      </w:pPr>
      <w:r>
        <w:rPr>
          <w:rFonts w:ascii="Calibri" w:eastAsia="Calibri" w:hAnsi="Calibri" w:cs="Calibri"/>
          <w:color w:val="auto"/>
          <w:sz w:val="12"/>
          <w:szCs w:val="12"/>
        </w:rPr>
        <w:t>AbbVie and Genentech, Inc. (Genentech), a member of the Roche Group, are partes to a collaboraton and license agreement executed in 2007 to jointly research, develop and commercialize human therapeutc products containing BCL-2 inhibitors and certain other compound inhibitors which includes Venclexta, a BCL-2 inhibitor used to treat certain hematological malignancies. AbbVie shares equally with Genentech all pre-tax profts and losses from the development and commercializaton of Venclexta in the United States. AbbVie pays royaltes on Venclexta net revenues outside the United States.</w:t>
      </w:r>
    </w:p>
    <w:p>
      <w:pPr>
        <w:spacing w:after="0" w:line="103" w:lineRule="exact"/>
        <w:rPr>
          <w:color w:val="auto"/>
          <w:sz w:val="20"/>
          <w:szCs w:val="20"/>
        </w:rPr>
      </w:pPr>
    </w:p>
    <w:p>
      <w:pPr>
        <w:spacing w:after="0" w:line="234" w:lineRule="auto"/>
        <w:ind w:left="8" w:right="20" w:firstLine="297"/>
        <w:rPr>
          <w:color w:val="auto"/>
          <w:sz w:val="20"/>
          <w:szCs w:val="20"/>
        </w:rPr>
      </w:pPr>
      <w:r>
        <w:rPr>
          <w:rFonts w:ascii="Calibri" w:eastAsia="Calibri" w:hAnsi="Calibri" w:cs="Calibri"/>
          <w:color w:val="auto"/>
          <w:sz w:val="12"/>
          <w:szCs w:val="12"/>
        </w:rPr>
        <w:t>AbbVie manufactures and distributes Venclexta globally and is the principal in the end-customer product sales. Sales of Venclexta are included in AbbVie's net revenues. Genentech's share of United States profts is included in AbbVie's cost of products sold. AbbVie records sales and marketng costs associated with the United States collaboraton as part of SG&amp;A expenses and global development costs as part of R&amp;D expenses, net of Genentech’s share. Royaltes paid for Venclexta revenues outside the United States are also included in AbbVie’s cost of products sold.</w:t>
      </w:r>
    </w:p>
    <w:p>
      <w:pPr>
        <w:spacing w:after="0" w:line="98" w:lineRule="exact"/>
        <w:rPr>
          <w:color w:val="auto"/>
          <w:sz w:val="20"/>
          <w:szCs w:val="20"/>
        </w:rPr>
      </w:pPr>
    </w:p>
    <w:p>
      <w:pPr>
        <w:spacing w:after="0"/>
        <w:ind w:left="288"/>
        <w:rPr>
          <w:color w:val="auto"/>
          <w:sz w:val="20"/>
          <w:szCs w:val="20"/>
        </w:rPr>
      </w:pPr>
      <w:r>
        <w:rPr>
          <w:rFonts w:ascii="Calibri" w:eastAsia="Calibri" w:hAnsi="Calibri" w:cs="Calibri"/>
          <w:color w:val="auto"/>
          <w:sz w:val="12"/>
          <w:szCs w:val="12"/>
        </w:rPr>
        <w:t>The following table shows the proft and cost sharing relatonship between Genentech and AbbVie:</w:t>
      </w:r>
    </w:p>
    <w:p>
      <w:pPr>
        <w:spacing w:after="0" w:line="16" w:lineRule="exact"/>
        <w:rPr>
          <w:color w:val="auto"/>
          <w:sz w:val="20"/>
          <w:szCs w:val="20"/>
        </w:rPr>
      </w:pPr>
    </w:p>
    <w:tbl>
      <w:tblPr>
        <w:tblInd w:w="8" w:type="dxa"/>
        <w:tblLayout w:type="fixed"/>
        <w:tblCellMar>
          <w:top w:w="0" w:type="dxa"/>
          <w:left w:w="0" w:type="dxa"/>
          <w:bottom w:w="0" w:type="dxa"/>
          <w:right w:w="0" w:type="dxa"/>
        </w:tblCellMar>
      </w:tblPr>
      <w:tblGrid>
        <w:gridCol w:w="5800"/>
        <w:gridCol w:w="1980"/>
        <w:gridCol w:w="960"/>
        <w:gridCol w:w="340"/>
        <w:gridCol w:w="900"/>
        <w:gridCol w:w="400"/>
        <w:gridCol w:w="880"/>
        <w:gridCol w:w="20"/>
        <w:gridCol w:w="20"/>
      </w:tblGrid>
      <w:tr>
        <w:tblPrEx>
          <w:tblInd w:w="8" w:type="dxa"/>
          <w:tblLayout w:type="fixed"/>
        </w:tblPrEx>
        <w:trPr>
          <w:trHeight w:val="122"/>
        </w:trPr>
        <w:tc>
          <w:tcPr>
            <w:tcW w:w="580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1980" w:type="dxa"/>
            <w:vAlign w:val="bottom"/>
          </w:tcPr>
          <w:p>
            <w:pPr>
              <w:spacing w:after="0"/>
              <w:rPr>
                <w:color w:val="auto"/>
                <w:sz w:val="10"/>
                <w:szCs w:val="10"/>
              </w:rPr>
            </w:pPr>
          </w:p>
        </w:tc>
        <w:tc>
          <w:tcPr>
            <w:tcW w:w="960" w:type="dxa"/>
            <w:vAlign w:val="bottom"/>
          </w:tcPr>
          <w:p>
            <w:pPr>
              <w:spacing w:after="0"/>
              <w:ind w:right="483"/>
              <w:jc w:val="right"/>
              <w:rPr>
                <w:color w:val="auto"/>
                <w:sz w:val="20"/>
                <w:szCs w:val="20"/>
              </w:rPr>
            </w:pPr>
            <w:r>
              <w:rPr>
                <w:rFonts w:ascii="Calibri" w:eastAsia="Calibri" w:hAnsi="Calibri" w:cs="Calibri"/>
                <w:b/>
                <w:bCs/>
                <w:color w:val="auto"/>
                <w:sz w:val="10"/>
                <w:szCs w:val="10"/>
              </w:rPr>
              <w:t>2024</w:t>
            </w:r>
          </w:p>
        </w:tc>
        <w:tc>
          <w:tcPr>
            <w:tcW w:w="340" w:type="dxa"/>
            <w:vAlign w:val="bottom"/>
          </w:tcPr>
          <w:p>
            <w:pPr>
              <w:spacing w:after="0"/>
              <w:rPr>
                <w:color w:val="auto"/>
                <w:sz w:val="10"/>
                <w:szCs w:val="10"/>
              </w:rPr>
            </w:pPr>
          </w:p>
        </w:tc>
        <w:tc>
          <w:tcPr>
            <w:tcW w:w="900" w:type="dxa"/>
            <w:vAlign w:val="bottom"/>
          </w:tcPr>
          <w:p>
            <w:pPr>
              <w:spacing w:after="0"/>
              <w:ind w:right="423"/>
              <w:jc w:val="right"/>
              <w:rPr>
                <w:color w:val="auto"/>
                <w:sz w:val="20"/>
                <w:szCs w:val="20"/>
              </w:rPr>
            </w:pPr>
            <w:r>
              <w:rPr>
                <w:rFonts w:ascii="Calibri" w:eastAsia="Calibri" w:hAnsi="Calibri" w:cs="Calibri"/>
                <w:b/>
                <w:bCs/>
                <w:color w:val="auto"/>
                <w:sz w:val="10"/>
                <w:szCs w:val="10"/>
              </w:rPr>
              <w:t>2023</w:t>
            </w:r>
          </w:p>
        </w:tc>
        <w:tc>
          <w:tcPr>
            <w:tcW w:w="400" w:type="dxa"/>
            <w:vAlign w:val="bottom"/>
          </w:tcPr>
          <w:p>
            <w:pPr>
              <w:spacing w:after="0"/>
              <w:rPr>
                <w:color w:val="auto"/>
                <w:sz w:val="10"/>
                <w:szCs w:val="10"/>
              </w:rPr>
            </w:pPr>
          </w:p>
        </w:tc>
        <w:tc>
          <w:tcPr>
            <w:tcW w:w="880" w:type="dxa"/>
            <w:vAlign w:val="bottom"/>
          </w:tcPr>
          <w:p>
            <w:pPr>
              <w:spacing w:after="0"/>
              <w:ind w:right="401"/>
              <w:jc w:val="right"/>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10"/>
                <w:szCs w:val="10"/>
              </w:rPr>
            </w:pPr>
          </w:p>
        </w:tc>
        <w:tc>
          <w:tcPr>
            <w:tcW w:w="20" w:type="dxa"/>
            <w:vAlign w:val="bottom"/>
          </w:tcPr>
          <w:p>
            <w:pPr>
              <w:spacing w:after="0"/>
              <w:rPr>
                <w:color w:val="auto"/>
                <w:sz w:val="10"/>
                <w:szCs w:val="10"/>
              </w:rPr>
            </w:pPr>
          </w:p>
        </w:tc>
      </w:tr>
      <w:tr>
        <w:tblPrEx>
          <w:tblInd w:w="8" w:type="dxa"/>
          <w:tblLayout w:type="fixed"/>
        </w:tblPrEx>
        <w:trPr>
          <w:trHeight w:val="32"/>
        </w:trPr>
        <w:tc>
          <w:tcPr>
            <w:tcW w:w="5800" w:type="dxa"/>
            <w:tcBorders>
              <w:bottom w:val="single" w:sz="8" w:space="0" w:color="auto"/>
            </w:tcBorders>
            <w:vAlign w:val="bottom"/>
          </w:tcPr>
          <w:p>
            <w:pPr>
              <w:spacing w:after="0"/>
              <w:rPr>
                <w:color w:val="auto"/>
                <w:sz w:val="2"/>
                <w:szCs w:val="2"/>
              </w:rPr>
            </w:pPr>
          </w:p>
        </w:tc>
        <w:tc>
          <w:tcPr>
            <w:tcW w:w="1980" w:type="dxa"/>
            <w:tcBorders>
              <w:bottom w:val="single" w:sz="8" w:space="0" w:color="auto"/>
            </w:tcBorders>
            <w:vAlign w:val="bottom"/>
          </w:tcPr>
          <w:p>
            <w:pPr>
              <w:spacing w:after="0"/>
              <w:rPr>
                <w:color w:val="auto"/>
                <w:sz w:val="2"/>
                <w:szCs w:val="2"/>
              </w:rPr>
            </w:pPr>
          </w:p>
        </w:tc>
        <w:tc>
          <w:tcPr>
            <w:tcW w:w="96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90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20" w:type="dxa"/>
            <w:tcBorders>
              <w:bottom w:val="single" w:sz="8" w:space="0" w:color="auto"/>
            </w:tcBorders>
            <w:vAlign w:val="bottom"/>
          </w:tcPr>
          <w:p>
            <w:pPr>
              <w:spacing w:after="0"/>
              <w:rPr>
                <w:color w:val="auto"/>
                <w:sz w:val="2"/>
                <w:szCs w:val="2"/>
              </w:rPr>
            </w:pPr>
          </w:p>
        </w:tc>
        <w:tc>
          <w:tcPr>
            <w:tcW w:w="20" w:type="dxa"/>
            <w:tcBorders>
              <w:bottom w:val="single" w:sz="8" w:space="0" w:color="auto"/>
            </w:tcBorders>
            <w:vAlign w:val="bottom"/>
          </w:tcPr>
          <w:p>
            <w:pPr>
              <w:spacing w:after="0"/>
              <w:rPr>
                <w:color w:val="auto"/>
                <w:sz w:val="2"/>
                <w:szCs w:val="2"/>
              </w:rPr>
            </w:pPr>
          </w:p>
        </w:tc>
      </w:tr>
      <w:tr>
        <w:tblPrEx>
          <w:tblInd w:w="8" w:type="dxa"/>
          <w:tblLayout w:type="fixed"/>
        </w:tblPrEx>
        <w:trPr>
          <w:trHeight w:val="142"/>
        </w:trPr>
        <w:tc>
          <w:tcPr>
            <w:tcW w:w="58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Genentech's share of profts, including royaltes (included in cost of products sold)</w:t>
            </w:r>
          </w:p>
        </w:tc>
        <w:tc>
          <w:tcPr>
            <w:tcW w:w="1980" w:type="dxa"/>
            <w:shd w:val="clear" w:color="auto" w:fill="CCEEFF"/>
            <w:vAlign w:val="bottom"/>
          </w:tcPr>
          <w:p>
            <w:pPr>
              <w:spacing w:after="0" w:line="142" w:lineRule="exact"/>
              <w:ind w:right="140"/>
              <w:jc w:val="right"/>
              <w:rPr>
                <w:color w:val="auto"/>
                <w:sz w:val="20"/>
                <w:szCs w:val="20"/>
              </w:rPr>
            </w:pPr>
            <w:r>
              <w:rPr>
                <w:rFonts w:ascii="Calibri" w:eastAsia="Calibri" w:hAnsi="Calibri" w:cs="Calibri"/>
                <w:color w:val="auto"/>
                <w:sz w:val="12"/>
                <w:szCs w:val="12"/>
              </w:rPr>
              <w:t>$</w:t>
            </w:r>
          </w:p>
        </w:tc>
        <w:tc>
          <w:tcPr>
            <w:tcW w:w="960" w:type="dxa"/>
            <w:shd w:val="clear" w:color="auto" w:fill="CCEEFF"/>
            <w:vAlign w:val="bottom"/>
          </w:tcPr>
          <w:p>
            <w:pPr>
              <w:spacing w:after="0" w:line="142" w:lineRule="exact"/>
              <w:ind w:right="23"/>
              <w:jc w:val="right"/>
              <w:rPr>
                <w:color w:val="auto"/>
                <w:sz w:val="20"/>
                <w:szCs w:val="20"/>
              </w:rPr>
            </w:pPr>
            <w:r>
              <w:rPr>
                <w:rFonts w:ascii="Calibri" w:eastAsia="Calibri" w:hAnsi="Calibri" w:cs="Calibri"/>
                <w:color w:val="auto"/>
                <w:sz w:val="12"/>
                <w:szCs w:val="12"/>
              </w:rPr>
              <w:t>990</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869</w:t>
            </w:r>
          </w:p>
        </w:tc>
        <w:tc>
          <w:tcPr>
            <w:tcW w:w="40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8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778</w:t>
            </w:r>
          </w:p>
        </w:tc>
        <w:tc>
          <w:tcPr>
            <w:tcW w:w="20" w:type="dxa"/>
            <w:shd w:val="clear" w:color="auto" w:fill="CCEEFF"/>
            <w:vAlign w:val="bottom"/>
          </w:tcPr>
          <w:p>
            <w:pPr>
              <w:spacing w:after="0"/>
              <w:rPr>
                <w:color w:val="auto"/>
                <w:sz w:val="12"/>
                <w:szCs w:val="12"/>
              </w:rPr>
            </w:pPr>
          </w:p>
        </w:tc>
        <w:tc>
          <w:tcPr>
            <w:tcW w:w="20" w:type="dxa"/>
            <w:shd w:val="clear" w:color="auto" w:fill="CCEEFF"/>
            <w:vAlign w:val="bottom"/>
          </w:tcPr>
          <w:p>
            <w:pPr>
              <w:spacing w:after="0"/>
              <w:rPr>
                <w:color w:val="auto"/>
                <w:sz w:val="12"/>
                <w:szCs w:val="12"/>
              </w:rPr>
            </w:pPr>
          </w:p>
        </w:tc>
      </w:tr>
      <w:tr>
        <w:tblPrEx>
          <w:tblInd w:w="8" w:type="dxa"/>
          <w:tblLayout w:type="fixed"/>
        </w:tblPrEx>
        <w:trPr>
          <w:trHeight w:val="147"/>
        </w:trPr>
        <w:tc>
          <w:tcPr>
            <w:tcW w:w="5800" w:type="dxa"/>
            <w:vAlign w:val="bottom"/>
          </w:tcPr>
          <w:p>
            <w:pPr>
              <w:spacing w:after="0" w:line="142" w:lineRule="exact"/>
              <w:rPr>
                <w:color w:val="auto"/>
                <w:sz w:val="20"/>
                <w:szCs w:val="20"/>
              </w:rPr>
            </w:pPr>
            <w:r>
              <w:rPr>
                <w:rFonts w:ascii="Calibri" w:eastAsia="Calibri" w:hAnsi="Calibri" w:cs="Calibri"/>
                <w:color w:val="auto"/>
                <w:sz w:val="12"/>
                <w:szCs w:val="12"/>
              </w:rPr>
              <w:t>AbbVie's share of sales and marketng costs from U.S. collaboraton (included in SG&amp;A)</w:t>
            </w:r>
          </w:p>
        </w:tc>
        <w:tc>
          <w:tcPr>
            <w:tcW w:w="1980" w:type="dxa"/>
            <w:vAlign w:val="bottom"/>
          </w:tcPr>
          <w:p>
            <w:pPr>
              <w:spacing w:after="0"/>
              <w:rPr>
                <w:color w:val="auto"/>
                <w:sz w:val="12"/>
                <w:szCs w:val="12"/>
              </w:rPr>
            </w:pPr>
          </w:p>
        </w:tc>
        <w:tc>
          <w:tcPr>
            <w:tcW w:w="960" w:type="dxa"/>
            <w:vAlign w:val="bottom"/>
          </w:tcPr>
          <w:p>
            <w:pPr>
              <w:spacing w:after="0" w:line="142" w:lineRule="exact"/>
              <w:ind w:right="23"/>
              <w:jc w:val="right"/>
              <w:rPr>
                <w:color w:val="auto"/>
                <w:sz w:val="20"/>
                <w:szCs w:val="20"/>
              </w:rPr>
            </w:pPr>
            <w:r>
              <w:rPr>
                <w:rFonts w:ascii="Calibri" w:eastAsia="Calibri" w:hAnsi="Calibri" w:cs="Calibri"/>
                <w:color w:val="auto"/>
                <w:sz w:val="12"/>
                <w:szCs w:val="12"/>
              </w:rPr>
              <w:t>29</w:t>
            </w:r>
          </w:p>
        </w:tc>
        <w:tc>
          <w:tcPr>
            <w:tcW w:w="340" w:type="dxa"/>
            <w:vAlign w:val="bottom"/>
          </w:tcPr>
          <w:p>
            <w:pPr>
              <w:spacing w:after="0"/>
              <w:rPr>
                <w:color w:val="auto"/>
                <w:sz w:val="12"/>
                <w:szCs w:val="12"/>
              </w:rPr>
            </w:pPr>
          </w:p>
        </w:tc>
        <w:tc>
          <w:tcPr>
            <w:tcW w:w="900" w:type="dxa"/>
            <w:vAlign w:val="bottom"/>
          </w:tcPr>
          <w:p>
            <w:pPr>
              <w:spacing w:after="0" w:line="142" w:lineRule="exact"/>
              <w:jc w:val="right"/>
              <w:rPr>
                <w:color w:val="auto"/>
                <w:sz w:val="20"/>
                <w:szCs w:val="20"/>
              </w:rPr>
            </w:pPr>
            <w:r>
              <w:rPr>
                <w:rFonts w:ascii="Calibri" w:eastAsia="Calibri" w:hAnsi="Calibri" w:cs="Calibri"/>
                <w:color w:val="auto"/>
                <w:sz w:val="12"/>
                <w:szCs w:val="12"/>
              </w:rPr>
              <w:t>41</w:t>
            </w:r>
          </w:p>
        </w:tc>
        <w:tc>
          <w:tcPr>
            <w:tcW w:w="400" w:type="dxa"/>
            <w:vAlign w:val="bottom"/>
          </w:tcPr>
          <w:p>
            <w:pPr>
              <w:spacing w:after="0"/>
              <w:rPr>
                <w:color w:val="auto"/>
                <w:sz w:val="12"/>
                <w:szCs w:val="12"/>
              </w:rPr>
            </w:pPr>
          </w:p>
        </w:tc>
        <w:tc>
          <w:tcPr>
            <w:tcW w:w="880" w:type="dxa"/>
            <w:vAlign w:val="bottom"/>
          </w:tcPr>
          <w:p>
            <w:pPr>
              <w:spacing w:after="0" w:line="142" w:lineRule="exact"/>
              <w:jc w:val="right"/>
              <w:rPr>
                <w:color w:val="auto"/>
                <w:sz w:val="20"/>
                <w:szCs w:val="20"/>
              </w:rPr>
            </w:pPr>
            <w:r>
              <w:rPr>
                <w:rFonts w:ascii="Calibri" w:eastAsia="Calibri" w:hAnsi="Calibri" w:cs="Calibri"/>
                <w:color w:val="auto"/>
                <w:sz w:val="12"/>
                <w:szCs w:val="12"/>
              </w:rPr>
              <w:t>37</w:t>
            </w:r>
          </w:p>
        </w:tc>
        <w:tc>
          <w:tcPr>
            <w:tcW w:w="2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8" w:type="dxa"/>
          <w:tblLayout w:type="fixed"/>
        </w:tblPrEx>
        <w:trPr>
          <w:trHeight w:val="153"/>
        </w:trPr>
        <w:tc>
          <w:tcPr>
            <w:tcW w:w="580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AbbVie's share of development costs (included in R&amp;D)</w:t>
            </w:r>
          </w:p>
        </w:tc>
        <w:tc>
          <w:tcPr>
            <w:tcW w:w="1980" w:type="dxa"/>
            <w:tcBorders>
              <w:bottom w:val="single" w:sz="8" w:space="0" w:color="auto"/>
            </w:tcBorders>
            <w:shd w:val="clear" w:color="auto" w:fill="CCEEFF"/>
            <w:vAlign w:val="bottom"/>
          </w:tcPr>
          <w:p>
            <w:pPr>
              <w:spacing w:after="0"/>
              <w:rPr>
                <w:color w:val="auto"/>
                <w:sz w:val="13"/>
                <w:szCs w:val="13"/>
              </w:rPr>
            </w:pPr>
          </w:p>
        </w:tc>
        <w:tc>
          <w:tcPr>
            <w:tcW w:w="960" w:type="dxa"/>
            <w:tcBorders>
              <w:bottom w:val="single" w:sz="8" w:space="0" w:color="auto"/>
            </w:tcBorders>
            <w:shd w:val="clear" w:color="auto" w:fill="CCEEFF"/>
            <w:vAlign w:val="bottom"/>
          </w:tcPr>
          <w:p>
            <w:pPr>
              <w:spacing w:after="0"/>
              <w:ind w:right="23"/>
              <w:jc w:val="right"/>
              <w:rPr>
                <w:color w:val="auto"/>
                <w:sz w:val="20"/>
                <w:szCs w:val="20"/>
              </w:rPr>
            </w:pPr>
            <w:r>
              <w:rPr>
                <w:rFonts w:ascii="Calibri" w:eastAsia="Calibri" w:hAnsi="Calibri" w:cs="Calibri"/>
                <w:color w:val="auto"/>
                <w:sz w:val="12"/>
                <w:szCs w:val="12"/>
              </w:rPr>
              <w:t>84</w:t>
            </w:r>
          </w:p>
        </w:tc>
        <w:tc>
          <w:tcPr>
            <w:tcW w:w="340" w:type="dxa"/>
            <w:tcBorders>
              <w:bottom w:val="single" w:sz="8" w:space="0" w:color="auto"/>
            </w:tcBorders>
            <w:shd w:val="clear" w:color="auto" w:fill="CCEEFF"/>
            <w:vAlign w:val="bottom"/>
          </w:tcPr>
          <w:p>
            <w:pPr>
              <w:spacing w:after="0"/>
              <w:rPr>
                <w:color w:val="auto"/>
                <w:sz w:val="13"/>
                <w:szCs w:val="13"/>
              </w:rPr>
            </w:pPr>
          </w:p>
        </w:tc>
        <w:tc>
          <w:tcPr>
            <w:tcW w:w="90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109</w:t>
            </w:r>
          </w:p>
        </w:tc>
        <w:tc>
          <w:tcPr>
            <w:tcW w:w="400" w:type="dxa"/>
            <w:tcBorders>
              <w:bottom w:val="single" w:sz="8" w:space="0" w:color="auto"/>
            </w:tcBorders>
            <w:shd w:val="clear" w:color="auto" w:fill="CCEEFF"/>
            <w:vAlign w:val="bottom"/>
          </w:tcPr>
          <w:p>
            <w:pPr>
              <w:spacing w:after="0"/>
              <w:rPr>
                <w:color w:val="auto"/>
                <w:sz w:val="13"/>
                <w:szCs w:val="13"/>
              </w:rPr>
            </w:pPr>
          </w:p>
        </w:tc>
        <w:tc>
          <w:tcPr>
            <w:tcW w:w="8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121</w:t>
            </w:r>
          </w:p>
        </w:tc>
        <w:tc>
          <w:tcPr>
            <w:tcW w:w="20" w:type="dxa"/>
            <w:tcBorders>
              <w:bottom w:val="single" w:sz="8" w:space="0" w:color="auto"/>
            </w:tcBorders>
            <w:shd w:val="clear" w:color="auto" w:fill="CCEEFF"/>
            <w:vAlign w:val="bottom"/>
          </w:tcPr>
          <w:p>
            <w:pPr>
              <w:spacing w:after="0"/>
              <w:rPr>
                <w:color w:val="auto"/>
                <w:sz w:val="13"/>
                <w:szCs w:val="13"/>
              </w:rPr>
            </w:pPr>
          </w:p>
        </w:tc>
        <w:tc>
          <w:tcPr>
            <w:tcW w:w="20" w:type="dxa"/>
            <w:tcBorders>
              <w:bottom w:val="single" w:sz="8" w:space="0" w:color="auto"/>
            </w:tcBorders>
            <w:shd w:val="clear" w:color="auto" w:fill="CCEEFF"/>
            <w:vAlign w:val="bottom"/>
          </w:tcPr>
          <w:p>
            <w:pPr>
              <w:spacing w:after="0"/>
              <w:rPr>
                <w:color w:val="auto"/>
                <w:sz w:val="13"/>
                <w:szCs w:val="13"/>
              </w:rPr>
            </w:pPr>
          </w:p>
        </w:tc>
      </w:tr>
      <w:tr>
        <w:tblPrEx>
          <w:tblInd w:w="8" w:type="dxa"/>
          <w:tblLayout w:type="fixed"/>
        </w:tblPrEx>
        <w:trPr>
          <w:trHeight w:val="346"/>
        </w:trPr>
        <w:tc>
          <w:tcPr>
            <w:tcW w:w="5800" w:type="dxa"/>
            <w:vAlign w:val="bottom"/>
          </w:tcPr>
          <w:p>
            <w:pPr>
              <w:spacing w:after="0"/>
              <w:rPr>
                <w:color w:val="auto"/>
                <w:sz w:val="20"/>
                <w:szCs w:val="20"/>
              </w:rPr>
            </w:pPr>
            <w:r>
              <w:rPr>
                <w:rFonts w:ascii="Calibri" w:eastAsia="Calibri" w:hAnsi="Calibri" w:cs="Calibri"/>
                <w:b/>
                <w:bCs/>
                <w:color w:val="444867"/>
                <w:sz w:val="14"/>
                <w:szCs w:val="14"/>
              </w:rPr>
              <w:t>Note 7 Goodwill and Intangible Assets</w:t>
            </w:r>
          </w:p>
        </w:tc>
        <w:tc>
          <w:tcPr>
            <w:tcW w:w="1980" w:type="dxa"/>
            <w:vAlign w:val="bottom"/>
          </w:tcPr>
          <w:p>
            <w:pPr>
              <w:spacing w:after="0"/>
              <w:rPr>
                <w:color w:val="auto"/>
                <w:sz w:val="24"/>
                <w:szCs w:val="24"/>
              </w:rPr>
            </w:pPr>
          </w:p>
        </w:tc>
        <w:tc>
          <w:tcPr>
            <w:tcW w:w="960" w:type="dxa"/>
            <w:vAlign w:val="bottom"/>
          </w:tcPr>
          <w:p>
            <w:pPr>
              <w:spacing w:after="0"/>
              <w:rPr>
                <w:color w:val="auto"/>
                <w:sz w:val="24"/>
                <w:szCs w:val="24"/>
              </w:rPr>
            </w:pPr>
          </w:p>
        </w:tc>
        <w:tc>
          <w:tcPr>
            <w:tcW w:w="340" w:type="dxa"/>
            <w:vAlign w:val="bottom"/>
          </w:tcPr>
          <w:p>
            <w:pPr>
              <w:spacing w:after="0"/>
              <w:rPr>
                <w:color w:val="auto"/>
                <w:sz w:val="24"/>
                <w:szCs w:val="24"/>
              </w:rPr>
            </w:pPr>
          </w:p>
        </w:tc>
        <w:tc>
          <w:tcPr>
            <w:tcW w:w="900" w:type="dxa"/>
            <w:vAlign w:val="bottom"/>
          </w:tcPr>
          <w:p>
            <w:pPr>
              <w:spacing w:after="0"/>
              <w:rPr>
                <w:color w:val="auto"/>
                <w:sz w:val="24"/>
                <w:szCs w:val="24"/>
              </w:rPr>
            </w:pPr>
          </w:p>
        </w:tc>
        <w:tc>
          <w:tcPr>
            <w:tcW w:w="400" w:type="dxa"/>
            <w:vAlign w:val="bottom"/>
          </w:tcPr>
          <w:p>
            <w:pPr>
              <w:spacing w:after="0"/>
              <w:rPr>
                <w:color w:val="auto"/>
                <w:sz w:val="24"/>
                <w:szCs w:val="24"/>
              </w:rPr>
            </w:pPr>
          </w:p>
        </w:tc>
        <w:tc>
          <w:tcPr>
            <w:tcW w:w="880" w:type="dxa"/>
            <w:vAlign w:val="bottom"/>
          </w:tcPr>
          <w:p>
            <w:pPr>
              <w:spacing w:after="0"/>
              <w:rPr>
                <w:color w:val="auto"/>
                <w:sz w:val="24"/>
                <w:szCs w:val="24"/>
              </w:rPr>
            </w:pPr>
          </w:p>
        </w:tc>
        <w:tc>
          <w:tcPr>
            <w:tcW w:w="20" w:type="dxa"/>
            <w:vAlign w:val="bottom"/>
          </w:tcPr>
          <w:p>
            <w:pPr>
              <w:spacing w:after="0"/>
              <w:rPr>
                <w:color w:val="auto"/>
                <w:sz w:val="24"/>
                <w:szCs w:val="24"/>
              </w:rPr>
            </w:pPr>
          </w:p>
        </w:tc>
        <w:tc>
          <w:tcPr>
            <w:tcW w:w="20" w:type="dxa"/>
            <w:vAlign w:val="bottom"/>
          </w:tcPr>
          <w:p>
            <w:pPr>
              <w:spacing w:after="0"/>
              <w:rPr>
                <w:color w:val="auto"/>
                <w:sz w:val="24"/>
                <w:szCs w:val="24"/>
              </w:rPr>
            </w:pPr>
          </w:p>
        </w:tc>
      </w:tr>
      <w:tr>
        <w:tblPrEx>
          <w:tblInd w:w="8" w:type="dxa"/>
          <w:tblLayout w:type="fixed"/>
        </w:tblPrEx>
        <w:trPr>
          <w:trHeight w:val="36"/>
        </w:trPr>
        <w:tc>
          <w:tcPr>
            <w:tcW w:w="5800" w:type="dxa"/>
            <w:tcBorders>
              <w:bottom w:val="single" w:sz="8" w:space="0" w:color="auto"/>
            </w:tcBorders>
            <w:vAlign w:val="bottom"/>
          </w:tcPr>
          <w:p>
            <w:pPr>
              <w:spacing w:after="0"/>
              <w:rPr>
                <w:color w:val="auto"/>
                <w:sz w:val="3"/>
                <w:szCs w:val="3"/>
              </w:rPr>
            </w:pPr>
          </w:p>
        </w:tc>
        <w:tc>
          <w:tcPr>
            <w:tcW w:w="1980" w:type="dxa"/>
            <w:tcBorders>
              <w:bottom w:val="single" w:sz="8" w:space="0" w:color="auto"/>
            </w:tcBorders>
            <w:vAlign w:val="bottom"/>
          </w:tcPr>
          <w:p>
            <w:pPr>
              <w:spacing w:after="0"/>
              <w:rPr>
                <w:color w:val="auto"/>
                <w:sz w:val="3"/>
                <w:szCs w:val="3"/>
              </w:rPr>
            </w:pPr>
          </w:p>
        </w:tc>
        <w:tc>
          <w:tcPr>
            <w:tcW w:w="960" w:type="dxa"/>
            <w:tcBorders>
              <w:bottom w:val="single" w:sz="8" w:space="0" w:color="auto"/>
            </w:tcBorders>
            <w:vAlign w:val="bottom"/>
          </w:tcPr>
          <w:p>
            <w:pPr>
              <w:spacing w:after="0"/>
              <w:rPr>
                <w:color w:val="auto"/>
                <w:sz w:val="3"/>
                <w:szCs w:val="3"/>
              </w:rPr>
            </w:pPr>
          </w:p>
        </w:tc>
        <w:tc>
          <w:tcPr>
            <w:tcW w:w="340" w:type="dxa"/>
            <w:tcBorders>
              <w:bottom w:val="single" w:sz="8" w:space="0" w:color="auto"/>
            </w:tcBorders>
            <w:vAlign w:val="bottom"/>
          </w:tcPr>
          <w:p>
            <w:pPr>
              <w:spacing w:after="0"/>
              <w:rPr>
                <w:color w:val="auto"/>
                <w:sz w:val="3"/>
                <w:szCs w:val="3"/>
              </w:rPr>
            </w:pPr>
          </w:p>
        </w:tc>
        <w:tc>
          <w:tcPr>
            <w:tcW w:w="900" w:type="dxa"/>
            <w:tcBorders>
              <w:bottom w:val="single" w:sz="8" w:space="0" w:color="auto"/>
            </w:tcBorders>
            <w:vAlign w:val="bottom"/>
          </w:tcPr>
          <w:p>
            <w:pPr>
              <w:spacing w:after="0"/>
              <w:rPr>
                <w:color w:val="auto"/>
                <w:sz w:val="3"/>
                <w:szCs w:val="3"/>
              </w:rPr>
            </w:pPr>
          </w:p>
        </w:tc>
        <w:tc>
          <w:tcPr>
            <w:tcW w:w="400" w:type="dxa"/>
            <w:tcBorders>
              <w:bottom w:val="single" w:sz="8" w:space="0" w:color="auto"/>
            </w:tcBorders>
            <w:vAlign w:val="bottom"/>
          </w:tcPr>
          <w:p>
            <w:pPr>
              <w:spacing w:after="0"/>
              <w:rPr>
                <w:color w:val="auto"/>
                <w:sz w:val="3"/>
                <w:szCs w:val="3"/>
              </w:rPr>
            </w:pPr>
          </w:p>
        </w:tc>
        <w:tc>
          <w:tcPr>
            <w:tcW w:w="880" w:type="dxa"/>
            <w:tcBorders>
              <w:bottom w:val="single" w:sz="8" w:space="0" w:color="auto"/>
            </w:tcBorders>
            <w:vAlign w:val="bottom"/>
          </w:tcPr>
          <w:p>
            <w:pPr>
              <w:spacing w:after="0"/>
              <w:rPr>
                <w:color w:val="auto"/>
                <w:sz w:val="3"/>
                <w:szCs w:val="3"/>
              </w:rPr>
            </w:pPr>
          </w:p>
        </w:tc>
        <w:tc>
          <w:tcPr>
            <w:tcW w:w="20" w:type="dxa"/>
            <w:tcBorders>
              <w:bottom w:val="single" w:sz="8" w:space="0" w:color="auto"/>
            </w:tcBorders>
            <w:vAlign w:val="bottom"/>
          </w:tcPr>
          <w:p>
            <w:pPr>
              <w:spacing w:after="0"/>
              <w:rPr>
                <w:color w:val="auto"/>
                <w:sz w:val="3"/>
                <w:szCs w:val="3"/>
              </w:rPr>
            </w:pPr>
          </w:p>
        </w:tc>
        <w:tc>
          <w:tcPr>
            <w:tcW w:w="20" w:type="dxa"/>
            <w:vAlign w:val="bottom"/>
          </w:tcPr>
          <w:p>
            <w:pPr>
              <w:spacing w:after="0"/>
              <w:rPr>
                <w:color w:val="auto"/>
                <w:sz w:val="3"/>
                <w:szCs w:val="3"/>
              </w:rPr>
            </w:pPr>
          </w:p>
        </w:tc>
      </w:tr>
      <w:tr>
        <w:tblPrEx>
          <w:tblInd w:w="8" w:type="dxa"/>
          <w:tblLayout w:type="fixed"/>
        </w:tblPrEx>
        <w:trPr>
          <w:trHeight w:val="305"/>
        </w:trPr>
        <w:tc>
          <w:tcPr>
            <w:tcW w:w="5800" w:type="dxa"/>
            <w:vAlign w:val="bottom"/>
          </w:tcPr>
          <w:p>
            <w:pPr>
              <w:spacing w:after="0"/>
              <w:rPr>
                <w:color w:val="auto"/>
                <w:sz w:val="20"/>
                <w:szCs w:val="20"/>
              </w:rPr>
            </w:pPr>
            <w:r>
              <w:rPr>
                <w:rFonts w:ascii="Calibri" w:eastAsia="Calibri" w:hAnsi="Calibri" w:cs="Calibri"/>
                <w:b/>
                <w:bCs/>
                <w:color w:val="444867"/>
                <w:sz w:val="12"/>
                <w:szCs w:val="12"/>
              </w:rPr>
              <w:t>Goodwill</w:t>
            </w:r>
          </w:p>
        </w:tc>
        <w:tc>
          <w:tcPr>
            <w:tcW w:w="1980" w:type="dxa"/>
            <w:vAlign w:val="bottom"/>
          </w:tcPr>
          <w:p>
            <w:pPr>
              <w:spacing w:after="0"/>
              <w:rPr>
                <w:color w:val="auto"/>
                <w:sz w:val="24"/>
                <w:szCs w:val="24"/>
              </w:rPr>
            </w:pPr>
          </w:p>
        </w:tc>
        <w:tc>
          <w:tcPr>
            <w:tcW w:w="960" w:type="dxa"/>
            <w:vAlign w:val="bottom"/>
          </w:tcPr>
          <w:p>
            <w:pPr>
              <w:spacing w:after="0"/>
              <w:rPr>
                <w:color w:val="auto"/>
                <w:sz w:val="24"/>
                <w:szCs w:val="24"/>
              </w:rPr>
            </w:pPr>
          </w:p>
        </w:tc>
        <w:tc>
          <w:tcPr>
            <w:tcW w:w="340" w:type="dxa"/>
            <w:vAlign w:val="bottom"/>
          </w:tcPr>
          <w:p>
            <w:pPr>
              <w:spacing w:after="0"/>
              <w:rPr>
                <w:color w:val="auto"/>
                <w:sz w:val="24"/>
                <w:szCs w:val="24"/>
              </w:rPr>
            </w:pPr>
          </w:p>
        </w:tc>
        <w:tc>
          <w:tcPr>
            <w:tcW w:w="900" w:type="dxa"/>
            <w:vAlign w:val="bottom"/>
          </w:tcPr>
          <w:p>
            <w:pPr>
              <w:spacing w:after="0"/>
              <w:rPr>
                <w:color w:val="auto"/>
                <w:sz w:val="24"/>
                <w:szCs w:val="24"/>
              </w:rPr>
            </w:pPr>
          </w:p>
        </w:tc>
        <w:tc>
          <w:tcPr>
            <w:tcW w:w="400" w:type="dxa"/>
            <w:vAlign w:val="bottom"/>
          </w:tcPr>
          <w:p>
            <w:pPr>
              <w:spacing w:after="0"/>
              <w:rPr>
                <w:color w:val="auto"/>
                <w:sz w:val="24"/>
                <w:szCs w:val="24"/>
              </w:rPr>
            </w:pPr>
          </w:p>
        </w:tc>
        <w:tc>
          <w:tcPr>
            <w:tcW w:w="880" w:type="dxa"/>
            <w:vAlign w:val="bottom"/>
          </w:tcPr>
          <w:p>
            <w:pPr>
              <w:spacing w:after="0"/>
              <w:rPr>
                <w:color w:val="auto"/>
                <w:sz w:val="24"/>
                <w:szCs w:val="24"/>
              </w:rPr>
            </w:pPr>
          </w:p>
        </w:tc>
        <w:tc>
          <w:tcPr>
            <w:tcW w:w="20" w:type="dxa"/>
            <w:vAlign w:val="bottom"/>
          </w:tcPr>
          <w:p>
            <w:pPr>
              <w:spacing w:after="0"/>
              <w:rPr>
                <w:color w:val="auto"/>
                <w:sz w:val="24"/>
                <w:szCs w:val="24"/>
              </w:rPr>
            </w:pPr>
          </w:p>
        </w:tc>
        <w:tc>
          <w:tcPr>
            <w:tcW w:w="20" w:type="dxa"/>
            <w:vAlign w:val="bottom"/>
          </w:tcPr>
          <w:p>
            <w:pPr>
              <w:spacing w:after="0"/>
              <w:rPr>
                <w:color w:val="auto"/>
                <w:sz w:val="24"/>
                <w:szCs w:val="24"/>
              </w:rPr>
            </w:pPr>
          </w:p>
        </w:tc>
      </w:tr>
      <w:tr>
        <w:tblPrEx>
          <w:tblInd w:w="8" w:type="dxa"/>
          <w:tblLayout w:type="fixed"/>
        </w:tblPrEx>
        <w:trPr>
          <w:trHeight w:val="234"/>
        </w:trPr>
        <w:tc>
          <w:tcPr>
            <w:tcW w:w="5800" w:type="dxa"/>
            <w:vAlign w:val="bottom"/>
          </w:tcPr>
          <w:p>
            <w:pPr>
              <w:spacing w:after="0"/>
              <w:ind w:left="280"/>
              <w:rPr>
                <w:color w:val="auto"/>
                <w:sz w:val="20"/>
                <w:szCs w:val="20"/>
              </w:rPr>
            </w:pPr>
            <w:r>
              <w:rPr>
                <w:rFonts w:ascii="Calibri" w:eastAsia="Calibri" w:hAnsi="Calibri" w:cs="Calibri"/>
                <w:color w:val="auto"/>
                <w:sz w:val="12"/>
                <w:szCs w:val="12"/>
              </w:rPr>
              <w:t>The following table summarizes the changes in the carrying amount of goodwill:</w:t>
            </w:r>
          </w:p>
        </w:tc>
        <w:tc>
          <w:tcPr>
            <w:tcW w:w="1980" w:type="dxa"/>
            <w:vAlign w:val="bottom"/>
          </w:tcPr>
          <w:p>
            <w:pPr>
              <w:spacing w:after="0"/>
              <w:rPr>
                <w:color w:val="auto"/>
                <w:sz w:val="20"/>
                <w:szCs w:val="20"/>
              </w:rPr>
            </w:pPr>
          </w:p>
        </w:tc>
        <w:tc>
          <w:tcPr>
            <w:tcW w:w="960" w:type="dxa"/>
            <w:vAlign w:val="bottom"/>
          </w:tcPr>
          <w:p>
            <w:pPr>
              <w:spacing w:after="0"/>
              <w:rPr>
                <w:color w:val="auto"/>
                <w:sz w:val="20"/>
                <w:szCs w:val="20"/>
              </w:rPr>
            </w:pPr>
          </w:p>
        </w:tc>
        <w:tc>
          <w:tcPr>
            <w:tcW w:w="340" w:type="dxa"/>
            <w:vAlign w:val="bottom"/>
          </w:tcPr>
          <w:p>
            <w:pPr>
              <w:spacing w:after="0"/>
              <w:rPr>
                <w:color w:val="auto"/>
                <w:sz w:val="20"/>
                <w:szCs w:val="20"/>
              </w:rPr>
            </w:pPr>
          </w:p>
        </w:tc>
        <w:tc>
          <w:tcPr>
            <w:tcW w:w="900" w:type="dxa"/>
            <w:vAlign w:val="bottom"/>
          </w:tcPr>
          <w:p>
            <w:pPr>
              <w:spacing w:after="0"/>
              <w:rPr>
                <w:color w:val="auto"/>
                <w:sz w:val="20"/>
                <w:szCs w:val="20"/>
              </w:rPr>
            </w:pPr>
          </w:p>
        </w:tc>
        <w:tc>
          <w:tcPr>
            <w:tcW w:w="400" w:type="dxa"/>
            <w:vAlign w:val="bottom"/>
          </w:tcPr>
          <w:p>
            <w:pPr>
              <w:spacing w:after="0"/>
              <w:rPr>
                <w:color w:val="auto"/>
                <w:sz w:val="20"/>
                <w:szCs w:val="20"/>
              </w:rPr>
            </w:pPr>
          </w:p>
        </w:tc>
        <w:tc>
          <w:tcPr>
            <w:tcW w:w="880" w:type="dxa"/>
            <w:vAlign w:val="bottom"/>
          </w:tcPr>
          <w:p>
            <w:pPr>
              <w:spacing w:after="0"/>
              <w:rPr>
                <w:color w:val="auto"/>
                <w:sz w:val="20"/>
                <w:szCs w:val="20"/>
              </w:rPr>
            </w:pPr>
          </w:p>
        </w:tc>
        <w:tc>
          <w:tcPr>
            <w:tcW w:w="20" w:type="dxa"/>
            <w:vAlign w:val="bottom"/>
          </w:tcPr>
          <w:p>
            <w:pPr>
              <w:spacing w:after="0"/>
              <w:rPr>
                <w:color w:val="auto"/>
                <w:sz w:val="20"/>
                <w:szCs w:val="20"/>
              </w:rPr>
            </w:pPr>
          </w:p>
        </w:tc>
        <w:tc>
          <w:tcPr>
            <w:tcW w:w="20" w:type="dxa"/>
            <w:vAlign w:val="bottom"/>
          </w:tcPr>
          <w:p>
            <w:pPr>
              <w:spacing w:after="0"/>
              <w:rPr>
                <w:color w:val="auto"/>
                <w:sz w:val="20"/>
                <w:szCs w:val="20"/>
              </w:rPr>
            </w:pPr>
          </w:p>
        </w:tc>
      </w:tr>
      <w:tr>
        <w:tblPrEx>
          <w:tblInd w:w="8" w:type="dxa"/>
          <w:tblLayout w:type="fixed"/>
        </w:tblPrEx>
        <w:trPr>
          <w:trHeight w:val="138"/>
        </w:trPr>
        <w:tc>
          <w:tcPr>
            <w:tcW w:w="5800" w:type="dxa"/>
            <w:vAlign w:val="bottom"/>
          </w:tcPr>
          <w:p>
            <w:pPr>
              <w:spacing w:after="0"/>
              <w:rPr>
                <w:color w:val="auto"/>
                <w:sz w:val="20"/>
                <w:szCs w:val="20"/>
              </w:rPr>
            </w:pPr>
            <w:r>
              <w:rPr>
                <w:rFonts w:ascii="Calibri" w:eastAsia="Calibri" w:hAnsi="Calibri" w:cs="Calibri"/>
                <w:b/>
                <w:bCs/>
                <w:color w:val="auto"/>
                <w:sz w:val="10"/>
                <w:szCs w:val="10"/>
              </w:rPr>
              <w:t>(in millions)</w:t>
            </w:r>
          </w:p>
        </w:tc>
        <w:tc>
          <w:tcPr>
            <w:tcW w:w="1980" w:type="dxa"/>
            <w:vAlign w:val="bottom"/>
          </w:tcPr>
          <w:p>
            <w:pPr>
              <w:spacing w:after="0"/>
              <w:rPr>
                <w:color w:val="auto"/>
                <w:sz w:val="12"/>
                <w:szCs w:val="12"/>
              </w:rPr>
            </w:pPr>
          </w:p>
        </w:tc>
        <w:tc>
          <w:tcPr>
            <w:tcW w:w="96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90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880" w:type="dxa"/>
            <w:vAlign w:val="bottom"/>
          </w:tcPr>
          <w:p>
            <w:pPr>
              <w:spacing w:after="0"/>
              <w:rPr>
                <w:color w:val="auto"/>
                <w:sz w:val="12"/>
                <w:szCs w:val="12"/>
              </w:rPr>
            </w:pPr>
          </w:p>
        </w:tc>
        <w:tc>
          <w:tcPr>
            <w:tcW w:w="2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8" w:type="dxa"/>
          <w:tblLayout w:type="fixed"/>
        </w:tblPrEx>
        <w:trPr>
          <w:trHeight w:val="32"/>
        </w:trPr>
        <w:tc>
          <w:tcPr>
            <w:tcW w:w="5800" w:type="dxa"/>
            <w:tcBorders>
              <w:bottom w:val="single" w:sz="8" w:space="0" w:color="auto"/>
            </w:tcBorders>
            <w:vAlign w:val="bottom"/>
          </w:tcPr>
          <w:p>
            <w:pPr>
              <w:spacing w:after="0"/>
              <w:rPr>
                <w:color w:val="auto"/>
                <w:sz w:val="2"/>
                <w:szCs w:val="2"/>
              </w:rPr>
            </w:pPr>
          </w:p>
        </w:tc>
        <w:tc>
          <w:tcPr>
            <w:tcW w:w="1980" w:type="dxa"/>
            <w:tcBorders>
              <w:bottom w:val="single" w:sz="8" w:space="0" w:color="auto"/>
            </w:tcBorders>
            <w:vAlign w:val="bottom"/>
          </w:tcPr>
          <w:p>
            <w:pPr>
              <w:spacing w:after="0"/>
              <w:rPr>
                <w:color w:val="auto"/>
                <w:sz w:val="2"/>
                <w:szCs w:val="2"/>
              </w:rPr>
            </w:pPr>
          </w:p>
        </w:tc>
        <w:tc>
          <w:tcPr>
            <w:tcW w:w="96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90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88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c>
          <w:tcPr>
            <w:tcW w:w="20" w:type="dxa"/>
            <w:vAlign w:val="bottom"/>
          </w:tcPr>
          <w:p>
            <w:pPr>
              <w:spacing w:after="0"/>
              <w:rPr>
                <w:color w:val="auto"/>
                <w:sz w:val="2"/>
                <w:szCs w:val="2"/>
              </w:rPr>
            </w:pPr>
          </w:p>
        </w:tc>
      </w:tr>
      <w:tr>
        <w:tblPrEx>
          <w:tblInd w:w="8" w:type="dxa"/>
          <w:tblLayout w:type="fixed"/>
        </w:tblPrEx>
        <w:trPr>
          <w:trHeight w:val="142"/>
        </w:trPr>
        <w:tc>
          <w:tcPr>
            <w:tcW w:w="58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Balance as of December 31, 2022</w:t>
            </w:r>
          </w:p>
        </w:tc>
        <w:tc>
          <w:tcPr>
            <w:tcW w:w="1980" w:type="dxa"/>
            <w:shd w:val="clear" w:color="auto" w:fill="CCEEFF"/>
            <w:vAlign w:val="bottom"/>
          </w:tcPr>
          <w:p>
            <w:pPr>
              <w:spacing w:after="0"/>
              <w:rPr>
                <w:color w:val="auto"/>
                <w:sz w:val="12"/>
                <w:szCs w:val="12"/>
              </w:rPr>
            </w:pPr>
          </w:p>
        </w:tc>
        <w:tc>
          <w:tcPr>
            <w:tcW w:w="960" w:type="dxa"/>
            <w:shd w:val="clear" w:color="auto" w:fill="CCEEFF"/>
            <w:vAlign w:val="bottom"/>
          </w:tcPr>
          <w:p>
            <w:pPr>
              <w:spacing w:after="0"/>
              <w:rPr>
                <w:color w:val="auto"/>
                <w:sz w:val="12"/>
                <w:szCs w:val="12"/>
              </w:rPr>
            </w:pPr>
          </w:p>
        </w:tc>
        <w:tc>
          <w:tcPr>
            <w:tcW w:w="340" w:type="dxa"/>
            <w:shd w:val="clear" w:color="auto" w:fill="CCEEFF"/>
            <w:vAlign w:val="bottom"/>
          </w:tcPr>
          <w:p>
            <w:pPr>
              <w:spacing w:after="0"/>
              <w:rPr>
                <w:color w:val="auto"/>
                <w:sz w:val="12"/>
                <w:szCs w:val="12"/>
              </w:rPr>
            </w:pPr>
          </w:p>
        </w:tc>
        <w:tc>
          <w:tcPr>
            <w:tcW w:w="900" w:type="dxa"/>
            <w:shd w:val="clear" w:color="auto" w:fill="CCEEFF"/>
            <w:vAlign w:val="bottom"/>
          </w:tcPr>
          <w:p>
            <w:pPr>
              <w:spacing w:after="0"/>
              <w:rPr>
                <w:color w:val="auto"/>
                <w:sz w:val="12"/>
                <w:szCs w:val="12"/>
              </w:rPr>
            </w:pPr>
          </w:p>
        </w:tc>
        <w:tc>
          <w:tcPr>
            <w:tcW w:w="400" w:type="dxa"/>
            <w:shd w:val="clear" w:color="auto" w:fill="CCEEFF"/>
            <w:vAlign w:val="bottom"/>
          </w:tcPr>
          <w:p>
            <w:pPr>
              <w:spacing w:after="0" w:line="142" w:lineRule="exact"/>
              <w:ind w:right="260"/>
              <w:jc w:val="right"/>
              <w:rPr>
                <w:color w:val="auto"/>
                <w:sz w:val="20"/>
                <w:szCs w:val="20"/>
              </w:rPr>
            </w:pPr>
            <w:r>
              <w:rPr>
                <w:rFonts w:ascii="Calibri" w:eastAsia="Calibri" w:hAnsi="Calibri" w:cs="Calibri"/>
                <w:color w:val="auto"/>
                <w:w w:val="97"/>
                <w:sz w:val="12"/>
                <w:szCs w:val="12"/>
              </w:rPr>
              <w:t>$</w:t>
            </w:r>
          </w:p>
        </w:tc>
        <w:tc>
          <w:tcPr>
            <w:tcW w:w="8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32,156</w:t>
            </w:r>
          </w:p>
        </w:tc>
        <w:tc>
          <w:tcPr>
            <w:tcW w:w="2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8" w:type="dxa"/>
          <w:tblLayout w:type="fixed"/>
        </w:tblPrEx>
        <w:trPr>
          <w:trHeight w:val="147"/>
        </w:trPr>
        <w:tc>
          <w:tcPr>
            <w:tcW w:w="58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Foreign currency translaton adjustments and other</w:t>
            </w:r>
          </w:p>
        </w:tc>
        <w:tc>
          <w:tcPr>
            <w:tcW w:w="1980" w:type="dxa"/>
            <w:tcBorders>
              <w:bottom w:val="single" w:sz="8" w:space="0" w:color="auto"/>
            </w:tcBorders>
            <w:vAlign w:val="bottom"/>
          </w:tcPr>
          <w:p>
            <w:pPr>
              <w:spacing w:after="0"/>
              <w:rPr>
                <w:color w:val="auto"/>
                <w:sz w:val="12"/>
                <w:szCs w:val="12"/>
              </w:rPr>
            </w:pPr>
          </w:p>
        </w:tc>
        <w:tc>
          <w:tcPr>
            <w:tcW w:w="960" w:type="dxa"/>
            <w:tcBorders>
              <w:bottom w:val="single" w:sz="8" w:space="0" w:color="auto"/>
            </w:tcBorders>
            <w:vAlign w:val="bottom"/>
          </w:tcPr>
          <w:p>
            <w:pPr>
              <w:spacing w:after="0"/>
              <w:rPr>
                <w:color w:val="auto"/>
                <w:sz w:val="12"/>
                <w:szCs w:val="12"/>
              </w:rPr>
            </w:pPr>
          </w:p>
        </w:tc>
        <w:tc>
          <w:tcPr>
            <w:tcW w:w="340" w:type="dxa"/>
            <w:tcBorders>
              <w:bottom w:val="single" w:sz="8" w:space="0" w:color="auto"/>
            </w:tcBorders>
            <w:vAlign w:val="bottom"/>
          </w:tcPr>
          <w:p>
            <w:pPr>
              <w:spacing w:after="0"/>
              <w:rPr>
                <w:color w:val="auto"/>
                <w:sz w:val="12"/>
                <w:szCs w:val="12"/>
              </w:rPr>
            </w:pPr>
          </w:p>
        </w:tc>
        <w:tc>
          <w:tcPr>
            <w:tcW w:w="900" w:type="dxa"/>
            <w:tcBorders>
              <w:bottom w:val="single" w:sz="8" w:space="0" w:color="auto"/>
            </w:tcBorders>
            <w:vAlign w:val="bottom"/>
          </w:tcPr>
          <w:p>
            <w:pPr>
              <w:spacing w:after="0"/>
              <w:rPr>
                <w:color w:val="auto"/>
                <w:sz w:val="12"/>
                <w:szCs w:val="12"/>
              </w:rPr>
            </w:pPr>
          </w:p>
        </w:tc>
        <w:tc>
          <w:tcPr>
            <w:tcW w:w="400" w:type="dxa"/>
            <w:tcBorders>
              <w:bottom w:val="single" w:sz="8" w:space="0" w:color="auto"/>
            </w:tcBorders>
            <w:vAlign w:val="bottom"/>
          </w:tcPr>
          <w:p>
            <w:pPr>
              <w:spacing w:after="0"/>
              <w:rPr>
                <w:color w:val="auto"/>
                <w:sz w:val="12"/>
                <w:szCs w:val="12"/>
              </w:rPr>
            </w:pPr>
          </w:p>
        </w:tc>
        <w:tc>
          <w:tcPr>
            <w:tcW w:w="8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137</w:t>
            </w:r>
          </w:p>
        </w:tc>
        <w:tc>
          <w:tcPr>
            <w:tcW w:w="2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8" w:type="dxa"/>
          <w:tblLayout w:type="fixed"/>
        </w:tblPrEx>
        <w:trPr>
          <w:trHeight w:val="148"/>
        </w:trPr>
        <w:tc>
          <w:tcPr>
            <w:tcW w:w="58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Balance as of December 31, 2023</w:t>
            </w:r>
          </w:p>
        </w:tc>
        <w:tc>
          <w:tcPr>
            <w:tcW w:w="1980" w:type="dxa"/>
            <w:shd w:val="clear" w:color="auto" w:fill="CCEEFF"/>
            <w:vAlign w:val="bottom"/>
          </w:tcPr>
          <w:p>
            <w:pPr>
              <w:spacing w:after="0"/>
              <w:rPr>
                <w:color w:val="auto"/>
                <w:sz w:val="12"/>
                <w:szCs w:val="12"/>
              </w:rPr>
            </w:pPr>
          </w:p>
        </w:tc>
        <w:tc>
          <w:tcPr>
            <w:tcW w:w="960" w:type="dxa"/>
            <w:shd w:val="clear" w:color="auto" w:fill="CCEEFF"/>
            <w:vAlign w:val="bottom"/>
          </w:tcPr>
          <w:p>
            <w:pPr>
              <w:spacing w:after="0"/>
              <w:rPr>
                <w:color w:val="auto"/>
                <w:sz w:val="12"/>
                <w:szCs w:val="12"/>
              </w:rPr>
            </w:pPr>
          </w:p>
        </w:tc>
        <w:tc>
          <w:tcPr>
            <w:tcW w:w="340" w:type="dxa"/>
            <w:shd w:val="clear" w:color="auto" w:fill="CCEEFF"/>
            <w:vAlign w:val="bottom"/>
          </w:tcPr>
          <w:p>
            <w:pPr>
              <w:spacing w:after="0"/>
              <w:rPr>
                <w:color w:val="auto"/>
                <w:sz w:val="12"/>
                <w:szCs w:val="12"/>
              </w:rPr>
            </w:pPr>
          </w:p>
        </w:tc>
        <w:tc>
          <w:tcPr>
            <w:tcW w:w="900" w:type="dxa"/>
            <w:shd w:val="clear" w:color="auto" w:fill="CCEEFF"/>
            <w:vAlign w:val="bottom"/>
          </w:tcPr>
          <w:p>
            <w:pPr>
              <w:spacing w:after="0"/>
              <w:rPr>
                <w:color w:val="auto"/>
                <w:sz w:val="12"/>
                <w:szCs w:val="12"/>
              </w:rPr>
            </w:pPr>
          </w:p>
        </w:tc>
        <w:tc>
          <w:tcPr>
            <w:tcW w:w="400" w:type="dxa"/>
            <w:shd w:val="clear" w:color="auto" w:fill="CCEEFF"/>
            <w:vAlign w:val="bottom"/>
          </w:tcPr>
          <w:p>
            <w:pPr>
              <w:spacing w:after="0"/>
              <w:rPr>
                <w:color w:val="auto"/>
                <w:sz w:val="12"/>
                <w:szCs w:val="12"/>
              </w:rPr>
            </w:pPr>
          </w:p>
        </w:tc>
        <w:tc>
          <w:tcPr>
            <w:tcW w:w="8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32,293</w:t>
            </w:r>
          </w:p>
        </w:tc>
        <w:tc>
          <w:tcPr>
            <w:tcW w:w="2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8" w:type="dxa"/>
          <w:tblLayout w:type="fixed"/>
        </w:tblPrEx>
        <w:trPr>
          <w:trHeight w:val="153"/>
        </w:trPr>
        <w:tc>
          <w:tcPr>
            <w:tcW w:w="5800" w:type="dxa"/>
            <w:vAlign w:val="bottom"/>
          </w:tcPr>
          <w:p>
            <w:pPr>
              <w:spacing w:after="0" w:line="153" w:lineRule="exact"/>
              <w:rPr>
                <w:color w:val="auto"/>
                <w:sz w:val="20"/>
                <w:szCs w:val="20"/>
              </w:rPr>
            </w:pPr>
            <w:r>
              <w:rPr>
                <w:rFonts w:ascii="Calibri" w:eastAsia="Calibri" w:hAnsi="Calibri" w:cs="Calibri"/>
                <w:color w:val="auto"/>
                <w:sz w:val="12"/>
                <w:szCs w:val="12"/>
              </w:rPr>
              <w:t>Additons</w:t>
            </w:r>
            <w:r>
              <w:rPr>
                <w:rFonts w:ascii="Calibri" w:eastAsia="Calibri" w:hAnsi="Calibri" w:cs="Calibri"/>
                <w:color w:val="auto"/>
                <w:sz w:val="15"/>
                <w:szCs w:val="15"/>
                <w:vertAlign w:val="superscript"/>
              </w:rPr>
              <w:t>(a)</w:t>
            </w:r>
          </w:p>
        </w:tc>
        <w:tc>
          <w:tcPr>
            <w:tcW w:w="1980" w:type="dxa"/>
            <w:vAlign w:val="bottom"/>
          </w:tcPr>
          <w:p>
            <w:pPr>
              <w:spacing w:after="0"/>
              <w:rPr>
                <w:color w:val="auto"/>
                <w:sz w:val="13"/>
                <w:szCs w:val="13"/>
              </w:rPr>
            </w:pPr>
          </w:p>
        </w:tc>
        <w:tc>
          <w:tcPr>
            <w:tcW w:w="960" w:type="dxa"/>
            <w:vAlign w:val="bottom"/>
          </w:tcPr>
          <w:p>
            <w:pPr>
              <w:spacing w:after="0"/>
              <w:rPr>
                <w:color w:val="auto"/>
                <w:sz w:val="13"/>
                <w:szCs w:val="13"/>
              </w:rPr>
            </w:pPr>
          </w:p>
        </w:tc>
        <w:tc>
          <w:tcPr>
            <w:tcW w:w="340" w:type="dxa"/>
            <w:vAlign w:val="bottom"/>
          </w:tcPr>
          <w:p>
            <w:pPr>
              <w:spacing w:after="0"/>
              <w:rPr>
                <w:color w:val="auto"/>
                <w:sz w:val="13"/>
                <w:szCs w:val="13"/>
              </w:rPr>
            </w:pPr>
          </w:p>
        </w:tc>
        <w:tc>
          <w:tcPr>
            <w:tcW w:w="900" w:type="dxa"/>
            <w:vAlign w:val="bottom"/>
          </w:tcPr>
          <w:p>
            <w:pPr>
              <w:spacing w:after="0"/>
              <w:rPr>
                <w:color w:val="auto"/>
                <w:sz w:val="13"/>
                <w:szCs w:val="13"/>
              </w:rPr>
            </w:pPr>
          </w:p>
        </w:tc>
        <w:tc>
          <w:tcPr>
            <w:tcW w:w="400" w:type="dxa"/>
            <w:vAlign w:val="bottom"/>
          </w:tcPr>
          <w:p>
            <w:pPr>
              <w:spacing w:after="0"/>
              <w:rPr>
                <w:color w:val="auto"/>
                <w:sz w:val="13"/>
                <w:szCs w:val="13"/>
              </w:rPr>
            </w:pPr>
          </w:p>
        </w:tc>
        <w:tc>
          <w:tcPr>
            <w:tcW w:w="880" w:type="dxa"/>
            <w:vAlign w:val="bottom"/>
          </w:tcPr>
          <w:p>
            <w:pPr>
              <w:spacing w:after="0" w:line="142" w:lineRule="exact"/>
              <w:jc w:val="right"/>
              <w:rPr>
                <w:color w:val="auto"/>
                <w:sz w:val="20"/>
                <w:szCs w:val="20"/>
              </w:rPr>
            </w:pPr>
            <w:r>
              <w:rPr>
                <w:rFonts w:ascii="Calibri" w:eastAsia="Calibri" w:hAnsi="Calibri" w:cs="Calibri"/>
                <w:color w:val="auto"/>
                <w:sz w:val="12"/>
                <w:szCs w:val="12"/>
              </w:rPr>
              <w:t>2,951</w:t>
            </w:r>
          </w:p>
        </w:tc>
        <w:tc>
          <w:tcPr>
            <w:tcW w:w="20" w:type="dxa"/>
            <w:vAlign w:val="bottom"/>
          </w:tcPr>
          <w:p>
            <w:pPr>
              <w:spacing w:after="0"/>
              <w:rPr>
                <w:color w:val="auto"/>
                <w:sz w:val="13"/>
                <w:szCs w:val="13"/>
              </w:rPr>
            </w:pPr>
          </w:p>
        </w:tc>
        <w:tc>
          <w:tcPr>
            <w:tcW w:w="20" w:type="dxa"/>
            <w:vAlign w:val="bottom"/>
          </w:tcPr>
          <w:p>
            <w:pPr>
              <w:spacing w:after="0"/>
              <w:rPr>
                <w:color w:val="auto"/>
                <w:sz w:val="13"/>
                <w:szCs w:val="13"/>
              </w:rPr>
            </w:pPr>
          </w:p>
        </w:tc>
      </w:tr>
      <w:tr>
        <w:tblPrEx>
          <w:tblInd w:w="8" w:type="dxa"/>
          <w:tblLayout w:type="fixed"/>
        </w:tblPrEx>
        <w:trPr>
          <w:trHeight w:val="147"/>
        </w:trPr>
        <w:tc>
          <w:tcPr>
            <w:tcW w:w="580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Foreign currency translaton adjustments and other</w:t>
            </w:r>
          </w:p>
        </w:tc>
        <w:tc>
          <w:tcPr>
            <w:tcW w:w="1980" w:type="dxa"/>
            <w:tcBorders>
              <w:bottom w:val="single" w:sz="8" w:space="0" w:color="auto"/>
            </w:tcBorders>
            <w:shd w:val="clear" w:color="auto" w:fill="CCEEFF"/>
            <w:vAlign w:val="bottom"/>
          </w:tcPr>
          <w:p>
            <w:pPr>
              <w:spacing w:after="0"/>
              <w:rPr>
                <w:color w:val="auto"/>
                <w:sz w:val="12"/>
                <w:szCs w:val="12"/>
              </w:rPr>
            </w:pPr>
          </w:p>
        </w:tc>
        <w:tc>
          <w:tcPr>
            <w:tcW w:w="960" w:type="dxa"/>
            <w:tcBorders>
              <w:bottom w:val="single" w:sz="8" w:space="0" w:color="auto"/>
            </w:tcBorders>
            <w:shd w:val="clear" w:color="auto" w:fill="CCEEFF"/>
            <w:vAlign w:val="bottom"/>
          </w:tcPr>
          <w:p>
            <w:pPr>
              <w:spacing w:after="0"/>
              <w:rPr>
                <w:color w:val="auto"/>
                <w:sz w:val="12"/>
                <w:szCs w:val="12"/>
              </w:rPr>
            </w:pPr>
          </w:p>
        </w:tc>
        <w:tc>
          <w:tcPr>
            <w:tcW w:w="340" w:type="dxa"/>
            <w:tcBorders>
              <w:bottom w:val="single" w:sz="8" w:space="0" w:color="auto"/>
            </w:tcBorders>
            <w:shd w:val="clear" w:color="auto" w:fill="CCEEFF"/>
            <w:vAlign w:val="bottom"/>
          </w:tcPr>
          <w:p>
            <w:pPr>
              <w:spacing w:after="0"/>
              <w:rPr>
                <w:color w:val="auto"/>
                <w:sz w:val="12"/>
                <w:szCs w:val="12"/>
              </w:rPr>
            </w:pPr>
          </w:p>
        </w:tc>
        <w:tc>
          <w:tcPr>
            <w:tcW w:w="900" w:type="dxa"/>
            <w:tcBorders>
              <w:bottom w:val="single" w:sz="8" w:space="0" w:color="auto"/>
            </w:tcBorders>
            <w:shd w:val="clear" w:color="auto" w:fill="CCEEFF"/>
            <w:vAlign w:val="bottom"/>
          </w:tcPr>
          <w:p>
            <w:pPr>
              <w:spacing w:after="0"/>
              <w:rPr>
                <w:color w:val="auto"/>
                <w:sz w:val="12"/>
                <w:szCs w:val="12"/>
              </w:rPr>
            </w:pPr>
          </w:p>
        </w:tc>
        <w:tc>
          <w:tcPr>
            <w:tcW w:w="400" w:type="dxa"/>
            <w:tcBorders>
              <w:bottom w:val="single" w:sz="8" w:space="0" w:color="auto"/>
            </w:tcBorders>
            <w:shd w:val="clear" w:color="auto" w:fill="CCEEFF"/>
            <w:vAlign w:val="bottom"/>
          </w:tcPr>
          <w:p>
            <w:pPr>
              <w:spacing w:after="0"/>
              <w:rPr>
                <w:color w:val="auto"/>
                <w:sz w:val="12"/>
                <w:szCs w:val="12"/>
              </w:rPr>
            </w:pPr>
          </w:p>
        </w:tc>
        <w:tc>
          <w:tcPr>
            <w:tcW w:w="8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(288)</w:t>
            </w:r>
          </w:p>
        </w:tc>
        <w:tc>
          <w:tcPr>
            <w:tcW w:w="2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8" w:type="dxa"/>
          <w:tblLayout w:type="fixed"/>
        </w:tblPrEx>
        <w:trPr>
          <w:trHeight w:val="142"/>
        </w:trPr>
        <w:tc>
          <w:tcPr>
            <w:tcW w:w="58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Balance as of December 31, 2024</w:t>
            </w:r>
          </w:p>
        </w:tc>
        <w:tc>
          <w:tcPr>
            <w:tcW w:w="1980" w:type="dxa"/>
            <w:tcBorders>
              <w:bottom w:val="single" w:sz="8" w:space="0" w:color="auto"/>
            </w:tcBorders>
            <w:vAlign w:val="bottom"/>
          </w:tcPr>
          <w:p>
            <w:pPr>
              <w:spacing w:after="0"/>
              <w:rPr>
                <w:color w:val="auto"/>
                <w:sz w:val="12"/>
                <w:szCs w:val="12"/>
              </w:rPr>
            </w:pPr>
          </w:p>
        </w:tc>
        <w:tc>
          <w:tcPr>
            <w:tcW w:w="960" w:type="dxa"/>
            <w:tcBorders>
              <w:bottom w:val="single" w:sz="8" w:space="0" w:color="auto"/>
            </w:tcBorders>
            <w:vAlign w:val="bottom"/>
          </w:tcPr>
          <w:p>
            <w:pPr>
              <w:spacing w:after="0"/>
              <w:rPr>
                <w:color w:val="auto"/>
                <w:sz w:val="12"/>
                <w:szCs w:val="12"/>
              </w:rPr>
            </w:pPr>
          </w:p>
        </w:tc>
        <w:tc>
          <w:tcPr>
            <w:tcW w:w="340" w:type="dxa"/>
            <w:tcBorders>
              <w:bottom w:val="single" w:sz="8" w:space="0" w:color="auto"/>
            </w:tcBorders>
            <w:vAlign w:val="bottom"/>
          </w:tcPr>
          <w:p>
            <w:pPr>
              <w:spacing w:after="0"/>
              <w:rPr>
                <w:color w:val="auto"/>
                <w:sz w:val="12"/>
                <w:szCs w:val="12"/>
              </w:rPr>
            </w:pPr>
          </w:p>
        </w:tc>
        <w:tc>
          <w:tcPr>
            <w:tcW w:w="900" w:type="dxa"/>
            <w:tcBorders>
              <w:bottom w:val="single" w:sz="8" w:space="0" w:color="auto"/>
            </w:tcBorders>
            <w:vAlign w:val="bottom"/>
          </w:tcPr>
          <w:p>
            <w:pPr>
              <w:spacing w:after="0"/>
              <w:rPr>
                <w:color w:val="auto"/>
                <w:sz w:val="12"/>
                <w:szCs w:val="12"/>
              </w:rPr>
            </w:pPr>
          </w:p>
        </w:tc>
        <w:tc>
          <w:tcPr>
            <w:tcW w:w="400" w:type="dxa"/>
            <w:tcBorders>
              <w:bottom w:val="single" w:sz="8" w:space="0" w:color="auto"/>
            </w:tcBorders>
            <w:vAlign w:val="bottom"/>
          </w:tcPr>
          <w:p>
            <w:pPr>
              <w:spacing w:after="0" w:line="142" w:lineRule="exact"/>
              <w:ind w:right="260"/>
              <w:jc w:val="right"/>
              <w:rPr>
                <w:color w:val="auto"/>
                <w:sz w:val="20"/>
                <w:szCs w:val="20"/>
              </w:rPr>
            </w:pPr>
            <w:r>
              <w:rPr>
                <w:rFonts w:ascii="Calibri" w:eastAsia="Calibri" w:hAnsi="Calibri" w:cs="Calibri"/>
                <w:color w:val="auto"/>
                <w:w w:val="97"/>
                <w:sz w:val="12"/>
                <w:szCs w:val="12"/>
              </w:rPr>
              <w:t>$</w:t>
            </w:r>
          </w:p>
        </w:tc>
        <w:tc>
          <w:tcPr>
            <w:tcW w:w="8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34,956</w:t>
            </w:r>
          </w:p>
        </w:tc>
        <w:tc>
          <w:tcPr>
            <w:tcW w:w="2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8" w:type="dxa"/>
          <w:tblLayout w:type="fixed"/>
        </w:tblPrEx>
        <w:trPr>
          <w:trHeight w:val="20"/>
        </w:trPr>
        <w:tc>
          <w:tcPr>
            <w:tcW w:w="5800" w:type="dxa"/>
            <w:tcBorders>
              <w:bottom w:val="single" w:sz="8" w:space="0" w:color="auto"/>
            </w:tcBorders>
            <w:vAlign w:val="bottom"/>
          </w:tcPr>
          <w:p>
            <w:pPr>
              <w:spacing w:after="0" w:line="20" w:lineRule="exact"/>
              <w:rPr>
                <w:color w:val="auto"/>
                <w:sz w:val="1"/>
                <w:szCs w:val="1"/>
              </w:rPr>
            </w:pPr>
          </w:p>
        </w:tc>
        <w:tc>
          <w:tcPr>
            <w:tcW w:w="1980" w:type="dxa"/>
            <w:tcBorders>
              <w:bottom w:val="single" w:sz="8" w:space="0" w:color="auto"/>
            </w:tcBorders>
            <w:vAlign w:val="bottom"/>
          </w:tcPr>
          <w:p>
            <w:pPr>
              <w:spacing w:after="0" w:line="20" w:lineRule="exact"/>
              <w:rPr>
                <w:color w:val="auto"/>
                <w:sz w:val="1"/>
                <w:szCs w:val="1"/>
              </w:rPr>
            </w:pPr>
          </w:p>
        </w:tc>
        <w:tc>
          <w:tcPr>
            <w:tcW w:w="960" w:type="dxa"/>
            <w:tcBorders>
              <w:bottom w:val="single" w:sz="8" w:space="0" w:color="auto"/>
            </w:tcBorders>
            <w:vAlign w:val="bottom"/>
          </w:tcPr>
          <w:p>
            <w:pPr>
              <w:spacing w:after="0" w:line="20" w:lineRule="exact"/>
              <w:rPr>
                <w:color w:val="auto"/>
                <w:sz w:val="1"/>
                <w:szCs w:val="1"/>
              </w:rPr>
            </w:pPr>
          </w:p>
        </w:tc>
        <w:tc>
          <w:tcPr>
            <w:tcW w:w="340" w:type="dxa"/>
            <w:tcBorders>
              <w:bottom w:val="single" w:sz="8" w:space="0" w:color="auto"/>
            </w:tcBorders>
            <w:vAlign w:val="bottom"/>
          </w:tcPr>
          <w:p>
            <w:pPr>
              <w:spacing w:after="0" w:line="20" w:lineRule="exact"/>
              <w:rPr>
                <w:color w:val="auto"/>
                <w:sz w:val="1"/>
                <w:szCs w:val="1"/>
              </w:rPr>
            </w:pPr>
          </w:p>
        </w:tc>
        <w:tc>
          <w:tcPr>
            <w:tcW w:w="900" w:type="dxa"/>
            <w:tcBorders>
              <w:bottom w:val="single" w:sz="8" w:space="0" w:color="auto"/>
            </w:tcBorders>
            <w:vAlign w:val="bottom"/>
          </w:tcPr>
          <w:p>
            <w:pPr>
              <w:spacing w:after="0" w:line="20" w:lineRule="exact"/>
              <w:rPr>
                <w:color w:val="auto"/>
                <w:sz w:val="1"/>
                <w:szCs w:val="1"/>
              </w:rPr>
            </w:pPr>
          </w:p>
        </w:tc>
        <w:tc>
          <w:tcPr>
            <w:tcW w:w="400" w:type="dxa"/>
            <w:tcBorders>
              <w:bottom w:val="single" w:sz="8" w:space="0" w:color="auto"/>
            </w:tcBorders>
            <w:vAlign w:val="bottom"/>
          </w:tcPr>
          <w:p>
            <w:pPr>
              <w:spacing w:after="0" w:line="20" w:lineRule="exact"/>
              <w:rPr>
                <w:color w:val="auto"/>
                <w:sz w:val="1"/>
                <w:szCs w:val="1"/>
              </w:rPr>
            </w:pPr>
          </w:p>
        </w:tc>
        <w:tc>
          <w:tcPr>
            <w:tcW w:w="880" w:type="dxa"/>
            <w:tcBorders>
              <w:bottom w:val="single" w:sz="8" w:space="0" w:color="auto"/>
            </w:tcBorders>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r>
    </w:tbl>
    <w:p>
      <w:pPr>
        <w:spacing w:after="0" w:line="143" w:lineRule="exact"/>
        <w:rPr>
          <w:color w:val="auto"/>
          <w:sz w:val="20"/>
          <w:szCs w:val="20"/>
        </w:rPr>
      </w:pPr>
    </w:p>
    <w:p>
      <w:pPr>
        <w:numPr>
          <w:ilvl w:val="0"/>
          <w:numId w:val="25"/>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Goodwill additons related to the acquisitons of ImmunoGen and Cerevel Therapeutcs (see Note 5).</w:t>
      </w:r>
    </w:p>
    <w:p>
      <w:pPr>
        <w:spacing w:after="0" w:line="87" w:lineRule="exact"/>
        <w:rPr>
          <w:rFonts w:ascii="Calibri" w:eastAsia="Calibri" w:hAnsi="Calibri" w:cs="Calibri"/>
          <w:color w:val="auto"/>
          <w:sz w:val="12"/>
          <w:szCs w:val="12"/>
        </w:rPr>
      </w:pPr>
    </w:p>
    <w:p>
      <w:pPr>
        <w:spacing w:after="0"/>
        <w:ind w:left="288"/>
        <w:rPr>
          <w:rFonts w:ascii="Calibri" w:eastAsia="Calibri" w:hAnsi="Calibri" w:cs="Calibri"/>
          <w:color w:val="auto"/>
          <w:sz w:val="12"/>
          <w:szCs w:val="12"/>
        </w:rPr>
      </w:pPr>
      <w:r>
        <w:rPr>
          <w:rFonts w:ascii="Calibri" w:eastAsia="Calibri" w:hAnsi="Calibri" w:cs="Calibri"/>
          <w:color w:val="auto"/>
          <w:sz w:val="12"/>
          <w:szCs w:val="12"/>
        </w:rPr>
        <w:t>The company performs its annual goodwill impairment assessment in the third quarter, or earlier if impairment indicators exist. As of December 31, 2024 and 2023, there were no accumulated goodwill impairment losses.</w:t>
      </w:r>
    </w:p>
    <w:p>
      <w:pPr>
        <w:spacing w:after="0" w:line="114" w:lineRule="exact"/>
        <w:rPr>
          <w:color w:val="auto"/>
          <w:sz w:val="20"/>
          <w:szCs w:val="20"/>
        </w:rPr>
      </w:pPr>
    </w:p>
    <w:p>
      <w:pPr>
        <w:tabs>
          <w:tab w:val="left" w:pos="447"/>
        </w:tabs>
        <w:spacing w:after="0"/>
        <w:ind w:left="8"/>
        <w:rPr>
          <w:color w:val="auto"/>
          <w:sz w:val="20"/>
          <w:szCs w:val="20"/>
        </w:rPr>
      </w:pPr>
      <w:r>
        <w:rPr>
          <w:rFonts w:ascii="Calibri" w:eastAsia="Calibri" w:hAnsi="Calibri" w:cs="Calibri"/>
          <w:b/>
          <w:bCs/>
          <w:i/>
          <w:iCs/>
          <w:color w:val="auto"/>
          <w:sz w:val="24"/>
          <w:szCs w:val="24"/>
          <w:vertAlign w:val="subscript"/>
        </w:rPr>
        <w:t>69</w:t>
      </w:r>
      <w:r>
        <w:rPr>
          <w:color w:val="auto"/>
          <w:sz w:val="20"/>
          <w:szCs w:val="20"/>
        </w:rPr>
        <w:tab/>
      </w:r>
      <w:r>
        <w:rPr>
          <w:color w:val="auto"/>
          <w:sz w:val="1"/>
          <w:szCs w:val="1"/>
        </w:rPr>
        <w:drawing>
          <wp:inline distT="0" distB="0" distL="0" distR="0">
            <wp:extent cx="400050" cy="7429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36416" behindDoc="1" locked="0" layoutInCell="0" allowOverlap="1">
            <wp:simplePos x="0" y="0"/>
            <wp:positionH relativeFrom="column">
              <wp:posOffset>-12065</wp:posOffset>
            </wp:positionH>
            <wp:positionV relativeFrom="paragraph">
              <wp:posOffset>128270</wp:posOffset>
            </wp:positionV>
            <wp:extent cx="7203440" cy="3683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299" w:bottom="1440" w:left="292" w:header="0" w:footer="0" w:gutter="0"/>
          <w:cols w:num="1" w:space="720" w:equalWidth="0">
            <w:col w:w="11308" w:space="0"/>
          </w:cols>
        </w:sectPr>
      </w:pPr>
    </w:p>
    <w:bookmarkStart w:id="71" w:name="page72"/>
    <w:bookmarkEnd w:id="71"/>
    <w:p>
      <w:pPr>
        <w:spacing w:after="0"/>
        <w:rPr>
          <w:color w:val="auto"/>
          <w:sz w:val="20"/>
          <w:szCs w:val="20"/>
        </w:rPr>
      </w:pPr>
      <w:r>
        <w:rPr>
          <w:rFonts w:ascii="Calibri" w:eastAsia="Calibri" w:hAnsi="Calibri" w:cs="Calibri"/>
          <w:b/>
          <w:bCs/>
          <w:color w:val="444867"/>
          <w:sz w:val="12"/>
          <w:szCs w:val="12"/>
        </w:rPr>
        <w:t>Intangible Assets, Net</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intangible assets: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000"/>
        <w:gridCol w:w="820"/>
        <w:gridCol w:w="420"/>
        <w:gridCol w:w="260"/>
        <w:gridCol w:w="1060"/>
        <w:gridCol w:w="240"/>
        <w:gridCol w:w="780"/>
        <w:gridCol w:w="100"/>
        <w:gridCol w:w="260"/>
        <w:gridCol w:w="980"/>
        <w:gridCol w:w="260"/>
        <w:gridCol w:w="1040"/>
        <w:gridCol w:w="260"/>
        <w:gridCol w:w="820"/>
        <w:gridCol w:w="20"/>
      </w:tblGrid>
      <w:tr>
        <w:tblPrEx>
          <w:tblInd w:w="0" w:type="dxa"/>
          <w:tblLayout w:type="fixed"/>
        </w:tblPrEx>
        <w:trPr>
          <w:trHeight w:val="122"/>
        </w:trPr>
        <w:tc>
          <w:tcPr>
            <w:tcW w:w="4000" w:type="dxa"/>
            <w:vAlign w:val="bottom"/>
          </w:tcPr>
          <w:p>
            <w:pPr>
              <w:spacing w:after="0"/>
              <w:rPr>
                <w:color w:val="auto"/>
                <w:sz w:val="10"/>
                <w:szCs w:val="10"/>
              </w:rPr>
            </w:pPr>
          </w:p>
        </w:tc>
        <w:tc>
          <w:tcPr>
            <w:tcW w:w="820" w:type="dxa"/>
            <w:vAlign w:val="bottom"/>
          </w:tcPr>
          <w:p>
            <w:pPr>
              <w:spacing w:after="0"/>
              <w:rPr>
                <w:color w:val="auto"/>
                <w:sz w:val="10"/>
                <w:szCs w:val="10"/>
              </w:rPr>
            </w:pPr>
          </w:p>
        </w:tc>
        <w:tc>
          <w:tcPr>
            <w:tcW w:w="420" w:type="dxa"/>
            <w:vAlign w:val="bottom"/>
          </w:tcPr>
          <w:p>
            <w:pPr>
              <w:spacing w:after="0"/>
              <w:rPr>
                <w:color w:val="auto"/>
                <w:sz w:val="10"/>
                <w:szCs w:val="10"/>
              </w:rPr>
            </w:pPr>
          </w:p>
        </w:tc>
        <w:tc>
          <w:tcPr>
            <w:tcW w:w="260" w:type="dxa"/>
            <w:vAlign w:val="bottom"/>
          </w:tcPr>
          <w:p>
            <w:pPr>
              <w:spacing w:after="0"/>
              <w:rPr>
                <w:color w:val="auto"/>
                <w:sz w:val="10"/>
                <w:szCs w:val="10"/>
              </w:rPr>
            </w:pPr>
          </w:p>
        </w:tc>
        <w:tc>
          <w:tcPr>
            <w:tcW w:w="1060" w:type="dxa"/>
            <w:vAlign w:val="bottom"/>
          </w:tcPr>
          <w:p>
            <w:pPr>
              <w:spacing w:after="0"/>
              <w:ind w:right="605"/>
              <w:jc w:val="right"/>
              <w:rPr>
                <w:color w:val="auto"/>
                <w:sz w:val="20"/>
                <w:szCs w:val="20"/>
              </w:rPr>
            </w:pPr>
            <w:r>
              <w:rPr>
                <w:rFonts w:ascii="Calibri" w:eastAsia="Calibri" w:hAnsi="Calibri" w:cs="Calibri"/>
                <w:b/>
                <w:bCs/>
                <w:color w:val="auto"/>
                <w:sz w:val="10"/>
                <w:szCs w:val="10"/>
              </w:rPr>
              <w:t>2024</w:t>
            </w:r>
          </w:p>
        </w:tc>
        <w:tc>
          <w:tcPr>
            <w:tcW w:w="240" w:type="dxa"/>
            <w:vAlign w:val="bottom"/>
          </w:tcPr>
          <w:p>
            <w:pPr>
              <w:spacing w:after="0"/>
              <w:rPr>
                <w:color w:val="auto"/>
                <w:sz w:val="10"/>
                <w:szCs w:val="10"/>
              </w:rPr>
            </w:pPr>
          </w:p>
        </w:tc>
        <w:tc>
          <w:tcPr>
            <w:tcW w:w="78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260" w:type="dxa"/>
            <w:vAlign w:val="bottom"/>
          </w:tcPr>
          <w:p>
            <w:pPr>
              <w:spacing w:after="0"/>
              <w:rPr>
                <w:color w:val="auto"/>
                <w:sz w:val="10"/>
                <w:szCs w:val="10"/>
              </w:rPr>
            </w:pPr>
          </w:p>
        </w:tc>
        <w:tc>
          <w:tcPr>
            <w:tcW w:w="980" w:type="dxa"/>
            <w:vAlign w:val="bottom"/>
          </w:tcPr>
          <w:p>
            <w:pPr>
              <w:spacing w:after="0"/>
              <w:rPr>
                <w:color w:val="auto"/>
                <w:sz w:val="10"/>
                <w:szCs w:val="10"/>
              </w:rPr>
            </w:pPr>
          </w:p>
        </w:tc>
        <w:tc>
          <w:tcPr>
            <w:tcW w:w="260" w:type="dxa"/>
            <w:vAlign w:val="bottom"/>
          </w:tcPr>
          <w:p>
            <w:pPr>
              <w:spacing w:after="0"/>
              <w:rPr>
                <w:color w:val="auto"/>
                <w:sz w:val="10"/>
                <w:szCs w:val="10"/>
              </w:rPr>
            </w:pPr>
          </w:p>
        </w:tc>
        <w:tc>
          <w:tcPr>
            <w:tcW w:w="1040" w:type="dxa"/>
            <w:vAlign w:val="bottom"/>
          </w:tcPr>
          <w:p>
            <w:pPr>
              <w:spacing w:after="0"/>
              <w:ind w:right="585"/>
              <w:jc w:val="right"/>
              <w:rPr>
                <w:color w:val="auto"/>
                <w:sz w:val="20"/>
                <w:szCs w:val="20"/>
              </w:rPr>
            </w:pPr>
            <w:r>
              <w:rPr>
                <w:rFonts w:ascii="Calibri" w:eastAsia="Calibri" w:hAnsi="Calibri" w:cs="Calibri"/>
                <w:b/>
                <w:bCs/>
                <w:color w:val="auto"/>
                <w:sz w:val="10"/>
                <w:szCs w:val="10"/>
              </w:rPr>
              <w:t>2023</w:t>
            </w:r>
          </w:p>
        </w:tc>
        <w:tc>
          <w:tcPr>
            <w:tcW w:w="260" w:type="dxa"/>
            <w:vAlign w:val="bottom"/>
          </w:tcPr>
          <w:p>
            <w:pPr>
              <w:spacing w:after="0"/>
              <w:rPr>
                <w:color w:val="auto"/>
                <w:sz w:val="10"/>
                <w:szCs w:val="10"/>
              </w:rPr>
            </w:pPr>
          </w:p>
        </w:tc>
        <w:tc>
          <w:tcPr>
            <w:tcW w:w="82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4000" w:type="dxa"/>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1060" w:type="dxa"/>
            <w:tcBorders>
              <w:bottom w:val="single" w:sz="8" w:space="0" w:color="auto"/>
            </w:tcBorders>
            <w:vAlign w:val="bottom"/>
          </w:tcPr>
          <w:p>
            <w:pPr>
              <w:spacing w:after="0"/>
              <w:rPr>
                <w:color w:val="auto"/>
                <w:sz w:val="2"/>
                <w:szCs w:val="2"/>
              </w:rPr>
            </w:pPr>
          </w:p>
        </w:tc>
        <w:tc>
          <w:tcPr>
            <w:tcW w:w="24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100" w:type="dxa"/>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98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104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79"/>
        </w:trPr>
        <w:tc>
          <w:tcPr>
            <w:tcW w:w="4000" w:type="dxa"/>
            <w:vAlign w:val="bottom"/>
          </w:tcPr>
          <w:p>
            <w:pPr>
              <w:spacing w:after="0"/>
              <w:rPr>
                <w:color w:val="auto"/>
                <w:sz w:val="6"/>
                <w:szCs w:val="6"/>
              </w:rPr>
            </w:pPr>
          </w:p>
        </w:tc>
        <w:tc>
          <w:tcPr>
            <w:tcW w:w="820" w:type="dxa"/>
            <w:vAlign w:val="bottom"/>
          </w:tcPr>
          <w:p>
            <w:pPr>
              <w:spacing w:after="0" w:line="79" w:lineRule="exact"/>
              <w:ind w:left="348"/>
              <w:jc w:val="center"/>
              <w:rPr>
                <w:color w:val="auto"/>
                <w:sz w:val="20"/>
                <w:szCs w:val="20"/>
              </w:rPr>
            </w:pPr>
            <w:r>
              <w:rPr>
                <w:rFonts w:ascii="Calibri" w:eastAsia="Calibri" w:hAnsi="Calibri" w:cs="Calibri"/>
                <w:b/>
                <w:bCs/>
                <w:color w:val="auto"/>
                <w:sz w:val="8"/>
                <w:szCs w:val="8"/>
              </w:rPr>
              <w:t>Gross</w:t>
            </w:r>
          </w:p>
        </w:tc>
        <w:tc>
          <w:tcPr>
            <w:tcW w:w="420" w:type="dxa"/>
            <w:vAlign w:val="bottom"/>
          </w:tcPr>
          <w:p>
            <w:pPr>
              <w:spacing w:after="0"/>
              <w:rPr>
                <w:color w:val="auto"/>
                <w:sz w:val="6"/>
                <w:szCs w:val="6"/>
              </w:rPr>
            </w:pPr>
          </w:p>
        </w:tc>
        <w:tc>
          <w:tcPr>
            <w:tcW w:w="260" w:type="dxa"/>
            <w:vAlign w:val="bottom"/>
          </w:tcPr>
          <w:p>
            <w:pPr>
              <w:spacing w:after="0"/>
              <w:rPr>
                <w:color w:val="auto"/>
                <w:sz w:val="6"/>
                <w:szCs w:val="6"/>
              </w:rPr>
            </w:pPr>
          </w:p>
        </w:tc>
        <w:tc>
          <w:tcPr>
            <w:tcW w:w="1060" w:type="dxa"/>
            <w:vAlign w:val="bottom"/>
          </w:tcPr>
          <w:p>
            <w:pPr>
              <w:spacing w:after="0"/>
              <w:rPr>
                <w:color w:val="auto"/>
                <w:sz w:val="6"/>
                <w:szCs w:val="6"/>
              </w:rPr>
            </w:pPr>
          </w:p>
        </w:tc>
        <w:tc>
          <w:tcPr>
            <w:tcW w:w="240" w:type="dxa"/>
            <w:vAlign w:val="bottom"/>
          </w:tcPr>
          <w:p>
            <w:pPr>
              <w:spacing w:after="0"/>
              <w:rPr>
                <w:color w:val="auto"/>
                <w:sz w:val="6"/>
                <w:szCs w:val="6"/>
              </w:rPr>
            </w:pPr>
          </w:p>
        </w:tc>
        <w:tc>
          <w:tcPr>
            <w:tcW w:w="780" w:type="dxa"/>
            <w:vAlign w:val="bottom"/>
          </w:tcPr>
          <w:p>
            <w:pPr>
              <w:spacing w:after="0" w:line="79" w:lineRule="exact"/>
              <w:ind w:right="145"/>
              <w:jc w:val="center"/>
              <w:rPr>
                <w:color w:val="auto"/>
                <w:sz w:val="20"/>
                <w:szCs w:val="20"/>
              </w:rPr>
            </w:pPr>
            <w:r>
              <w:rPr>
                <w:rFonts w:ascii="Calibri" w:eastAsia="Calibri" w:hAnsi="Calibri" w:cs="Calibri"/>
                <w:b/>
                <w:bCs/>
                <w:color w:val="auto"/>
                <w:sz w:val="8"/>
                <w:szCs w:val="8"/>
              </w:rPr>
              <w:t>Net</w:t>
            </w:r>
          </w:p>
        </w:tc>
        <w:tc>
          <w:tcPr>
            <w:tcW w:w="100" w:type="dxa"/>
            <w:vAlign w:val="bottom"/>
          </w:tcPr>
          <w:p>
            <w:pPr>
              <w:spacing w:after="0"/>
              <w:rPr>
                <w:color w:val="auto"/>
                <w:sz w:val="6"/>
                <w:szCs w:val="6"/>
              </w:rPr>
            </w:pPr>
          </w:p>
        </w:tc>
        <w:tc>
          <w:tcPr>
            <w:tcW w:w="260" w:type="dxa"/>
            <w:vAlign w:val="bottom"/>
          </w:tcPr>
          <w:p>
            <w:pPr>
              <w:spacing w:after="0"/>
              <w:rPr>
                <w:color w:val="auto"/>
                <w:sz w:val="6"/>
                <w:szCs w:val="6"/>
              </w:rPr>
            </w:pPr>
          </w:p>
        </w:tc>
        <w:tc>
          <w:tcPr>
            <w:tcW w:w="980" w:type="dxa"/>
            <w:vAlign w:val="bottom"/>
          </w:tcPr>
          <w:p>
            <w:pPr>
              <w:spacing w:after="0" w:line="79" w:lineRule="exact"/>
              <w:ind w:right="465"/>
              <w:jc w:val="right"/>
              <w:rPr>
                <w:color w:val="auto"/>
                <w:sz w:val="20"/>
                <w:szCs w:val="20"/>
              </w:rPr>
            </w:pPr>
            <w:r>
              <w:rPr>
                <w:rFonts w:ascii="Calibri" w:eastAsia="Calibri" w:hAnsi="Calibri" w:cs="Calibri"/>
                <w:b/>
                <w:bCs/>
                <w:color w:val="auto"/>
                <w:sz w:val="8"/>
                <w:szCs w:val="8"/>
              </w:rPr>
              <w:t>Gross</w:t>
            </w:r>
          </w:p>
        </w:tc>
        <w:tc>
          <w:tcPr>
            <w:tcW w:w="260" w:type="dxa"/>
            <w:vAlign w:val="bottom"/>
          </w:tcPr>
          <w:p>
            <w:pPr>
              <w:spacing w:after="0"/>
              <w:rPr>
                <w:color w:val="auto"/>
                <w:sz w:val="6"/>
                <w:szCs w:val="6"/>
              </w:rPr>
            </w:pPr>
          </w:p>
        </w:tc>
        <w:tc>
          <w:tcPr>
            <w:tcW w:w="1040" w:type="dxa"/>
            <w:vAlign w:val="bottom"/>
          </w:tcPr>
          <w:p>
            <w:pPr>
              <w:spacing w:after="0"/>
              <w:rPr>
                <w:color w:val="auto"/>
                <w:sz w:val="6"/>
                <w:szCs w:val="6"/>
              </w:rPr>
            </w:pPr>
          </w:p>
        </w:tc>
        <w:tc>
          <w:tcPr>
            <w:tcW w:w="260" w:type="dxa"/>
            <w:vAlign w:val="bottom"/>
          </w:tcPr>
          <w:p>
            <w:pPr>
              <w:spacing w:after="0"/>
              <w:rPr>
                <w:color w:val="auto"/>
                <w:sz w:val="6"/>
                <w:szCs w:val="6"/>
              </w:rPr>
            </w:pPr>
          </w:p>
        </w:tc>
        <w:tc>
          <w:tcPr>
            <w:tcW w:w="820" w:type="dxa"/>
            <w:vAlign w:val="bottom"/>
          </w:tcPr>
          <w:p>
            <w:pPr>
              <w:spacing w:after="0" w:line="79" w:lineRule="exact"/>
              <w:ind w:right="385"/>
              <w:jc w:val="right"/>
              <w:rPr>
                <w:color w:val="auto"/>
                <w:sz w:val="20"/>
                <w:szCs w:val="20"/>
              </w:rPr>
            </w:pPr>
            <w:r>
              <w:rPr>
                <w:rFonts w:ascii="Calibri" w:eastAsia="Calibri" w:hAnsi="Calibri" w:cs="Calibri"/>
                <w:b/>
                <w:bCs/>
                <w:color w:val="auto"/>
                <w:sz w:val="8"/>
                <w:szCs w:val="8"/>
              </w:rPr>
              <w:t>Net</w:t>
            </w:r>
          </w:p>
        </w:tc>
        <w:tc>
          <w:tcPr>
            <w:tcW w:w="1" w:type="dxa"/>
            <w:vAlign w:val="bottom"/>
          </w:tcPr>
          <w:p>
            <w:pPr>
              <w:spacing w:after="0"/>
              <w:rPr>
                <w:color w:val="auto"/>
                <w:sz w:val="1"/>
                <w:szCs w:val="1"/>
              </w:rPr>
            </w:pPr>
          </w:p>
        </w:tc>
      </w:tr>
      <w:tr>
        <w:tblPrEx>
          <w:tblInd w:w="0" w:type="dxa"/>
          <w:tblLayout w:type="fixed"/>
        </w:tblPrEx>
        <w:trPr>
          <w:trHeight w:val="99"/>
        </w:trPr>
        <w:tc>
          <w:tcPr>
            <w:tcW w:w="4000" w:type="dxa"/>
            <w:vMerge w:val="restart"/>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820" w:type="dxa"/>
            <w:vAlign w:val="bottom"/>
          </w:tcPr>
          <w:p>
            <w:pPr>
              <w:spacing w:after="0" w:line="99" w:lineRule="exact"/>
              <w:ind w:left="368"/>
              <w:jc w:val="center"/>
              <w:rPr>
                <w:color w:val="auto"/>
                <w:sz w:val="20"/>
                <w:szCs w:val="20"/>
              </w:rPr>
            </w:pPr>
            <w:r>
              <w:rPr>
                <w:rFonts w:ascii="Calibri" w:eastAsia="Calibri" w:hAnsi="Calibri" w:cs="Calibri"/>
                <w:b/>
                <w:bCs/>
                <w:color w:val="auto"/>
                <w:w w:val="95"/>
                <w:sz w:val="10"/>
                <w:szCs w:val="10"/>
              </w:rPr>
              <w:t>carrying</w:t>
            </w:r>
          </w:p>
        </w:tc>
        <w:tc>
          <w:tcPr>
            <w:tcW w:w="420" w:type="dxa"/>
            <w:vAlign w:val="bottom"/>
          </w:tcPr>
          <w:p>
            <w:pPr>
              <w:spacing w:after="0"/>
              <w:rPr>
                <w:color w:val="auto"/>
                <w:sz w:val="8"/>
                <w:szCs w:val="8"/>
              </w:rPr>
            </w:pPr>
          </w:p>
        </w:tc>
        <w:tc>
          <w:tcPr>
            <w:tcW w:w="260" w:type="dxa"/>
            <w:vAlign w:val="bottom"/>
          </w:tcPr>
          <w:p>
            <w:pPr>
              <w:spacing w:after="0"/>
              <w:rPr>
                <w:color w:val="auto"/>
                <w:sz w:val="8"/>
                <w:szCs w:val="8"/>
              </w:rPr>
            </w:pPr>
          </w:p>
        </w:tc>
        <w:tc>
          <w:tcPr>
            <w:tcW w:w="1060" w:type="dxa"/>
            <w:vAlign w:val="bottom"/>
          </w:tcPr>
          <w:p>
            <w:pPr>
              <w:spacing w:after="0" w:line="99" w:lineRule="exact"/>
              <w:ind w:right="345"/>
              <w:jc w:val="right"/>
              <w:rPr>
                <w:color w:val="auto"/>
                <w:sz w:val="20"/>
                <w:szCs w:val="20"/>
              </w:rPr>
            </w:pPr>
            <w:r>
              <w:rPr>
                <w:rFonts w:ascii="Calibri" w:eastAsia="Calibri" w:hAnsi="Calibri" w:cs="Calibri"/>
                <w:b/>
                <w:bCs/>
                <w:color w:val="auto"/>
                <w:sz w:val="10"/>
                <w:szCs w:val="10"/>
              </w:rPr>
              <w:t>Accumulated</w:t>
            </w:r>
          </w:p>
        </w:tc>
        <w:tc>
          <w:tcPr>
            <w:tcW w:w="240" w:type="dxa"/>
            <w:vAlign w:val="bottom"/>
          </w:tcPr>
          <w:p>
            <w:pPr>
              <w:spacing w:after="0"/>
              <w:rPr>
                <w:color w:val="auto"/>
                <w:sz w:val="8"/>
                <w:szCs w:val="8"/>
              </w:rPr>
            </w:pPr>
          </w:p>
        </w:tc>
        <w:tc>
          <w:tcPr>
            <w:tcW w:w="880" w:type="dxa"/>
            <w:gridSpan w:val="2"/>
            <w:vAlign w:val="bottom"/>
          </w:tcPr>
          <w:p>
            <w:pPr>
              <w:spacing w:after="0" w:line="99" w:lineRule="exact"/>
              <w:ind w:right="280"/>
              <w:jc w:val="center"/>
              <w:rPr>
                <w:color w:val="auto"/>
                <w:sz w:val="20"/>
                <w:szCs w:val="20"/>
              </w:rPr>
            </w:pPr>
            <w:r>
              <w:rPr>
                <w:rFonts w:ascii="Calibri" w:eastAsia="Calibri" w:hAnsi="Calibri" w:cs="Calibri"/>
                <w:b/>
                <w:bCs/>
                <w:color w:val="auto"/>
                <w:w w:val="95"/>
                <w:sz w:val="10"/>
                <w:szCs w:val="10"/>
              </w:rPr>
              <w:t>carrying</w:t>
            </w:r>
          </w:p>
        </w:tc>
        <w:tc>
          <w:tcPr>
            <w:tcW w:w="260" w:type="dxa"/>
            <w:vAlign w:val="bottom"/>
          </w:tcPr>
          <w:p>
            <w:pPr>
              <w:spacing w:after="0"/>
              <w:rPr>
                <w:color w:val="auto"/>
                <w:sz w:val="8"/>
                <w:szCs w:val="8"/>
              </w:rPr>
            </w:pPr>
          </w:p>
        </w:tc>
        <w:tc>
          <w:tcPr>
            <w:tcW w:w="980" w:type="dxa"/>
            <w:vAlign w:val="bottom"/>
          </w:tcPr>
          <w:p>
            <w:pPr>
              <w:spacing w:after="0" w:line="99" w:lineRule="exact"/>
              <w:ind w:right="405"/>
              <w:jc w:val="right"/>
              <w:rPr>
                <w:color w:val="auto"/>
                <w:sz w:val="20"/>
                <w:szCs w:val="20"/>
              </w:rPr>
            </w:pPr>
            <w:r>
              <w:rPr>
                <w:rFonts w:ascii="Calibri" w:eastAsia="Calibri" w:hAnsi="Calibri" w:cs="Calibri"/>
                <w:b/>
                <w:bCs/>
                <w:color w:val="auto"/>
                <w:sz w:val="10"/>
                <w:szCs w:val="10"/>
              </w:rPr>
              <w:t>carrying</w:t>
            </w:r>
          </w:p>
        </w:tc>
        <w:tc>
          <w:tcPr>
            <w:tcW w:w="260" w:type="dxa"/>
            <w:vAlign w:val="bottom"/>
          </w:tcPr>
          <w:p>
            <w:pPr>
              <w:spacing w:after="0"/>
              <w:rPr>
                <w:color w:val="auto"/>
                <w:sz w:val="8"/>
                <w:szCs w:val="8"/>
              </w:rPr>
            </w:pPr>
          </w:p>
        </w:tc>
        <w:tc>
          <w:tcPr>
            <w:tcW w:w="1040" w:type="dxa"/>
            <w:vAlign w:val="bottom"/>
          </w:tcPr>
          <w:p>
            <w:pPr>
              <w:spacing w:after="0" w:line="99" w:lineRule="exact"/>
              <w:ind w:right="325"/>
              <w:jc w:val="right"/>
              <w:rPr>
                <w:color w:val="auto"/>
                <w:sz w:val="20"/>
                <w:szCs w:val="20"/>
              </w:rPr>
            </w:pPr>
            <w:r>
              <w:rPr>
                <w:rFonts w:ascii="Calibri" w:eastAsia="Calibri" w:hAnsi="Calibri" w:cs="Calibri"/>
                <w:b/>
                <w:bCs/>
                <w:color w:val="auto"/>
                <w:sz w:val="10"/>
                <w:szCs w:val="10"/>
              </w:rPr>
              <w:t>Accumulated</w:t>
            </w:r>
          </w:p>
        </w:tc>
        <w:tc>
          <w:tcPr>
            <w:tcW w:w="260" w:type="dxa"/>
            <w:vAlign w:val="bottom"/>
          </w:tcPr>
          <w:p>
            <w:pPr>
              <w:spacing w:after="0"/>
              <w:rPr>
                <w:color w:val="auto"/>
                <w:sz w:val="8"/>
                <w:szCs w:val="8"/>
              </w:rPr>
            </w:pPr>
          </w:p>
        </w:tc>
        <w:tc>
          <w:tcPr>
            <w:tcW w:w="820" w:type="dxa"/>
            <w:vAlign w:val="bottom"/>
          </w:tcPr>
          <w:p>
            <w:pPr>
              <w:spacing w:after="0" w:line="99" w:lineRule="exact"/>
              <w:ind w:right="285"/>
              <w:jc w:val="right"/>
              <w:rPr>
                <w:color w:val="auto"/>
                <w:sz w:val="20"/>
                <w:szCs w:val="20"/>
              </w:rPr>
            </w:pPr>
            <w:r>
              <w:rPr>
                <w:rFonts w:ascii="Calibri" w:eastAsia="Calibri" w:hAnsi="Calibri" w:cs="Calibri"/>
                <w:b/>
                <w:bCs/>
                <w:color w:val="auto"/>
                <w:sz w:val="10"/>
                <w:szCs w:val="10"/>
              </w:rPr>
              <w:t>carrying</w:t>
            </w:r>
          </w:p>
        </w:tc>
        <w:tc>
          <w:tcPr>
            <w:tcW w:w="1" w:type="dxa"/>
            <w:vAlign w:val="bottom"/>
          </w:tcPr>
          <w:p>
            <w:pPr>
              <w:spacing w:after="0"/>
              <w:rPr>
                <w:color w:val="auto"/>
                <w:sz w:val="1"/>
                <w:szCs w:val="1"/>
              </w:rPr>
            </w:pPr>
          </w:p>
        </w:tc>
      </w:tr>
      <w:tr>
        <w:tblPrEx>
          <w:tblInd w:w="0" w:type="dxa"/>
          <w:tblLayout w:type="fixed"/>
        </w:tblPrEx>
        <w:trPr>
          <w:trHeight w:val="112"/>
        </w:trPr>
        <w:tc>
          <w:tcPr>
            <w:tcW w:w="4000" w:type="dxa"/>
            <w:vMerge/>
            <w:vAlign w:val="bottom"/>
          </w:tcPr>
          <w:p>
            <w:pPr>
              <w:spacing w:after="0"/>
              <w:rPr>
                <w:color w:val="auto"/>
                <w:sz w:val="9"/>
                <w:szCs w:val="9"/>
              </w:rPr>
            </w:pPr>
          </w:p>
        </w:tc>
        <w:tc>
          <w:tcPr>
            <w:tcW w:w="820" w:type="dxa"/>
            <w:vAlign w:val="bottom"/>
          </w:tcPr>
          <w:p>
            <w:pPr>
              <w:spacing w:after="0" w:line="112" w:lineRule="exact"/>
              <w:ind w:left="368"/>
              <w:jc w:val="center"/>
              <w:rPr>
                <w:color w:val="auto"/>
                <w:sz w:val="20"/>
                <w:szCs w:val="20"/>
              </w:rPr>
            </w:pPr>
            <w:r>
              <w:rPr>
                <w:rFonts w:ascii="Calibri" w:eastAsia="Calibri" w:hAnsi="Calibri" w:cs="Calibri"/>
                <w:b/>
                <w:bCs/>
                <w:color w:val="auto"/>
                <w:w w:val="97"/>
                <w:sz w:val="10"/>
                <w:szCs w:val="10"/>
              </w:rPr>
              <w:t>amount</w:t>
            </w:r>
          </w:p>
        </w:tc>
        <w:tc>
          <w:tcPr>
            <w:tcW w:w="420" w:type="dxa"/>
            <w:vAlign w:val="bottom"/>
          </w:tcPr>
          <w:p>
            <w:pPr>
              <w:spacing w:after="0"/>
              <w:rPr>
                <w:color w:val="auto"/>
                <w:sz w:val="9"/>
                <w:szCs w:val="9"/>
              </w:rPr>
            </w:pPr>
          </w:p>
        </w:tc>
        <w:tc>
          <w:tcPr>
            <w:tcW w:w="260" w:type="dxa"/>
            <w:vAlign w:val="bottom"/>
          </w:tcPr>
          <w:p>
            <w:pPr>
              <w:spacing w:after="0"/>
              <w:rPr>
                <w:color w:val="auto"/>
                <w:sz w:val="9"/>
                <w:szCs w:val="9"/>
              </w:rPr>
            </w:pPr>
          </w:p>
        </w:tc>
        <w:tc>
          <w:tcPr>
            <w:tcW w:w="1060" w:type="dxa"/>
            <w:vAlign w:val="bottom"/>
          </w:tcPr>
          <w:p>
            <w:pPr>
              <w:spacing w:after="0" w:line="112" w:lineRule="exact"/>
              <w:ind w:right="325"/>
              <w:jc w:val="right"/>
              <w:rPr>
                <w:color w:val="auto"/>
                <w:sz w:val="20"/>
                <w:szCs w:val="20"/>
              </w:rPr>
            </w:pPr>
            <w:r>
              <w:rPr>
                <w:rFonts w:ascii="Calibri" w:eastAsia="Calibri" w:hAnsi="Calibri" w:cs="Calibri"/>
                <w:b/>
                <w:bCs/>
                <w:color w:val="auto"/>
                <w:sz w:val="10"/>
                <w:szCs w:val="10"/>
              </w:rPr>
              <w:t>amortzaton</w:t>
            </w:r>
          </w:p>
        </w:tc>
        <w:tc>
          <w:tcPr>
            <w:tcW w:w="240" w:type="dxa"/>
            <w:vAlign w:val="bottom"/>
          </w:tcPr>
          <w:p>
            <w:pPr>
              <w:spacing w:after="0"/>
              <w:rPr>
                <w:color w:val="auto"/>
                <w:sz w:val="9"/>
                <w:szCs w:val="9"/>
              </w:rPr>
            </w:pPr>
          </w:p>
        </w:tc>
        <w:tc>
          <w:tcPr>
            <w:tcW w:w="880" w:type="dxa"/>
            <w:gridSpan w:val="2"/>
            <w:vAlign w:val="bottom"/>
          </w:tcPr>
          <w:p>
            <w:pPr>
              <w:spacing w:after="0" w:line="112" w:lineRule="exact"/>
              <w:ind w:right="280"/>
              <w:jc w:val="center"/>
              <w:rPr>
                <w:color w:val="auto"/>
                <w:sz w:val="20"/>
                <w:szCs w:val="20"/>
              </w:rPr>
            </w:pPr>
            <w:r>
              <w:rPr>
                <w:rFonts w:ascii="Calibri" w:eastAsia="Calibri" w:hAnsi="Calibri" w:cs="Calibri"/>
                <w:b/>
                <w:bCs/>
                <w:color w:val="auto"/>
                <w:w w:val="97"/>
                <w:sz w:val="10"/>
                <w:szCs w:val="10"/>
              </w:rPr>
              <w:t>amount</w:t>
            </w:r>
          </w:p>
        </w:tc>
        <w:tc>
          <w:tcPr>
            <w:tcW w:w="260" w:type="dxa"/>
            <w:vAlign w:val="bottom"/>
          </w:tcPr>
          <w:p>
            <w:pPr>
              <w:spacing w:after="0"/>
              <w:rPr>
                <w:color w:val="auto"/>
                <w:sz w:val="9"/>
                <w:szCs w:val="9"/>
              </w:rPr>
            </w:pPr>
          </w:p>
        </w:tc>
        <w:tc>
          <w:tcPr>
            <w:tcW w:w="980" w:type="dxa"/>
            <w:vAlign w:val="bottom"/>
          </w:tcPr>
          <w:p>
            <w:pPr>
              <w:spacing w:after="0" w:line="112" w:lineRule="exact"/>
              <w:ind w:right="425"/>
              <w:jc w:val="right"/>
              <w:rPr>
                <w:color w:val="auto"/>
                <w:sz w:val="20"/>
                <w:szCs w:val="20"/>
              </w:rPr>
            </w:pPr>
            <w:r>
              <w:rPr>
                <w:rFonts w:ascii="Calibri" w:eastAsia="Calibri" w:hAnsi="Calibri" w:cs="Calibri"/>
                <w:b/>
                <w:bCs/>
                <w:color w:val="auto"/>
                <w:sz w:val="10"/>
                <w:szCs w:val="10"/>
              </w:rPr>
              <w:t>amount</w:t>
            </w:r>
          </w:p>
        </w:tc>
        <w:tc>
          <w:tcPr>
            <w:tcW w:w="260" w:type="dxa"/>
            <w:vAlign w:val="bottom"/>
          </w:tcPr>
          <w:p>
            <w:pPr>
              <w:spacing w:after="0"/>
              <w:rPr>
                <w:color w:val="auto"/>
                <w:sz w:val="9"/>
                <w:szCs w:val="9"/>
              </w:rPr>
            </w:pPr>
          </w:p>
        </w:tc>
        <w:tc>
          <w:tcPr>
            <w:tcW w:w="1040" w:type="dxa"/>
            <w:vAlign w:val="bottom"/>
          </w:tcPr>
          <w:p>
            <w:pPr>
              <w:spacing w:after="0" w:line="112" w:lineRule="exact"/>
              <w:ind w:right="325"/>
              <w:jc w:val="right"/>
              <w:rPr>
                <w:color w:val="auto"/>
                <w:sz w:val="20"/>
                <w:szCs w:val="20"/>
              </w:rPr>
            </w:pPr>
            <w:r>
              <w:rPr>
                <w:rFonts w:ascii="Calibri" w:eastAsia="Calibri" w:hAnsi="Calibri" w:cs="Calibri"/>
                <w:b/>
                <w:bCs/>
                <w:color w:val="auto"/>
                <w:sz w:val="10"/>
                <w:szCs w:val="10"/>
              </w:rPr>
              <w:t>amortzaton</w:t>
            </w:r>
          </w:p>
        </w:tc>
        <w:tc>
          <w:tcPr>
            <w:tcW w:w="260" w:type="dxa"/>
            <w:vAlign w:val="bottom"/>
          </w:tcPr>
          <w:p>
            <w:pPr>
              <w:spacing w:after="0"/>
              <w:rPr>
                <w:color w:val="auto"/>
                <w:sz w:val="9"/>
                <w:szCs w:val="9"/>
              </w:rPr>
            </w:pPr>
          </w:p>
        </w:tc>
        <w:tc>
          <w:tcPr>
            <w:tcW w:w="820" w:type="dxa"/>
            <w:vAlign w:val="bottom"/>
          </w:tcPr>
          <w:p>
            <w:pPr>
              <w:spacing w:after="0" w:line="112" w:lineRule="exact"/>
              <w:ind w:right="285"/>
              <w:jc w:val="right"/>
              <w:rPr>
                <w:color w:val="auto"/>
                <w:sz w:val="20"/>
                <w:szCs w:val="20"/>
              </w:rPr>
            </w:pPr>
            <w:r>
              <w:rPr>
                <w:rFonts w:ascii="Calibri" w:eastAsia="Calibri" w:hAnsi="Calibri" w:cs="Calibri"/>
                <w:b/>
                <w:bCs/>
                <w:color w:val="auto"/>
                <w:sz w:val="10"/>
                <w:szCs w:val="10"/>
              </w:rPr>
              <w:t>amount</w:t>
            </w:r>
          </w:p>
        </w:tc>
        <w:tc>
          <w:tcPr>
            <w:tcW w:w="1" w:type="dxa"/>
            <w:vAlign w:val="bottom"/>
          </w:tcPr>
          <w:p>
            <w:pPr>
              <w:spacing w:after="0"/>
              <w:rPr>
                <w:color w:val="auto"/>
                <w:sz w:val="1"/>
                <w:szCs w:val="1"/>
              </w:rPr>
            </w:pPr>
          </w:p>
        </w:tc>
      </w:tr>
      <w:tr>
        <w:tblPrEx>
          <w:tblInd w:w="0" w:type="dxa"/>
          <w:tblLayout w:type="fixed"/>
        </w:tblPrEx>
        <w:trPr>
          <w:trHeight w:val="23"/>
        </w:trPr>
        <w:tc>
          <w:tcPr>
            <w:tcW w:w="400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1060" w:type="dxa"/>
            <w:tcBorders>
              <w:bottom w:val="single" w:sz="8" w:space="0" w:color="auto"/>
            </w:tcBorders>
            <w:vAlign w:val="bottom"/>
          </w:tcPr>
          <w:p>
            <w:pPr>
              <w:spacing w:after="0"/>
              <w:rPr>
                <w:color w:val="auto"/>
                <w:sz w:val="2"/>
                <w:szCs w:val="2"/>
              </w:rPr>
            </w:pPr>
          </w:p>
        </w:tc>
        <w:tc>
          <w:tcPr>
            <w:tcW w:w="24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98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104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36"/>
        </w:trPr>
        <w:tc>
          <w:tcPr>
            <w:tcW w:w="4000" w:type="dxa"/>
            <w:vAlign w:val="bottom"/>
          </w:tcPr>
          <w:p>
            <w:pPr>
              <w:spacing w:after="0" w:line="137" w:lineRule="exact"/>
              <w:rPr>
                <w:color w:val="auto"/>
                <w:sz w:val="20"/>
                <w:szCs w:val="20"/>
              </w:rPr>
            </w:pPr>
            <w:r>
              <w:rPr>
                <w:rFonts w:ascii="Calibri" w:eastAsia="Calibri" w:hAnsi="Calibri" w:cs="Calibri"/>
                <w:color w:val="auto"/>
                <w:sz w:val="12"/>
                <w:szCs w:val="12"/>
              </w:rPr>
              <w:t>Defnite-lived intangible assets</w:t>
            </w:r>
          </w:p>
        </w:tc>
        <w:tc>
          <w:tcPr>
            <w:tcW w:w="820" w:type="dxa"/>
            <w:vAlign w:val="bottom"/>
          </w:tcPr>
          <w:p>
            <w:pPr>
              <w:spacing w:after="0"/>
              <w:rPr>
                <w:color w:val="auto"/>
                <w:sz w:val="11"/>
                <w:szCs w:val="11"/>
              </w:rPr>
            </w:pPr>
          </w:p>
        </w:tc>
        <w:tc>
          <w:tcPr>
            <w:tcW w:w="420" w:type="dxa"/>
            <w:vAlign w:val="bottom"/>
          </w:tcPr>
          <w:p>
            <w:pPr>
              <w:spacing w:after="0"/>
              <w:rPr>
                <w:color w:val="auto"/>
                <w:sz w:val="11"/>
                <w:szCs w:val="11"/>
              </w:rPr>
            </w:pPr>
          </w:p>
        </w:tc>
        <w:tc>
          <w:tcPr>
            <w:tcW w:w="260" w:type="dxa"/>
            <w:vAlign w:val="bottom"/>
          </w:tcPr>
          <w:p>
            <w:pPr>
              <w:spacing w:after="0"/>
              <w:rPr>
                <w:color w:val="auto"/>
                <w:sz w:val="11"/>
                <w:szCs w:val="11"/>
              </w:rPr>
            </w:pPr>
          </w:p>
        </w:tc>
        <w:tc>
          <w:tcPr>
            <w:tcW w:w="1060" w:type="dxa"/>
            <w:vAlign w:val="bottom"/>
          </w:tcPr>
          <w:p>
            <w:pPr>
              <w:spacing w:after="0"/>
              <w:rPr>
                <w:color w:val="auto"/>
                <w:sz w:val="11"/>
                <w:szCs w:val="11"/>
              </w:rPr>
            </w:pPr>
          </w:p>
        </w:tc>
        <w:tc>
          <w:tcPr>
            <w:tcW w:w="240" w:type="dxa"/>
            <w:vAlign w:val="bottom"/>
          </w:tcPr>
          <w:p>
            <w:pPr>
              <w:spacing w:after="0"/>
              <w:rPr>
                <w:color w:val="auto"/>
                <w:sz w:val="11"/>
                <w:szCs w:val="11"/>
              </w:rPr>
            </w:pPr>
          </w:p>
        </w:tc>
        <w:tc>
          <w:tcPr>
            <w:tcW w:w="78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260" w:type="dxa"/>
            <w:vAlign w:val="bottom"/>
          </w:tcPr>
          <w:p>
            <w:pPr>
              <w:spacing w:after="0"/>
              <w:rPr>
                <w:color w:val="auto"/>
                <w:sz w:val="11"/>
                <w:szCs w:val="11"/>
              </w:rPr>
            </w:pPr>
          </w:p>
        </w:tc>
        <w:tc>
          <w:tcPr>
            <w:tcW w:w="980" w:type="dxa"/>
            <w:vAlign w:val="bottom"/>
          </w:tcPr>
          <w:p>
            <w:pPr>
              <w:spacing w:after="0"/>
              <w:rPr>
                <w:color w:val="auto"/>
                <w:sz w:val="11"/>
                <w:szCs w:val="11"/>
              </w:rPr>
            </w:pPr>
          </w:p>
        </w:tc>
        <w:tc>
          <w:tcPr>
            <w:tcW w:w="260" w:type="dxa"/>
            <w:vAlign w:val="bottom"/>
          </w:tcPr>
          <w:p>
            <w:pPr>
              <w:spacing w:after="0"/>
              <w:rPr>
                <w:color w:val="auto"/>
                <w:sz w:val="11"/>
                <w:szCs w:val="11"/>
              </w:rPr>
            </w:pPr>
          </w:p>
        </w:tc>
        <w:tc>
          <w:tcPr>
            <w:tcW w:w="1040" w:type="dxa"/>
            <w:vAlign w:val="bottom"/>
          </w:tcPr>
          <w:p>
            <w:pPr>
              <w:spacing w:after="0"/>
              <w:rPr>
                <w:color w:val="auto"/>
                <w:sz w:val="11"/>
                <w:szCs w:val="11"/>
              </w:rPr>
            </w:pPr>
          </w:p>
        </w:tc>
        <w:tc>
          <w:tcPr>
            <w:tcW w:w="260" w:type="dxa"/>
            <w:vAlign w:val="bottom"/>
          </w:tcPr>
          <w:p>
            <w:pPr>
              <w:spacing w:after="0"/>
              <w:rPr>
                <w:color w:val="auto"/>
                <w:sz w:val="11"/>
                <w:szCs w:val="11"/>
              </w:rPr>
            </w:pPr>
          </w:p>
        </w:tc>
        <w:tc>
          <w:tcPr>
            <w:tcW w:w="82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159"/>
        </w:trPr>
        <w:tc>
          <w:tcPr>
            <w:tcW w:w="4000" w:type="dxa"/>
            <w:shd w:val="clear" w:color="auto" w:fill="CCEEFF"/>
            <w:vAlign w:val="bottom"/>
          </w:tcPr>
          <w:p>
            <w:pPr>
              <w:spacing w:after="0"/>
              <w:ind w:left="80"/>
              <w:rPr>
                <w:color w:val="auto"/>
                <w:sz w:val="20"/>
                <w:szCs w:val="20"/>
              </w:rPr>
            </w:pPr>
            <w:r>
              <w:rPr>
                <w:rFonts w:ascii="Calibri" w:eastAsia="Calibri" w:hAnsi="Calibri" w:cs="Calibri"/>
                <w:color w:val="auto"/>
                <w:sz w:val="12"/>
                <w:szCs w:val="12"/>
              </w:rPr>
              <w:t>Developed product rights</w:t>
            </w:r>
          </w:p>
        </w:tc>
        <w:tc>
          <w:tcPr>
            <w:tcW w:w="820" w:type="dxa"/>
            <w:shd w:val="clear" w:color="auto" w:fill="CCEEFF"/>
            <w:vAlign w:val="bottom"/>
          </w:tcPr>
          <w:p>
            <w:pPr>
              <w:spacing w:after="0"/>
              <w:ind w:right="688"/>
              <w:jc w:val="right"/>
              <w:rPr>
                <w:color w:val="auto"/>
                <w:sz w:val="20"/>
                <w:szCs w:val="20"/>
              </w:rPr>
            </w:pPr>
            <w:r>
              <w:rPr>
                <w:rFonts w:ascii="Calibri" w:eastAsia="Calibri" w:hAnsi="Calibri" w:cs="Calibri"/>
                <w:color w:val="auto"/>
                <w:w w:val="97"/>
                <w:sz w:val="12"/>
                <w:szCs w:val="12"/>
              </w:rPr>
              <w:t>$</w:t>
            </w:r>
          </w:p>
        </w:tc>
        <w:tc>
          <w:tcPr>
            <w:tcW w:w="420" w:type="dxa"/>
            <w:shd w:val="clear" w:color="auto" w:fill="CCEEFF"/>
            <w:vAlign w:val="bottom"/>
          </w:tcPr>
          <w:p>
            <w:pPr>
              <w:spacing w:after="0"/>
              <w:ind w:right="20"/>
              <w:jc w:val="right"/>
              <w:rPr>
                <w:color w:val="auto"/>
                <w:sz w:val="20"/>
                <w:szCs w:val="20"/>
              </w:rPr>
            </w:pPr>
            <w:r>
              <w:rPr>
                <w:rFonts w:ascii="Calibri" w:eastAsia="Calibri" w:hAnsi="Calibri" w:cs="Calibri"/>
                <w:color w:val="auto"/>
                <w:w w:val="95"/>
                <w:sz w:val="12"/>
                <w:szCs w:val="12"/>
              </w:rPr>
              <w:t>81,428</w:t>
            </w:r>
          </w:p>
        </w:tc>
        <w:tc>
          <w:tcPr>
            <w:tcW w:w="260" w:type="dxa"/>
            <w:shd w:val="clear" w:color="auto" w:fill="CCEEFF"/>
            <w:vAlign w:val="bottom"/>
          </w:tcPr>
          <w:p>
            <w:pPr>
              <w:spacing w:after="0"/>
              <w:ind w:right="60"/>
              <w:jc w:val="right"/>
              <w:rPr>
                <w:color w:val="auto"/>
                <w:sz w:val="20"/>
                <w:szCs w:val="20"/>
              </w:rPr>
            </w:pPr>
            <w:r>
              <w:rPr>
                <w:rFonts w:ascii="Calibri" w:eastAsia="Calibri" w:hAnsi="Calibri" w:cs="Calibri"/>
                <w:color w:val="auto"/>
                <w:sz w:val="12"/>
                <w:szCs w:val="12"/>
              </w:rPr>
              <w:t>$</w:t>
            </w:r>
          </w:p>
        </w:tc>
        <w:tc>
          <w:tcPr>
            <w:tcW w:w="1060" w:type="dxa"/>
            <w:shd w:val="clear" w:color="auto" w:fill="CCEEFF"/>
            <w:vAlign w:val="bottom"/>
          </w:tcPr>
          <w:p>
            <w:pPr>
              <w:spacing w:after="0"/>
              <w:ind w:right="5"/>
              <w:jc w:val="right"/>
              <w:rPr>
                <w:color w:val="auto"/>
                <w:sz w:val="20"/>
                <w:szCs w:val="20"/>
              </w:rPr>
            </w:pPr>
            <w:r>
              <w:rPr>
                <w:rFonts w:ascii="Calibri" w:eastAsia="Calibri" w:hAnsi="Calibri" w:cs="Calibri"/>
                <w:color w:val="auto"/>
                <w:sz w:val="12"/>
                <w:szCs w:val="12"/>
              </w:rPr>
              <w:t>(28,253)</w:t>
            </w:r>
          </w:p>
        </w:tc>
        <w:tc>
          <w:tcPr>
            <w:tcW w:w="240" w:type="dxa"/>
            <w:shd w:val="clear" w:color="auto" w:fill="CCEEFF"/>
            <w:vAlign w:val="bottom"/>
          </w:tcPr>
          <w:p>
            <w:pPr>
              <w:spacing w:after="0"/>
              <w:ind w:right="60"/>
              <w:jc w:val="right"/>
              <w:rPr>
                <w:color w:val="auto"/>
                <w:sz w:val="20"/>
                <w:szCs w:val="20"/>
              </w:rPr>
            </w:pPr>
            <w:r>
              <w:rPr>
                <w:rFonts w:ascii="Calibri" w:eastAsia="Calibri" w:hAnsi="Calibri" w:cs="Calibri"/>
                <w:color w:val="auto"/>
                <w:sz w:val="12"/>
                <w:szCs w:val="12"/>
              </w:rPr>
              <w:t>$</w:t>
            </w:r>
          </w:p>
        </w:tc>
        <w:tc>
          <w:tcPr>
            <w:tcW w:w="7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53,175</w:t>
            </w:r>
          </w:p>
        </w:tc>
        <w:tc>
          <w:tcPr>
            <w:tcW w:w="100" w:type="dxa"/>
            <w:shd w:val="clear" w:color="auto" w:fill="CCEEFF"/>
            <w:vAlign w:val="bottom"/>
          </w:tcPr>
          <w:p>
            <w:pPr>
              <w:spacing w:after="0"/>
              <w:rPr>
                <w:color w:val="auto"/>
                <w:sz w:val="13"/>
                <w:szCs w:val="13"/>
              </w:rPr>
            </w:pPr>
          </w:p>
        </w:tc>
        <w:tc>
          <w:tcPr>
            <w:tcW w:w="260" w:type="dxa"/>
            <w:shd w:val="clear" w:color="auto" w:fill="CCEEFF"/>
            <w:vAlign w:val="bottom"/>
          </w:tcPr>
          <w:p>
            <w:pPr>
              <w:spacing w:after="0"/>
              <w:ind w:right="120"/>
              <w:jc w:val="right"/>
              <w:rPr>
                <w:color w:val="auto"/>
                <w:sz w:val="20"/>
                <w:szCs w:val="20"/>
              </w:rPr>
            </w:pPr>
            <w:r>
              <w:rPr>
                <w:rFonts w:ascii="Calibri" w:eastAsia="Calibri" w:hAnsi="Calibri" w:cs="Calibri"/>
                <w:color w:val="auto"/>
                <w:w w:val="97"/>
                <w:sz w:val="12"/>
                <w:szCs w:val="12"/>
              </w:rPr>
              <w:t>$</w:t>
            </w:r>
          </w:p>
        </w:tc>
        <w:tc>
          <w:tcPr>
            <w:tcW w:w="980" w:type="dxa"/>
            <w:shd w:val="clear" w:color="auto" w:fill="CCEEFF"/>
            <w:vAlign w:val="bottom"/>
          </w:tcPr>
          <w:p>
            <w:pPr>
              <w:spacing w:after="0"/>
              <w:ind w:right="25"/>
              <w:jc w:val="right"/>
              <w:rPr>
                <w:color w:val="auto"/>
                <w:sz w:val="20"/>
                <w:szCs w:val="20"/>
              </w:rPr>
            </w:pPr>
            <w:r>
              <w:rPr>
                <w:rFonts w:ascii="Calibri" w:eastAsia="Calibri" w:hAnsi="Calibri" w:cs="Calibri"/>
                <w:color w:val="auto"/>
                <w:sz w:val="12"/>
                <w:szCs w:val="12"/>
              </w:rPr>
              <w:t>75,142</w:t>
            </w:r>
          </w:p>
        </w:tc>
        <w:tc>
          <w:tcPr>
            <w:tcW w:w="260" w:type="dxa"/>
            <w:shd w:val="clear" w:color="auto" w:fill="CCEEFF"/>
            <w:vAlign w:val="bottom"/>
          </w:tcPr>
          <w:p>
            <w:pPr>
              <w:spacing w:after="0"/>
              <w:ind w:right="80"/>
              <w:jc w:val="right"/>
              <w:rPr>
                <w:color w:val="auto"/>
                <w:sz w:val="20"/>
                <w:szCs w:val="20"/>
              </w:rPr>
            </w:pPr>
            <w:r>
              <w:rPr>
                <w:rFonts w:ascii="Calibri" w:eastAsia="Calibri" w:hAnsi="Calibri" w:cs="Calibri"/>
                <w:color w:val="auto"/>
                <w:sz w:val="12"/>
                <w:szCs w:val="12"/>
              </w:rPr>
              <w:t>$</w:t>
            </w:r>
          </w:p>
        </w:tc>
        <w:tc>
          <w:tcPr>
            <w:tcW w:w="1040" w:type="dxa"/>
            <w:shd w:val="clear" w:color="auto" w:fill="CCEEFF"/>
            <w:vAlign w:val="bottom"/>
          </w:tcPr>
          <w:p>
            <w:pPr>
              <w:spacing w:after="0"/>
              <w:ind w:right="5"/>
              <w:jc w:val="right"/>
              <w:rPr>
                <w:color w:val="auto"/>
                <w:sz w:val="20"/>
                <w:szCs w:val="20"/>
              </w:rPr>
            </w:pPr>
            <w:r>
              <w:rPr>
                <w:rFonts w:ascii="Calibri" w:eastAsia="Calibri" w:hAnsi="Calibri" w:cs="Calibri"/>
                <w:color w:val="auto"/>
                <w:sz w:val="12"/>
                <w:szCs w:val="12"/>
              </w:rPr>
              <w:t>(22,455)</w:t>
            </w:r>
          </w:p>
        </w:tc>
        <w:tc>
          <w:tcPr>
            <w:tcW w:w="260" w:type="dxa"/>
            <w:shd w:val="clear" w:color="auto" w:fill="CCEEFF"/>
            <w:vAlign w:val="bottom"/>
          </w:tcPr>
          <w:p>
            <w:pPr>
              <w:spacing w:after="0"/>
              <w:ind w:right="80"/>
              <w:jc w:val="right"/>
              <w:rPr>
                <w:color w:val="auto"/>
                <w:sz w:val="20"/>
                <w:szCs w:val="20"/>
              </w:rPr>
            </w:pPr>
            <w:r>
              <w:rPr>
                <w:rFonts w:ascii="Calibri" w:eastAsia="Calibri" w:hAnsi="Calibri" w:cs="Calibri"/>
                <w:color w:val="auto"/>
                <w:sz w:val="12"/>
                <w:szCs w:val="12"/>
              </w:rPr>
              <w:t>$</w:t>
            </w:r>
          </w:p>
        </w:tc>
        <w:tc>
          <w:tcPr>
            <w:tcW w:w="8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52,687</w:t>
            </w:r>
          </w:p>
        </w:tc>
        <w:tc>
          <w:tcPr>
            <w:tcW w:w="1" w:type="dxa"/>
            <w:vAlign w:val="bottom"/>
          </w:tcPr>
          <w:p>
            <w:pPr>
              <w:spacing w:after="0"/>
              <w:rPr>
                <w:color w:val="auto"/>
                <w:sz w:val="1"/>
                <w:szCs w:val="1"/>
              </w:rPr>
            </w:pPr>
          </w:p>
        </w:tc>
      </w:tr>
      <w:tr>
        <w:tblPrEx>
          <w:tblInd w:w="0" w:type="dxa"/>
          <w:tblLayout w:type="fixed"/>
        </w:tblPrEx>
        <w:trPr>
          <w:trHeight w:val="147"/>
        </w:trPr>
        <w:tc>
          <w:tcPr>
            <w:tcW w:w="4000" w:type="dxa"/>
            <w:tcBorders>
              <w:bottom w:val="single" w:sz="8" w:space="0" w:color="auto"/>
            </w:tcBorders>
            <w:vAlign w:val="bottom"/>
          </w:tcPr>
          <w:p>
            <w:pPr>
              <w:spacing w:after="0" w:line="142" w:lineRule="exact"/>
              <w:ind w:left="80"/>
              <w:rPr>
                <w:color w:val="auto"/>
                <w:sz w:val="20"/>
                <w:szCs w:val="20"/>
              </w:rPr>
            </w:pPr>
            <w:r>
              <w:rPr>
                <w:rFonts w:ascii="Calibri" w:eastAsia="Calibri" w:hAnsi="Calibri" w:cs="Calibri"/>
                <w:color w:val="auto"/>
                <w:sz w:val="12"/>
                <w:szCs w:val="12"/>
              </w:rPr>
              <w:t>License agreements</w:t>
            </w:r>
          </w:p>
        </w:tc>
        <w:tc>
          <w:tcPr>
            <w:tcW w:w="820" w:type="dxa"/>
            <w:tcBorders>
              <w:bottom w:val="single" w:sz="8" w:space="0" w:color="auto"/>
            </w:tcBorders>
            <w:vAlign w:val="bottom"/>
          </w:tcPr>
          <w:p>
            <w:pPr>
              <w:spacing w:after="0"/>
              <w:rPr>
                <w:color w:val="auto"/>
                <w:sz w:val="12"/>
                <w:szCs w:val="12"/>
              </w:rPr>
            </w:pPr>
          </w:p>
        </w:tc>
        <w:tc>
          <w:tcPr>
            <w:tcW w:w="42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8,315</w:t>
            </w:r>
          </w:p>
        </w:tc>
        <w:tc>
          <w:tcPr>
            <w:tcW w:w="260" w:type="dxa"/>
            <w:tcBorders>
              <w:bottom w:val="single" w:sz="8" w:space="0" w:color="auto"/>
            </w:tcBorders>
            <w:vAlign w:val="bottom"/>
          </w:tcPr>
          <w:p>
            <w:pPr>
              <w:spacing w:after="0"/>
              <w:rPr>
                <w:color w:val="auto"/>
                <w:sz w:val="12"/>
                <w:szCs w:val="12"/>
              </w:rPr>
            </w:pPr>
          </w:p>
        </w:tc>
        <w:tc>
          <w:tcPr>
            <w:tcW w:w="1060" w:type="dxa"/>
            <w:tcBorders>
              <w:bottom w:val="single" w:sz="8" w:space="0" w:color="auto"/>
            </w:tcBorders>
            <w:vAlign w:val="bottom"/>
          </w:tcPr>
          <w:p>
            <w:pPr>
              <w:spacing w:after="0" w:line="142" w:lineRule="exact"/>
              <w:ind w:right="5"/>
              <w:jc w:val="right"/>
              <w:rPr>
                <w:color w:val="auto"/>
                <w:sz w:val="20"/>
                <w:szCs w:val="20"/>
              </w:rPr>
            </w:pPr>
            <w:r>
              <w:rPr>
                <w:rFonts w:ascii="Calibri" w:eastAsia="Calibri" w:hAnsi="Calibri" w:cs="Calibri"/>
                <w:color w:val="auto"/>
                <w:sz w:val="12"/>
                <w:szCs w:val="12"/>
              </w:rPr>
              <w:t>(6,624)</w:t>
            </w:r>
          </w:p>
        </w:tc>
        <w:tc>
          <w:tcPr>
            <w:tcW w:w="240" w:type="dxa"/>
            <w:tcBorders>
              <w:bottom w:val="single" w:sz="8" w:space="0" w:color="auto"/>
            </w:tcBorders>
            <w:vAlign w:val="bottom"/>
          </w:tcPr>
          <w:p>
            <w:pPr>
              <w:spacing w:after="0"/>
              <w:rPr>
                <w:color w:val="auto"/>
                <w:sz w:val="12"/>
                <w:szCs w:val="12"/>
              </w:rPr>
            </w:pPr>
          </w:p>
        </w:tc>
        <w:tc>
          <w:tcPr>
            <w:tcW w:w="7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1,691</w:t>
            </w:r>
          </w:p>
        </w:tc>
        <w:tc>
          <w:tcPr>
            <w:tcW w:w="100" w:type="dxa"/>
            <w:tcBorders>
              <w:bottom w:val="single" w:sz="8" w:space="0" w:color="auto"/>
            </w:tcBorders>
            <w:vAlign w:val="bottom"/>
          </w:tcPr>
          <w:p>
            <w:pPr>
              <w:spacing w:after="0"/>
              <w:rPr>
                <w:color w:val="auto"/>
                <w:sz w:val="12"/>
                <w:szCs w:val="12"/>
              </w:rPr>
            </w:pPr>
          </w:p>
        </w:tc>
        <w:tc>
          <w:tcPr>
            <w:tcW w:w="26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ind w:right="25"/>
              <w:jc w:val="right"/>
              <w:rPr>
                <w:color w:val="auto"/>
                <w:sz w:val="20"/>
                <w:szCs w:val="20"/>
              </w:rPr>
            </w:pPr>
            <w:r>
              <w:rPr>
                <w:rFonts w:ascii="Calibri" w:eastAsia="Calibri" w:hAnsi="Calibri" w:cs="Calibri"/>
                <w:color w:val="auto"/>
                <w:sz w:val="12"/>
                <w:szCs w:val="12"/>
              </w:rPr>
              <w:t>8,191</w:t>
            </w:r>
          </w:p>
        </w:tc>
        <w:tc>
          <w:tcPr>
            <w:tcW w:w="260" w:type="dxa"/>
            <w:tcBorders>
              <w:bottom w:val="single" w:sz="8" w:space="0" w:color="auto"/>
            </w:tcBorders>
            <w:vAlign w:val="bottom"/>
          </w:tcPr>
          <w:p>
            <w:pPr>
              <w:spacing w:after="0"/>
              <w:rPr>
                <w:color w:val="auto"/>
                <w:sz w:val="12"/>
                <w:szCs w:val="12"/>
              </w:rPr>
            </w:pPr>
          </w:p>
        </w:tc>
        <w:tc>
          <w:tcPr>
            <w:tcW w:w="1040" w:type="dxa"/>
            <w:tcBorders>
              <w:bottom w:val="single" w:sz="8" w:space="0" w:color="auto"/>
            </w:tcBorders>
            <w:vAlign w:val="bottom"/>
          </w:tcPr>
          <w:p>
            <w:pPr>
              <w:spacing w:after="0" w:line="142" w:lineRule="exact"/>
              <w:ind w:right="5"/>
              <w:jc w:val="right"/>
              <w:rPr>
                <w:color w:val="auto"/>
                <w:sz w:val="20"/>
                <w:szCs w:val="20"/>
              </w:rPr>
            </w:pPr>
            <w:r>
              <w:rPr>
                <w:rFonts w:ascii="Calibri" w:eastAsia="Calibri" w:hAnsi="Calibri" w:cs="Calibri"/>
                <w:color w:val="auto"/>
                <w:sz w:val="12"/>
                <w:szCs w:val="12"/>
              </w:rPr>
              <w:t>(5,571)</w:t>
            </w:r>
          </w:p>
        </w:tc>
        <w:tc>
          <w:tcPr>
            <w:tcW w:w="260" w:type="dxa"/>
            <w:tcBorders>
              <w:bottom w:val="single" w:sz="8" w:space="0" w:color="auto"/>
            </w:tcBorders>
            <w:vAlign w:val="bottom"/>
          </w:tcPr>
          <w:p>
            <w:pPr>
              <w:spacing w:after="0"/>
              <w:rPr>
                <w:color w:val="auto"/>
                <w:sz w:val="12"/>
                <w:szCs w:val="12"/>
              </w:rPr>
            </w:pPr>
          </w:p>
        </w:tc>
        <w:tc>
          <w:tcPr>
            <w:tcW w:w="8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2,620</w:t>
            </w:r>
          </w:p>
        </w:tc>
        <w:tc>
          <w:tcPr>
            <w:tcW w:w="1" w:type="dxa"/>
            <w:vAlign w:val="bottom"/>
          </w:tcPr>
          <w:p>
            <w:pPr>
              <w:spacing w:after="0"/>
              <w:rPr>
                <w:color w:val="auto"/>
                <w:sz w:val="1"/>
                <w:szCs w:val="1"/>
              </w:rPr>
            </w:pPr>
          </w:p>
        </w:tc>
      </w:tr>
      <w:tr>
        <w:tblPrEx>
          <w:tblInd w:w="0" w:type="dxa"/>
          <w:tblLayout w:type="fixed"/>
        </w:tblPrEx>
        <w:trPr>
          <w:trHeight w:val="148"/>
        </w:trPr>
        <w:tc>
          <w:tcPr>
            <w:tcW w:w="40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defnite-lived intangible assets</w:t>
            </w:r>
          </w:p>
        </w:tc>
        <w:tc>
          <w:tcPr>
            <w:tcW w:w="820" w:type="dxa"/>
            <w:shd w:val="clear" w:color="auto" w:fill="CCEEFF"/>
            <w:vAlign w:val="bottom"/>
          </w:tcPr>
          <w:p>
            <w:pPr>
              <w:spacing w:after="0"/>
              <w:rPr>
                <w:color w:val="auto"/>
                <w:sz w:val="12"/>
                <w:szCs w:val="12"/>
              </w:rPr>
            </w:pPr>
          </w:p>
        </w:tc>
        <w:tc>
          <w:tcPr>
            <w:tcW w:w="4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w w:val="95"/>
                <w:sz w:val="12"/>
                <w:szCs w:val="12"/>
              </w:rPr>
              <w:t>89,743</w:t>
            </w:r>
          </w:p>
        </w:tc>
        <w:tc>
          <w:tcPr>
            <w:tcW w:w="260" w:type="dxa"/>
            <w:shd w:val="clear" w:color="auto" w:fill="CCEEFF"/>
            <w:vAlign w:val="bottom"/>
          </w:tcPr>
          <w:p>
            <w:pPr>
              <w:spacing w:after="0"/>
              <w:rPr>
                <w:color w:val="auto"/>
                <w:sz w:val="12"/>
                <w:szCs w:val="12"/>
              </w:rPr>
            </w:pPr>
          </w:p>
        </w:tc>
        <w:tc>
          <w:tcPr>
            <w:tcW w:w="1060" w:type="dxa"/>
            <w:shd w:val="clear" w:color="auto" w:fill="CCEEFF"/>
            <w:vAlign w:val="bottom"/>
          </w:tcPr>
          <w:p>
            <w:pPr>
              <w:spacing w:after="0" w:line="142" w:lineRule="exact"/>
              <w:ind w:right="5"/>
              <w:jc w:val="right"/>
              <w:rPr>
                <w:color w:val="auto"/>
                <w:sz w:val="20"/>
                <w:szCs w:val="20"/>
              </w:rPr>
            </w:pPr>
            <w:r>
              <w:rPr>
                <w:rFonts w:ascii="Calibri" w:eastAsia="Calibri" w:hAnsi="Calibri" w:cs="Calibri"/>
                <w:color w:val="auto"/>
                <w:sz w:val="12"/>
                <w:szCs w:val="12"/>
              </w:rPr>
              <w:t>(34,877)</w:t>
            </w:r>
          </w:p>
        </w:tc>
        <w:tc>
          <w:tcPr>
            <w:tcW w:w="240" w:type="dxa"/>
            <w:shd w:val="clear" w:color="auto" w:fill="CCEEFF"/>
            <w:vAlign w:val="bottom"/>
          </w:tcPr>
          <w:p>
            <w:pPr>
              <w:spacing w:after="0"/>
              <w:rPr>
                <w:color w:val="auto"/>
                <w:sz w:val="12"/>
                <w:szCs w:val="12"/>
              </w:rPr>
            </w:pPr>
          </w:p>
        </w:tc>
        <w:tc>
          <w:tcPr>
            <w:tcW w:w="7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54,866</w:t>
            </w:r>
          </w:p>
        </w:tc>
        <w:tc>
          <w:tcPr>
            <w:tcW w:w="100" w:type="dxa"/>
            <w:shd w:val="clear" w:color="auto" w:fill="CCEEFF"/>
            <w:vAlign w:val="bottom"/>
          </w:tcPr>
          <w:p>
            <w:pPr>
              <w:spacing w:after="0"/>
              <w:rPr>
                <w:color w:val="auto"/>
                <w:sz w:val="12"/>
                <w:szCs w:val="12"/>
              </w:rPr>
            </w:pPr>
          </w:p>
        </w:tc>
        <w:tc>
          <w:tcPr>
            <w:tcW w:w="260" w:type="dxa"/>
            <w:shd w:val="clear" w:color="auto" w:fill="CCEEFF"/>
            <w:vAlign w:val="bottom"/>
          </w:tcPr>
          <w:p>
            <w:pPr>
              <w:spacing w:after="0"/>
              <w:rPr>
                <w:color w:val="auto"/>
                <w:sz w:val="12"/>
                <w:szCs w:val="12"/>
              </w:rPr>
            </w:pPr>
          </w:p>
        </w:tc>
        <w:tc>
          <w:tcPr>
            <w:tcW w:w="980" w:type="dxa"/>
            <w:shd w:val="clear" w:color="auto" w:fill="CCEEFF"/>
            <w:vAlign w:val="bottom"/>
          </w:tcPr>
          <w:p>
            <w:pPr>
              <w:spacing w:after="0" w:line="142" w:lineRule="exact"/>
              <w:ind w:right="25"/>
              <w:jc w:val="right"/>
              <w:rPr>
                <w:color w:val="auto"/>
                <w:sz w:val="20"/>
                <w:szCs w:val="20"/>
              </w:rPr>
            </w:pPr>
            <w:r>
              <w:rPr>
                <w:rFonts w:ascii="Calibri" w:eastAsia="Calibri" w:hAnsi="Calibri" w:cs="Calibri"/>
                <w:color w:val="auto"/>
                <w:sz w:val="12"/>
                <w:szCs w:val="12"/>
              </w:rPr>
              <w:t>83,333</w:t>
            </w:r>
          </w:p>
        </w:tc>
        <w:tc>
          <w:tcPr>
            <w:tcW w:w="260" w:type="dxa"/>
            <w:shd w:val="clear" w:color="auto" w:fill="CCEEFF"/>
            <w:vAlign w:val="bottom"/>
          </w:tcPr>
          <w:p>
            <w:pPr>
              <w:spacing w:after="0"/>
              <w:rPr>
                <w:color w:val="auto"/>
                <w:sz w:val="12"/>
                <w:szCs w:val="12"/>
              </w:rPr>
            </w:pPr>
          </w:p>
        </w:tc>
        <w:tc>
          <w:tcPr>
            <w:tcW w:w="1040" w:type="dxa"/>
            <w:shd w:val="clear" w:color="auto" w:fill="CCEEFF"/>
            <w:vAlign w:val="bottom"/>
          </w:tcPr>
          <w:p>
            <w:pPr>
              <w:spacing w:after="0" w:line="142" w:lineRule="exact"/>
              <w:ind w:right="5"/>
              <w:jc w:val="right"/>
              <w:rPr>
                <w:color w:val="auto"/>
                <w:sz w:val="20"/>
                <w:szCs w:val="20"/>
              </w:rPr>
            </w:pPr>
            <w:r>
              <w:rPr>
                <w:rFonts w:ascii="Calibri" w:eastAsia="Calibri" w:hAnsi="Calibri" w:cs="Calibri"/>
                <w:color w:val="auto"/>
                <w:sz w:val="12"/>
                <w:szCs w:val="12"/>
              </w:rPr>
              <w:t>(28,026)</w:t>
            </w:r>
          </w:p>
        </w:tc>
        <w:tc>
          <w:tcPr>
            <w:tcW w:w="260" w:type="dxa"/>
            <w:shd w:val="clear" w:color="auto" w:fill="CCEEFF"/>
            <w:vAlign w:val="bottom"/>
          </w:tcPr>
          <w:p>
            <w:pPr>
              <w:spacing w:after="0"/>
              <w:rPr>
                <w:color w:val="auto"/>
                <w:sz w:val="12"/>
                <w:szCs w:val="12"/>
              </w:rPr>
            </w:pPr>
          </w:p>
        </w:tc>
        <w:tc>
          <w:tcPr>
            <w:tcW w:w="82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55,307</w:t>
            </w:r>
          </w:p>
        </w:tc>
        <w:tc>
          <w:tcPr>
            <w:tcW w:w="1" w:type="dxa"/>
            <w:vAlign w:val="bottom"/>
          </w:tcPr>
          <w:p>
            <w:pPr>
              <w:spacing w:after="0"/>
              <w:rPr>
                <w:color w:val="auto"/>
                <w:sz w:val="1"/>
                <w:szCs w:val="1"/>
              </w:rPr>
            </w:pPr>
          </w:p>
        </w:tc>
      </w:tr>
      <w:tr>
        <w:tblPrEx>
          <w:tblInd w:w="0" w:type="dxa"/>
          <w:tblLayout w:type="fixed"/>
        </w:tblPrEx>
        <w:trPr>
          <w:trHeight w:val="147"/>
        </w:trPr>
        <w:tc>
          <w:tcPr>
            <w:tcW w:w="40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Indefnite-lived intangible assets</w:t>
            </w:r>
          </w:p>
        </w:tc>
        <w:tc>
          <w:tcPr>
            <w:tcW w:w="820" w:type="dxa"/>
            <w:tcBorders>
              <w:bottom w:val="single" w:sz="8" w:space="0" w:color="auto"/>
            </w:tcBorders>
            <w:vAlign w:val="bottom"/>
          </w:tcPr>
          <w:p>
            <w:pPr>
              <w:spacing w:after="0"/>
              <w:rPr>
                <w:color w:val="auto"/>
                <w:sz w:val="12"/>
                <w:szCs w:val="12"/>
              </w:rPr>
            </w:pPr>
          </w:p>
        </w:tc>
        <w:tc>
          <w:tcPr>
            <w:tcW w:w="42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5,202</w:t>
            </w:r>
          </w:p>
        </w:tc>
        <w:tc>
          <w:tcPr>
            <w:tcW w:w="260" w:type="dxa"/>
            <w:tcBorders>
              <w:bottom w:val="single" w:sz="8" w:space="0" w:color="auto"/>
            </w:tcBorders>
            <w:vAlign w:val="bottom"/>
          </w:tcPr>
          <w:p>
            <w:pPr>
              <w:spacing w:after="0"/>
              <w:rPr>
                <w:color w:val="auto"/>
                <w:sz w:val="12"/>
                <w:szCs w:val="12"/>
              </w:rPr>
            </w:pPr>
          </w:p>
        </w:tc>
        <w:tc>
          <w:tcPr>
            <w:tcW w:w="1060" w:type="dxa"/>
            <w:tcBorders>
              <w:bottom w:val="single" w:sz="8" w:space="0" w:color="auto"/>
            </w:tcBorders>
            <w:vAlign w:val="bottom"/>
          </w:tcPr>
          <w:p>
            <w:pPr>
              <w:spacing w:after="0" w:line="142" w:lineRule="exact"/>
              <w:ind w:right="45"/>
              <w:jc w:val="right"/>
              <w:rPr>
                <w:color w:val="auto"/>
                <w:sz w:val="20"/>
                <w:szCs w:val="20"/>
              </w:rPr>
            </w:pPr>
            <w:r>
              <w:rPr>
                <w:rFonts w:ascii="Calibri" w:eastAsia="Calibri" w:hAnsi="Calibri" w:cs="Calibri"/>
                <w:color w:val="auto"/>
                <w:sz w:val="12"/>
                <w:szCs w:val="12"/>
              </w:rPr>
              <w:t>—</w:t>
            </w:r>
          </w:p>
        </w:tc>
        <w:tc>
          <w:tcPr>
            <w:tcW w:w="240" w:type="dxa"/>
            <w:tcBorders>
              <w:bottom w:val="single" w:sz="8" w:space="0" w:color="auto"/>
            </w:tcBorders>
            <w:vAlign w:val="bottom"/>
          </w:tcPr>
          <w:p>
            <w:pPr>
              <w:spacing w:after="0"/>
              <w:rPr>
                <w:color w:val="auto"/>
                <w:sz w:val="12"/>
                <w:szCs w:val="12"/>
              </w:rPr>
            </w:pPr>
          </w:p>
        </w:tc>
        <w:tc>
          <w:tcPr>
            <w:tcW w:w="7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5,202</w:t>
            </w:r>
          </w:p>
        </w:tc>
        <w:tc>
          <w:tcPr>
            <w:tcW w:w="100" w:type="dxa"/>
            <w:tcBorders>
              <w:bottom w:val="single" w:sz="8" w:space="0" w:color="auto"/>
            </w:tcBorders>
            <w:vAlign w:val="bottom"/>
          </w:tcPr>
          <w:p>
            <w:pPr>
              <w:spacing w:after="0"/>
              <w:rPr>
                <w:color w:val="auto"/>
                <w:sz w:val="12"/>
                <w:szCs w:val="12"/>
              </w:rPr>
            </w:pPr>
          </w:p>
        </w:tc>
        <w:tc>
          <w:tcPr>
            <w:tcW w:w="26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ind w:right="25"/>
              <w:jc w:val="right"/>
              <w:rPr>
                <w:color w:val="auto"/>
                <w:sz w:val="20"/>
                <w:szCs w:val="20"/>
              </w:rPr>
            </w:pPr>
            <w:r>
              <w:rPr>
                <w:rFonts w:ascii="Calibri" w:eastAsia="Calibri" w:hAnsi="Calibri" w:cs="Calibri"/>
                <w:color w:val="auto"/>
                <w:sz w:val="12"/>
                <w:szCs w:val="12"/>
              </w:rPr>
              <w:t>303</w:t>
            </w:r>
          </w:p>
        </w:tc>
        <w:tc>
          <w:tcPr>
            <w:tcW w:w="260" w:type="dxa"/>
            <w:tcBorders>
              <w:bottom w:val="single" w:sz="8" w:space="0" w:color="auto"/>
            </w:tcBorders>
            <w:vAlign w:val="bottom"/>
          </w:tcPr>
          <w:p>
            <w:pPr>
              <w:spacing w:after="0"/>
              <w:rPr>
                <w:color w:val="auto"/>
                <w:sz w:val="12"/>
                <w:szCs w:val="12"/>
              </w:rPr>
            </w:pPr>
          </w:p>
        </w:tc>
        <w:tc>
          <w:tcPr>
            <w:tcW w:w="1040" w:type="dxa"/>
            <w:tcBorders>
              <w:bottom w:val="single" w:sz="8" w:space="0" w:color="auto"/>
            </w:tcBorders>
            <w:vAlign w:val="bottom"/>
          </w:tcPr>
          <w:p>
            <w:pPr>
              <w:spacing w:after="0" w:line="142" w:lineRule="exact"/>
              <w:ind w:right="25"/>
              <w:jc w:val="right"/>
              <w:rPr>
                <w:color w:val="auto"/>
                <w:sz w:val="20"/>
                <w:szCs w:val="20"/>
              </w:rPr>
            </w:pPr>
            <w:r>
              <w:rPr>
                <w:rFonts w:ascii="Calibri" w:eastAsia="Calibri" w:hAnsi="Calibri" w:cs="Calibri"/>
                <w:color w:val="auto"/>
                <w:sz w:val="12"/>
                <w:szCs w:val="12"/>
              </w:rPr>
              <w:t>—</w:t>
            </w:r>
          </w:p>
        </w:tc>
        <w:tc>
          <w:tcPr>
            <w:tcW w:w="260" w:type="dxa"/>
            <w:tcBorders>
              <w:bottom w:val="single" w:sz="8" w:space="0" w:color="auto"/>
            </w:tcBorders>
            <w:vAlign w:val="bottom"/>
          </w:tcPr>
          <w:p>
            <w:pPr>
              <w:spacing w:after="0"/>
              <w:rPr>
                <w:color w:val="auto"/>
                <w:sz w:val="12"/>
                <w:szCs w:val="12"/>
              </w:rPr>
            </w:pPr>
          </w:p>
        </w:tc>
        <w:tc>
          <w:tcPr>
            <w:tcW w:w="8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303</w:t>
            </w:r>
          </w:p>
        </w:tc>
        <w:tc>
          <w:tcPr>
            <w:tcW w:w="1" w:type="dxa"/>
            <w:vAlign w:val="bottom"/>
          </w:tcPr>
          <w:p>
            <w:pPr>
              <w:spacing w:after="0"/>
              <w:rPr>
                <w:color w:val="auto"/>
                <w:sz w:val="1"/>
                <w:szCs w:val="1"/>
              </w:rPr>
            </w:pPr>
          </w:p>
        </w:tc>
      </w:tr>
      <w:tr>
        <w:tblPrEx>
          <w:tblInd w:w="0" w:type="dxa"/>
          <w:tblLayout w:type="fixed"/>
        </w:tblPrEx>
        <w:trPr>
          <w:trHeight w:val="164"/>
        </w:trPr>
        <w:tc>
          <w:tcPr>
            <w:tcW w:w="400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intangible assets, net</w:t>
            </w:r>
          </w:p>
        </w:tc>
        <w:tc>
          <w:tcPr>
            <w:tcW w:w="820" w:type="dxa"/>
            <w:tcBorders>
              <w:bottom w:val="single" w:sz="8" w:space="0" w:color="auto"/>
            </w:tcBorders>
            <w:shd w:val="clear" w:color="auto" w:fill="CCEEFF"/>
            <w:vAlign w:val="bottom"/>
          </w:tcPr>
          <w:p>
            <w:pPr>
              <w:spacing w:after="0" w:line="142" w:lineRule="exact"/>
              <w:ind w:right="688"/>
              <w:jc w:val="right"/>
              <w:rPr>
                <w:color w:val="auto"/>
                <w:sz w:val="20"/>
                <w:szCs w:val="20"/>
              </w:rPr>
            </w:pPr>
            <w:r>
              <w:rPr>
                <w:rFonts w:ascii="Calibri" w:eastAsia="Calibri" w:hAnsi="Calibri" w:cs="Calibri"/>
                <w:color w:val="auto"/>
                <w:w w:val="97"/>
                <w:sz w:val="12"/>
                <w:szCs w:val="12"/>
              </w:rPr>
              <w:t>$</w:t>
            </w:r>
          </w:p>
        </w:tc>
        <w:tc>
          <w:tcPr>
            <w:tcW w:w="42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w w:val="95"/>
                <w:sz w:val="12"/>
                <w:szCs w:val="12"/>
              </w:rPr>
              <w:t>94,945</w:t>
            </w:r>
          </w:p>
        </w:tc>
        <w:tc>
          <w:tcPr>
            <w:tcW w:w="260" w:type="dxa"/>
            <w:tcBorders>
              <w:bottom w:val="single" w:sz="8" w:space="0" w:color="auto"/>
            </w:tcBorders>
            <w:shd w:val="clear" w:color="auto" w:fill="CCEEFF"/>
            <w:vAlign w:val="bottom"/>
          </w:tcPr>
          <w:p>
            <w:pPr>
              <w:spacing w:after="0" w:line="142" w:lineRule="exact"/>
              <w:ind w:right="60"/>
              <w:jc w:val="right"/>
              <w:rPr>
                <w:color w:val="auto"/>
                <w:sz w:val="20"/>
                <w:szCs w:val="20"/>
              </w:rPr>
            </w:pPr>
            <w:r>
              <w:rPr>
                <w:rFonts w:ascii="Calibri" w:eastAsia="Calibri" w:hAnsi="Calibri" w:cs="Calibri"/>
                <w:color w:val="auto"/>
                <w:sz w:val="12"/>
                <w:szCs w:val="12"/>
              </w:rPr>
              <w:t>$</w:t>
            </w:r>
          </w:p>
        </w:tc>
        <w:tc>
          <w:tcPr>
            <w:tcW w:w="1060" w:type="dxa"/>
            <w:tcBorders>
              <w:bottom w:val="single" w:sz="8" w:space="0" w:color="auto"/>
            </w:tcBorders>
            <w:shd w:val="clear" w:color="auto" w:fill="CCEEFF"/>
            <w:vAlign w:val="bottom"/>
          </w:tcPr>
          <w:p>
            <w:pPr>
              <w:spacing w:after="0" w:line="142" w:lineRule="exact"/>
              <w:ind w:right="5"/>
              <w:jc w:val="right"/>
              <w:rPr>
                <w:color w:val="auto"/>
                <w:sz w:val="20"/>
                <w:szCs w:val="20"/>
              </w:rPr>
            </w:pPr>
            <w:r>
              <w:rPr>
                <w:rFonts w:ascii="Calibri" w:eastAsia="Calibri" w:hAnsi="Calibri" w:cs="Calibri"/>
                <w:color w:val="auto"/>
                <w:sz w:val="12"/>
                <w:szCs w:val="12"/>
              </w:rPr>
              <w:t>(34,877)</w:t>
            </w:r>
          </w:p>
        </w:tc>
        <w:tc>
          <w:tcPr>
            <w:tcW w:w="240" w:type="dxa"/>
            <w:tcBorders>
              <w:bottom w:val="single" w:sz="8" w:space="0" w:color="auto"/>
            </w:tcBorders>
            <w:shd w:val="clear" w:color="auto" w:fill="CCEEFF"/>
            <w:vAlign w:val="bottom"/>
          </w:tcPr>
          <w:p>
            <w:pPr>
              <w:spacing w:after="0" w:line="142" w:lineRule="exact"/>
              <w:ind w:right="60"/>
              <w:jc w:val="right"/>
              <w:rPr>
                <w:color w:val="auto"/>
                <w:sz w:val="20"/>
                <w:szCs w:val="20"/>
              </w:rPr>
            </w:pPr>
            <w:r>
              <w:rPr>
                <w:rFonts w:ascii="Calibri" w:eastAsia="Calibri" w:hAnsi="Calibri" w:cs="Calibri"/>
                <w:color w:val="auto"/>
                <w:sz w:val="12"/>
                <w:szCs w:val="12"/>
              </w:rPr>
              <w:t>$</w:t>
            </w:r>
          </w:p>
        </w:tc>
        <w:tc>
          <w:tcPr>
            <w:tcW w:w="7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60,068</w:t>
            </w:r>
          </w:p>
        </w:tc>
        <w:tc>
          <w:tcPr>
            <w:tcW w:w="100" w:type="dxa"/>
            <w:tcBorders>
              <w:bottom w:val="single" w:sz="8" w:space="0" w:color="auto"/>
            </w:tcBorders>
            <w:shd w:val="clear" w:color="auto" w:fill="CCEEFF"/>
            <w:vAlign w:val="bottom"/>
          </w:tcPr>
          <w:p>
            <w:pPr>
              <w:spacing w:after="0"/>
              <w:rPr>
                <w:color w:val="auto"/>
                <w:sz w:val="14"/>
                <w:szCs w:val="14"/>
              </w:rPr>
            </w:pPr>
          </w:p>
        </w:tc>
        <w:tc>
          <w:tcPr>
            <w:tcW w:w="260" w:type="dxa"/>
            <w:tcBorders>
              <w:bottom w:val="single" w:sz="8" w:space="0" w:color="auto"/>
            </w:tcBorders>
            <w:shd w:val="clear" w:color="auto" w:fill="CCEEFF"/>
            <w:vAlign w:val="bottom"/>
          </w:tcPr>
          <w:p>
            <w:pPr>
              <w:spacing w:after="0" w:line="142" w:lineRule="exact"/>
              <w:ind w:right="120"/>
              <w:jc w:val="right"/>
              <w:rPr>
                <w:color w:val="auto"/>
                <w:sz w:val="20"/>
                <w:szCs w:val="20"/>
              </w:rPr>
            </w:pPr>
            <w:r>
              <w:rPr>
                <w:rFonts w:ascii="Calibri" w:eastAsia="Calibri" w:hAnsi="Calibri" w:cs="Calibri"/>
                <w:color w:val="auto"/>
                <w:w w:val="97"/>
                <w:sz w:val="12"/>
                <w:szCs w:val="12"/>
              </w:rPr>
              <w:t>$</w:t>
            </w:r>
          </w:p>
        </w:tc>
        <w:tc>
          <w:tcPr>
            <w:tcW w:w="980" w:type="dxa"/>
            <w:tcBorders>
              <w:bottom w:val="single" w:sz="8" w:space="0" w:color="auto"/>
            </w:tcBorders>
            <w:shd w:val="clear" w:color="auto" w:fill="CCEEFF"/>
            <w:vAlign w:val="bottom"/>
          </w:tcPr>
          <w:p>
            <w:pPr>
              <w:spacing w:after="0" w:line="142" w:lineRule="exact"/>
              <w:ind w:right="25"/>
              <w:jc w:val="right"/>
              <w:rPr>
                <w:color w:val="auto"/>
                <w:sz w:val="20"/>
                <w:szCs w:val="20"/>
              </w:rPr>
            </w:pPr>
            <w:r>
              <w:rPr>
                <w:rFonts w:ascii="Calibri" w:eastAsia="Calibri" w:hAnsi="Calibri" w:cs="Calibri"/>
                <w:color w:val="auto"/>
                <w:sz w:val="12"/>
                <w:szCs w:val="12"/>
              </w:rPr>
              <w:t>83,636</w:t>
            </w:r>
          </w:p>
        </w:tc>
        <w:tc>
          <w:tcPr>
            <w:tcW w:w="260" w:type="dxa"/>
            <w:tcBorders>
              <w:bottom w:val="single" w:sz="8" w:space="0" w:color="auto"/>
            </w:tcBorders>
            <w:shd w:val="clear" w:color="auto" w:fill="CCEEFF"/>
            <w:vAlign w:val="bottom"/>
          </w:tcPr>
          <w:p>
            <w:pPr>
              <w:spacing w:after="0" w:line="142" w:lineRule="exact"/>
              <w:ind w:right="80"/>
              <w:jc w:val="right"/>
              <w:rPr>
                <w:color w:val="auto"/>
                <w:sz w:val="20"/>
                <w:szCs w:val="20"/>
              </w:rPr>
            </w:pPr>
            <w:r>
              <w:rPr>
                <w:rFonts w:ascii="Calibri" w:eastAsia="Calibri" w:hAnsi="Calibri" w:cs="Calibri"/>
                <w:color w:val="auto"/>
                <w:sz w:val="12"/>
                <w:szCs w:val="12"/>
              </w:rPr>
              <w:t>$</w:t>
            </w:r>
          </w:p>
        </w:tc>
        <w:tc>
          <w:tcPr>
            <w:tcW w:w="1040" w:type="dxa"/>
            <w:tcBorders>
              <w:bottom w:val="single" w:sz="8" w:space="0" w:color="auto"/>
            </w:tcBorders>
            <w:shd w:val="clear" w:color="auto" w:fill="CCEEFF"/>
            <w:vAlign w:val="bottom"/>
          </w:tcPr>
          <w:p>
            <w:pPr>
              <w:spacing w:after="0" w:line="142" w:lineRule="exact"/>
              <w:ind w:right="5"/>
              <w:jc w:val="right"/>
              <w:rPr>
                <w:color w:val="auto"/>
                <w:sz w:val="20"/>
                <w:szCs w:val="20"/>
              </w:rPr>
            </w:pPr>
            <w:r>
              <w:rPr>
                <w:rFonts w:ascii="Calibri" w:eastAsia="Calibri" w:hAnsi="Calibri" w:cs="Calibri"/>
                <w:color w:val="auto"/>
                <w:sz w:val="12"/>
                <w:szCs w:val="12"/>
              </w:rPr>
              <w:t>(28,026)</w:t>
            </w:r>
          </w:p>
        </w:tc>
        <w:tc>
          <w:tcPr>
            <w:tcW w:w="260" w:type="dxa"/>
            <w:tcBorders>
              <w:bottom w:val="single" w:sz="8" w:space="0" w:color="auto"/>
            </w:tcBorders>
            <w:shd w:val="clear" w:color="auto" w:fill="CCEEFF"/>
            <w:vAlign w:val="bottom"/>
          </w:tcPr>
          <w:p>
            <w:pPr>
              <w:spacing w:after="0" w:line="142" w:lineRule="exact"/>
              <w:ind w:right="80"/>
              <w:jc w:val="right"/>
              <w:rPr>
                <w:color w:val="auto"/>
                <w:sz w:val="20"/>
                <w:szCs w:val="20"/>
              </w:rPr>
            </w:pPr>
            <w:r>
              <w:rPr>
                <w:rFonts w:ascii="Calibri" w:eastAsia="Calibri" w:hAnsi="Calibri" w:cs="Calibri"/>
                <w:color w:val="auto"/>
                <w:sz w:val="12"/>
                <w:szCs w:val="12"/>
              </w:rPr>
              <w:t>$</w:t>
            </w:r>
          </w:p>
        </w:tc>
        <w:tc>
          <w:tcPr>
            <w:tcW w:w="8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55,610</w:t>
            </w:r>
          </w:p>
        </w:tc>
        <w:tc>
          <w:tcPr>
            <w:tcW w:w="1" w:type="dxa"/>
            <w:vAlign w:val="bottom"/>
          </w:tcPr>
          <w:p>
            <w:pPr>
              <w:spacing w:after="0"/>
              <w:rPr>
                <w:color w:val="auto"/>
                <w:sz w:val="1"/>
                <w:szCs w:val="1"/>
              </w:rPr>
            </w:pPr>
          </w:p>
        </w:tc>
      </w:tr>
    </w:tbl>
    <w:p>
      <w:pPr>
        <w:spacing w:after="0" w:line="143"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Defnite-Lived Intangible Assets</w:t>
      </w:r>
    </w:p>
    <w:p>
      <w:pPr>
        <w:spacing w:after="0" w:line="92" w:lineRule="exact"/>
        <w:rPr>
          <w:color w:val="auto"/>
          <w:sz w:val="20"/>
          <w:szCs w:val="20"/>
        </w:rPr>
      </w:pPr>
    </w:p>
    <w:p>
      <w:pPr>
        <w:spacing w:after="0" w:line="234" w:lineRule="auto"/>
        <w:ind w:right="320" w:firstLine="297"/>
        <w:rPr>
          <w:color w:val="auto"/>
          <w:sz w:val="20"/>
          <w:szCs w:val="20"/>
        </w:rPr>
      </w:pPr>
      <w:r>
        <w:rPr>
          <w:rFonts w:ascii="Calibri" w:eastAsia="Calibri" w:hAnsi="Calibri" w:cs="Calibri"/>
          <w:color w:val="auto"/>
          <w:sz w:val="12"/>
          <w:szCs w:val="12"/>
        </w:rPr>
        <w:t>The increase in defnite-lived intangible assets during 2024 was primarily due to the acquisiton of ImmunoGen. The intangible assets will be amortzed using the estmated patern of economic beneft. See Note 5 for additonal informaton regarding the acquisitons.</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In the fourth quarter of 2023, the company made a decision to reduce current sales and marketng investment related to both CoolSculptng, a body contouring technology for aesthetc nonsurgical fat reducton, and Lileta, an on-market women’s health product. Each of these strategic decisions contributed to signifcant decreases in the estmated future cash fows for the respectve products and represented triggering events that required an evaluaton of the underlying defnite-lived intangible assets for impairment. The company used a discounted cash fow analysis for both products. For CoolSculptng, the fair value of $290 million was lower than the carrying value of $1.3 billion resultng in a partal impairment of both the gross and net carrying amount. For Lileta, the fair value of $241 million was lower than the carrying value of $561 million resultng in a partal impairment of both the gross and net carrying amount. Based on the revised cash fows, the company recorded a pre-tax impairment charge of $1.4 billion to costs of products sold in the consolidated statement of earnings for the fourth quarter of 2023.</w:t>
      </w:r>
    </w:p>
    <w:p>
      <w:pPr>
        <w:spacing w:after="0" w:line="102"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In August 2023, as part of the Infaton Reducton Act of 2022, the company’s oncology product Imbruvica sold in the United States (U.S.) was included on the list of products subject to government-set prices by the Centers for Medicare &amp; Medicaid Services. The selecton resulted in a signifcant decrease in the estmated future cash fows for the product and represented a triggering event which required the company to evaluate the underlying defnite-lived intangible asset for impairment. The company utlized a discounted cash fow analysis to determine the fair value of $1.9 billion, which was lower than the carrying value of $4.0 billion and resulted in a partal impairment of both the gross and net carrying amount as of August 29, 2023. Based on the revised cash fows, the company recorded a pre-tax impairment charge of $2.1 billion to cost of products sold in the consolidated statement of earnings for the third quarter of 2023.</w:t>
      </w:r>
    </w:p>
    <w:p>
      <w:pPr>
        <w:spacing w:after="0" w:line="93"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In September 2022, the company made a strategic decision to reduce ongoing sales and marketng investment related to Vuity, an on-market product to treat presbyopia. This strategic decision contributed to a signifcant decrease in the estmated future cash fows for the product and represented a triggering event which required the company to evaluate the underlying defnite lived-intangible asset for impairment. The company utlized a discounted cash fow analysis to estmate the fair value of the intangible asset resultng in a full impairment of both the gross and net carrying amount. Based on the revised cash fows, the company recorded a pre-tax impairment charge of $770 million to cost of products sold in the consolidated statement of earnings for the third quarter of 2022.</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Fair value measurements for the above evaluatons were based on Level 3 inputs including estmated net revenues, cost of products sold, R&amp;D costs, selling and marketng costs and discount rate.</w:t>
      </w:r>
    </w:p>
    <w:p>
      <w:pPr>
        <w:spacing w:after="0" w:line="101"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Defnite-lived intangible assets are amortzed over their estmated useful lives, which range between 1 to 16 years with an average of 12 years for developed product rights and 11 years for license agreements. Amortzaton expense was $7.6 billion in 2024, $7.9 billion in 2023 and $7.7 billion in 2022 and was included in cost of products sold in the consolidated statements of earnings. The antcipated annual amortzaton expense for defnite-lived intangible assets recorded as of December 31, 2024 is as follows:</w:t>
      </w:r>
    </w:p>
    <w:p>
      <w:pPr>
        <w:spacing w:after="0" w:line="17" w:lineRule="exact"/>
        <w:rPr>
          <w:color w:val="auto"/>
          <w:sz w:val="20"/>
          <w:szCs w:val="20"/>
        </w:rPr>
      </w:pPr>
    </w:p>
    <w:tbl>
      <w:tblPr>
        <w:tblInd w:w="0" w:type="dxa"/>
        <w:tblLayout w:type="fixed"/>
        <w:tblCellMar>
          <w:top w:w="0" w:type="dxa"/>
          <w:left w:w="0" w:type="dxa"/>
          <w:bottom w:w="0" w:type="dxa"/>
          <w:right w:w="0" w:type="dxa"/>
        </w:tblCellMar>
      </w:tblPr>
      <w:tblGrid>
        <w:gridCol w:w="3880"/>
        <w:gridCol w:w="2620"/>
        <w:gridCol w:w="340"/>
        <w:gridCol w:w="300"/>
        <w:gridCol w:w="780"/>
        <w:gridCol w:w="300"/>
        <w:gridCol w:w="820"/>
        <w:gridCol w:w="220"/>
        <w:gridCol w:w="940"/>
        <w:gridCol w:w="280"/>
        <w:gridCol w:w="780"/>
        <w:gridCol w:w="40"/>
      </w:tblGrid>
      <w:tr>
        <w:tblPrEx>
          <w:tblInd w:w="0" w:type="dxa"/>
          <w:tblLayout w:type="fixed"/>
        </w:tblPrEx>
        <w:trPr>
          <w:trHeight w:val="122"/>
        </w:trPr>
        <w:tc>
          <w:tcPr>
            <w:tcW w:w="3880" w:type="dxa"/>
            <w:vAlign w:val="bottom"/>
          </w:tcPr>
          <w:p>
            <w:pPr>
              <w:spacing w:after="0"/>
              <w:rPr>
                <w:color w:val="auto"/>
                <w:sz w:val="20"/>
                <w:szCs w:val="20"/>
              </w:rPr>
            </w:pPr>
            <w:r>
              <w:rPr>
                <w:rFonts w:ascii="Calibri" w:eastAsia="Calibri" w:hAnsi="Calibri" w:cs="Calibri"/>
                <w:b/>
                <w:bCs/>
                <w:color w:val="auto"/>
                <w:sz w:val="10"/>
                <w:szCs w:val="10"/>
              </w:rPr>
              <w:t>(in billions)</w:t>
            </w:r>
          </w:p>
        </w:tc>
        <w:tc>
          <w:tcPr>
            <w:tcW w:w="2620" w:type="dxa"/>
            <w:vAlign w:val="bottom"/>
          </w:tcPr>
          <w:p>
            <w:pPr>
              <w:spacing w:after="0"/>
              <w:ind w:right="46"/>
              <w:jc w:val="right"/>
              <w:rPr>
                <w:color w:val="auto"/>
                <w:sz w:val="20"/>
                <w:szCs w:val="20"/>
              </w:rPr>
            </w:pPr>
            <w:r>
              <w:rPr>
                <w:rFonts w:ascii="Calibri" w:eastAsia="Calibri" w:hAnsi="Calibri" w:cs="Calibri"/>
                <w:b/>
                <w:bCs/>
                <w:color w:val="auto"/>
                <w:sz w:val="10"/>
                <w:szCs w:val="10"/>
              </w:rPr>
              <w:t>2025</w:t>
            </w:r>
          </w:p>
        </w:tc>
        <w:tc>
          <w:tcPr>
            <w:tcW w:w="340" w:type="dxa"/>
            <w:vAlign w:val="bottom"/>
          </w:tcPr>
          <w:p>
            <w:pPr>
              <w:spacing w:after="0"/>
              <w:rPr>
                <w:color w:val="auto"/>
                <w:sz w:val="10"/>
                <w:szCs w:val="10"/>
              </w:rPr>
            </w:pPr>
          </w:p>
        </w:tc>
        <w:tc>
          <w:tcPr>
            <w:tcW w:w="300" w:type="dxa"/>
            <w:vAlign w:val="bottom"/>
          </w:tcPr>
          <w:p>
            <w:pPr>
              <w:spacing w:after="0"/>
              <w:rPr>
                <w:color w:val="auto"/>
                <w:sz w:val="10"/>
                <w:szCs w:val="10"/>
              </w:rPr>
            </w:pPr>
          </w:p>
        </w:tc>
        <w:tc>
          <w:tcPr>
            <w:tcW w:w="780" w:type="dxa"/>
            <w:vAlign w:val="bottom"/>
          </w:tcPr>
          <w:p>
            <w:pPr>
              <w:spacing w:after="0"/>
              <w:ind w:right="386"/>
              <w:jc w:val="right"/>
              <w:rPr>
                <w:color w:val="auto"/>
                <w:sz w:val="20"/>
                <w:szCs w:val="20"/>
              </w:rPr>
            </w:pPr>
            <w:r>
              <w:rPr>
                <w:rFonts w:ascii="Calibri" w:eastAsia="Calibri" w:hAnsi="Calibri" w:cs="Calibri"/>
                <w:b/>
                <w:bCs/>
                <w:color w:val="auto"/>
                <w:sz w:val="10"/>
                <w:szCs w:val="10"/>
              </w:rPr>
              <w:t>2026</w:t>
            </w:r>
          </w:p>
        </w:tc>
        <w:tc>
          <w:tcPr>
            <w:tcW w:w="300" w:type="dxa"/>
            <w:vAlign w:val="bottom"/>
          </w:tcPr>
          <w:p>
            <w:pPr>
              <w:spacing w:after="0"/>
              <w:rPr>
                <w:color w:val="auto"/>
                <w:sz w:val="10"/>
                <w:szCs w:val="10"/>
              </w:rPr>
            </w:pPr>
          </w:p>
        </w:tc>
        <w:tc>
          <w:tcPr>
            <w:tcW w:w="820" w:type="dxa"/>
            <w:vAlign w:val="bottom"/>
          </w:tcPr>
          <w:p>
            <w:pPr>
              <w:spacing w:after="0"/>
              <w:ind w:right="406"/>
              <w:jc w:val="right"/>
              <w:rPr>
                <w:color w:val="auto"/>
                <w:sz w:val="20"/>
                <w:szCs w:val="20"/>
              </w:rPr>
            </w:pPr>
            <w:r>
              <w:rPr>
                <w:rFonts w:ascii="Calibri" w:eastAsia="Calibri" w:hAnsi="Calibri" w:cs="Calibri"/>
                <w:b/>
                <w:bCs/>
                <w:color w:val="auto"/>
                <w:sz w:val="10"/>
                <w:szCs w:val="10"/>
              </w:rPr>
              <w:t>2027</w:t>
            </w:r>
          </w:p>
        </w:tc>
        <w:tc>
          <w:tcPr>
            <w:tcW w:w="220" w:type="dxa"/>
            <w:vAlign w:val="bottom"/>
          </w:tcPr>
          <w:p>
            <w:pPr>
              <w:spacing w:after="0"/>
              <w:rPr>
                <w:color w:val="auto"/>
                <w:sz w:val="10"/>
                <w:szCs w:val="10"/>
              </w:rPr>
            </w:pPr>
          </w:p>
        </w:tc>
        <w:tc>
          <w:tcPr>
            <w:tcW w:w="940" w:type="dxa"/>
            <w:vAlign w:val="bottom"/>
          </w:tcPr>
          <w:p>
            <w:pPr>
              <w:spacing w:after="0"/>
              <w:ind w:right="424"/>
              <w:jc w:val="right"/>
              <w:rPr>
                <w:color w:val="auto"/>
                <w:sz w:val="20"/>
                <w:szCs w:val="20"/>
              </w:rPr>
            </w:pPr>
            <w:r>
              <w:rPr>
                <w:rFonts w:ascii="Calibri" w:eastAsia="Calibri" w:hAnsi="Calibri" w:cs="Calibri"/>
                <w:b/>
                <w:bCs/>
                <w:color w:val="auto"/>
                <w:sz w:val="10"/>
                <w:szCs w:val="10"/>
              </w:rPr>
              <w:t>2028</w:t>
            </w:r>
          </w:p>
        </w:tc>
        <w:tc>
          <w:tcPr>
            <w:tcW w:w="280" w:type="dxa"/>
            <w:vAlign w:val="bottom"/>
          </w:tcPr>
          <w:p>
            <w:pPr>
              <w:spacing w:after="0"/>
              <w:rPr>
                <w:color w:val="auto"/>
                <w:sz w:val="10"/>
                <w:szCs w:val="10"/>
              </w:rPr>
            </w:pPr>
          </w:p>
        </w:tc>
        <w:tc>
          <w:tcPr>
            <w:tcW w:w="780" w:type="dxa"/>
            <w:vAlign w:val="bottom"/>
          </w:tcPr>
          <w:p>
            <w:pPr>
              <w:spacing w:after="0"/>
              <w:ind w:right="364"/>
              <w:jc w:val="right"/>
              <w:rPr>
                <w:color w:val="auto"/>
                <w:sz w:val="20"/>
                <w:szCs w:val="20"/>
              </w:rPr>
            </w:pPr>
            <w:r>
              <w:rPr>
                <w:rFonts w:ascii="Calibri" w:eastAsia="Calibri" w:hAnsi="Calibri" w:cs="Calibri"/>
                <w:b/>
                <w:bCs/>
                <w:color w:val="auto"/>
                <w:sz w:val="10"/>
                <w:szCs w:val="10"/>
              </w:rPr>
              <w:t>2029</w:t>
            </w:r>
          </w:p>
        </w:tc>
        <w:tc>
          <w:tcPr>
            <w:tcW w:w="40" w:type="dxa"/>
            <w:vAlign w:val="bottom"/>
          </w:tcPr>
          <w:p>
            <w:pPr>
              <w:spacing w:after="0"/>
              <w:rPr>
                <w:color w:val="auto"/>
                <w:sz w:val="10"/>
                <w:szCs w:val="10"/>
              </w:rPr>
            </w:pPr>
          </w:p>
        </w:tc>
      </w:tr>
      <w:tr>
        <w:tblPrEx>
          <w:tblInd w:w="0" w:type="dxa"/>
          <w:tblLayout w:type="fixed"/>
        </w:tblPrEx>
        <w:trPr>
          <w:trHeight w:val="32"/>
        </w:trPr>
        <w:tc>
          <w:tcPr>
            <w:tcW w:w="3880" w:type="dxa"/>
            <w:tcBorders>
              <w:bottom w:val="single" w:sz="8" w:space="0" w:color="auto"/>
            </w:tcBorders>
            <w:vAlign w:val="bottom"/>
          </w:tcPr>
          <w:p>
            <w:pPr>
              <w:spacing w:after="0"/>
              <w:rPr>
                <w:color w:val="auto"/>
                <w:sz w:val="2"/>
                <w:szCs w:val="2"/>
              </w:rPr>
            </w:pPr>
          </w:p>
        </w:tc>
        <w:tc>
          <w:tcPr>
            <w:tcW w:w="262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22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40" w:type="dxa"/>
            <w:vAlign w:val="bottom"/>
          </w:tcPr>
          <w:p>
            <w:pPr>
              <w:spacing w:after="0"/>
              <w:rPr>
                <w:color w:val="auto"/>
                <w:sz w:val="2"/>
                <w:szCs w:val="2"/>
              </w:rPr>
            </w:pPr>
          </w:p>
        </w:tc>
      </w:tr>
      <w:tr>
        <w:tblPrEx>
          <w:tblInd w:w="0" w:type="dxa"/>
          <w:tblLayout w:type="fixed"/>
        </w:tblPrEx>
        <w:trPr>
          <w:trHeight w:val="136"/>
        </w:trPr>
        <w:tc>
          <w:tcPr>
            <w:tcW w:w="3880" w:type="dxa"/>
            <w:tcBorders>
              <w:bottom w:val="single" w:sz="8" w:space="0" w:color="auto"/>
            </w:tcBorders>
            <w:shd w:val="clear" w:color="auto" w:fill="CCEEFF"/>
            <w:vAlign w:val="bottom"/>
          </w:tcPr>
          <w:p>
            <w:pPr>
              <w:spacing w:after="0" w:line="137" w:lineRule="exact"/>
              <w:rPr>
                <w:color w:val="auto"/>
                <w:sz w:val="20"/>
                <w:szCs w:val="20"/>
              </w:rPr>
            </w:pPr>
            <w:r>
              <w:rPr>
                <w:rFonts w:ascii="Calibri" w:eastAsia="Calibri" w:hAnsi="Calibri" w:cs="Calibri"/>
                <w:color w:val="auto"/>
                <w:sz w:val="12"/>
                <w:szCs w:val="12"/>
              </w:rPr>
              <w:t>Antcipated annual amortzaton expense</w:t>
            </w:r>
          </w:p>
        </w:tc>
        <w:tc>
          <w:tcPr>
            <w:tcW w:w="2620" w:type="dxa"/>
            <w:tcBorders>
              <w:bottom w:val="single" w:sz="8" w:space="0" w:color="auto"/>
            </w:tcBorders>
            <w:shd w:val="clear" w:color="auto" w:fill="CCEEFF"/>
            <w:vAlign w:val="bottom"/>
          </w:tcPr>
          <w:p>
            <w:pPr>
              <w:spacing w:after="0" w:line="137" w:lineRule="exact"/>
              <w:ind w:right="586"/>
              <w:jc w:val="right"/>
              <w:rPr>
                <w:color w:val="auto"/>
                <w:sz w:val="20"/>
                <w:szCs w:val="20"/>
              </w:rPr>
            </w:pPr>
            <w:r>
              <w:rPr>
                <w:rFonts w:ascii="Calibri" w:eastAsia="Calibri" w:hAnsi="Calibri" w:cs="Calibri"/>
                <w:color w:val="auto"/>
                <w:sz w:val="12"/>
                <w:szCs w:val="12"/>
              </w:rPr>
              <w:t>$</w:t>
            </w:r>
          </w:p>
        </w:tc>
        <w:tc>
          <w:tcPr>
            <w:tcW w:w="340" w:type="dxa"/>
            <w:tcBorders>
              <w:bottom w:val="single" w:sz="8" w:space="0" w:color="auto"/>
            </w:tcBorders>
            <w:shd w:val="clear" w:color="auto" w:fill="CCEEFF"/>
            <w:vAlign w:val="bottom"/>
          </w:tcPr>
          <w:p>
            <w:pPr>
              <w:spacing w:after="0" w:line="137" w:lineRule="exact"/>
              <w:ind w:right="20"/>
              <w:jc w:val="right"/>
              <w:rPr>
                <w:color w:val="auto"/>
                <w:sz w:val="20"/>
                <w:szCs w:val="20"/>
              </w:rPr>
            </w:pPr>
            <w:r>
              <w:rPr>
                <w:rFonts w:ascii="Calibri" w:eastAsia="Calibri" w:hAnsi="Calibri" w:cs="Calibri"/>
                <w:color w:val="auto"/>
                <w:sz w:val="12"/>
                <w:szCs w:val="12"/>
              </w:rPr>
              <w:t>7.3</w:t>
            </w:r>
          </w:p>
        </w:tc>
        <w:tc>
          <w:tcPr>
            <w:tcW w:w="300" w:type="dxa"/>
            <w:tcBorders>
              <w:bottom w:val="single" w:sz="8" w:space="0" w:color="auto"/>
            </w:tcBorders>
            <w:shd w:val="clear" w:color="auto" w:fill="CCEEFF"/>
            <w:vAlign w:val="bottom"/>
          </w:tcPr>
          <w:p>
            <w:pPr>
              <w:spacing w:after="0" w:line="137" w:lineRule="exact"/>
              <w:ind w:right="120"/>
              <w:jc w:val="right"/>
              <w:rPr>
                <w:color w:val="auto"/>
                <w:sz w:val="20"/>
                <w:szCs w:val="20"/>
              </w:rPr>
            </w:pPr>
            <w:r>
              <w:rPr>
                <w:rFonts w:ascii="Calibri" w:eastAsia="Calibri" w:hAnsi="Calibri" w:cs="Calibri"/>
                <w:color w:val="auto"/>
                <w:sz w:val="12"/>
                <w:szCs w:val="12"/>
              </w:rPr>
              <w:t>$</w:t>
            </w:r>
          </w:p>
        </w:tc>
        <w:tc>
          <w:tcPr>
            <w:tcW w:w="780" w:type="dxa"/>
            <w:tcBorders>
              <w:bottom w:val="single" w:sz="8" w:space="0" w:color="auto"/>
            </w:tcBorders>
            <w:shd w:val="clear" w:color="auto" w:fill="CCEEFF"/>
            <w:vAlign w:val="bottom"/>
          </w:tcPr>
          <w:p>
            <w:pPr>
              <w:spacing w:after="0" w:line="137" w:lineRule="exact"/>
              <w:ind w:right="26"/>
              <w:jc w:val="right"/>
              <w:rPr>
                <w:color w:val="auto"/>
                <w:sz w:val="20"/>
                <w:szCs w:val="20"/>
              </w:rPr>
            </w:pPr>
            <w:r>
              <w:rPr>
                <w:rFonts w:ascii="Calibri" w:eastAsia="Calibri" w:hAnsi="Calibri" w:cs="Calibri"/>
                <w:color w:val="auto"/>
                <w:sz w:val="12"/>
                <w:szCs w:val="12"/>
              </w:rPr>
              <w:t>6.7</w:t>
            </w:r>
          </w:p>
        </w:tc>
        <w:tc>
          <w:tcPr>
            <w:tcW w:w="300" w:type="dxa"/>
            <w:tcBorders>
              <w:bottom w:val="single" w:sz="8" w:space="0" w:color="auto"/>
            </w:tcBorders>
            <w:shd w:val="clear" w:color="auto" w:fill="CCEEFF"/>
            <w:vAlign w:val="bottom"/>
          </w:tcPr>
          <w:p>
            <w:pPr>
              <w:spacing w:after="0" w:line="137" w:lineRule="exact"/>
              <w:ind w:right="120"/>
              <w:jc w:val="right"/>
              <w:rPr>
                <w:color w:val="auto"/>
                <w:sz w:val="20"/>
                <w:szCs w:val="20"/>
              </w:rPr>
            </w:pPr>
            <w:r>
              <w:rPr>
                <w:rFonts w:ascii="Calibri" w:eastAsia="Calibri" w:hAnsi="Calibri" w:cs="Calibri"/>
                <w:color w:val="auto"/>
                <w:sz w:val="12"/>
                <w:szCs w:val="12"/>
              </w:rPr>
              <w:t>$</w:t>
            </w:r>
          </w:p>
        </w:tc>
        <w:tc>
          <w:tcPr>
            <w:tcW w:w="820" w:type="dxa"/>
            <w:tcBorders>
              <w:bottom w:val="single" w:sz="8" w:space="0" w:color="auto"/>
            </w:tcBorders>
            <w:shd w:val="clear" w:color="auto" w:fill="CCEEFF"/>
            <w:vAlign w:val="bottom"/>
          </w:tcPr>
          <w:p>
            <w:pPr>
              <w:spacing w:after="0" w:line="137" w:lineRule="exact"/>
              <w:ind w:right="26"/>
              <w:jc w:val="right"/>
              <w:rPr>
                <w:color w:val="auto"/>
                <w:sz w:val="20"/>
                <w:szCs w:val="20"/>
              </w:rPr>
            </w:pPr>
            <w:r>
              <w:rPr>
                <w:rFonts w:ascii="Calibri" w:eastAsia="Calibri" w:hAnsi="Calibri" w:cs="Calibri"/>
                <w:color w:val="auto"/>
                <w:sz w:val="12"/>
                <w:szCs w:val="12"/>
              </w:rPr>
              <w:t>6.1</w:t>
            </w:r>
          </w:p>
        </w:tc>
        <w:tc>
          <w:tcPr>
            <w:tcW w:w="220" w:type="dxa"/>
            <w:tcBorders>
              <w:bottom w:val="single" w:sz="8" w:space="0" w:color="auto"/>
            </w:tcBorders>
            <w:shd w:val="clear" w:color="auto" w:fill="CCEEFF"/>
            <w:vAlign w:val="bottom"/>
          </w:tcPr>
          <w:p>
            <w:pPr>
              <w:spacing w:after="0" w:line="137" w:lineRule="exact"/>
              <w:ind w:right="20"/>
              <w:jc w:val="right"/>
              <w:rPr>
                <w:color w:val="auto"/>
                <w:sz w:val="20"/>
                <w:szCs w:val="20"/>
              </w:rPr>
            </w:pPr>
            <w:r>
              <w:rPr>
                <w:rFonts w:ascii="Calibri" w:eastAsia="Calibri" w:hAnsi="Calibri" w:cs="Calibri"/>
                <w:color w:val="auto"/>
                <w:sz w:val="12"/>
                <w:szCs w:val="12"/>
              </w:rPr>
              <w:t>$</w:t>
            </w:r>
          </w:p>
        </w:tc>
        <w:tc>
          <w:tcPr>
            <w:tcW w:w="940" w:type="dxa"/>
            <w:tcBorders>
              <w:bottom w:val="single" w:sz="8" w:space="0" w:color="auto"/>
            </w:tcBorders>
            <w:shd w:val="clear" w:color="auto" w:fill="CCEEFF"/>
            <w:vAlign w:val="bottom"/>
          </w:tcPr>
          <w:p>
            <w:pPr>
              <w:spacing w:after="0" w:line="137" w:lineRule="exact"/>
              <w:ind w:right="44"/>
              <w:jc w:val="right"/>
              <w:rPr>
                <w:color w:val="auto"/>
                <w:sz w:val="20"/>
                <w:szCs w:val="20"/>
              </w:rPr>
            </w:pPr>
            <w:r>
              <w:rPr>
                <w:rFonts w:ascii="Calibri" w:eastAsia="Calibri" w:hAnsi="Calibri" w:cs="Calibri"/>
                <w:color w:val="auto"/>
                <w:sz w:val="12"/>
                <w:szCs w:val="12"/>
              </w:rPr>
              <w:t>6.3</w:t>
            </w:r>
          </w:p>
        </w:tc>
        <w:tc>
          <w:tcPr>
            <w:tcW w:w="280" w:type="dxa"/>
            <w:tcBorders>
              <w:bottom w:val="single" w:sz="8" w:space="0" w:color="auto"/>
            </w:tcBorders>
            <w:shd w:val="clear" w:color="auto" w:fill="CCEEFF"/>
            <w:vAlign w:val="bottom"/>
          </w:tcPr>
          <w:p>
            <w:pPr>
              <w:spacing w:after="0" w:line="137" w:lineRule="exact"/>
              <w:ind w:right="120"/>
              <w:jc w:val="right"/>
              <w:rPr>
                <w:color w:val="auto"/>
                <w:sz w:val="20"/>
                <w:szCs w:val="20"/>
              </w:rPr>
            </w:pPr>
            <w:r>
              <w:rPr>
                <w:rFonts w:ascii="Calibri" w:eastAsia="Calibri" w:hAnsi="Calibri" w:cs="Calibri"/>
                <w:color w:val="auto"/>
                <w:sz w:val="12"/>
                <w:szCs w:val="12"/>
              </w:rPr>
              <w:t>$</w:t>
            </w:r>
          </w:p>
        </w:tc>
        <w:tc>
          <w:tcPr>
            <w:tcW w:w="78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5.7</w:t>
            </w:r>
          </w:p>
        </w:tc>
        <w:tc>
          <w:tcPr>
            <w:tcW w:w="40" w:type="dxa"/>
            <w:vAlign w:val="bottom"/>
          </w:tcPr>
          <w:p>
            <w:pPr>
              <w:spacing w:after="0"/>
              <w:rPr>
                <w:color w:val="auto"/>
                <w:sz w:val="11"/>
                <w:szCs w:val="11"/>
              </w:rPr>
            </w:pPr>
          </w:p>
        </w:tc>
      </w:tr>
      <w:tr>
        <w:tblPrEx>
          <w:tblInd w:w="0" w:type="dxa"/>
          <w:tblLayout w:type="fixed"/>
        </w:tblPrEx>
        <w:trPr>
          <w:trHeight w:val="608"/>
        </w:trPr>
        <w:tc>
          <w:tcPr>
            <w:tcW w:w="3880" w:type="dxa"/>
            <w:vAlign w:val="bottom"/>
          </w:tcPr>
          <w:p>
            <w:pPr>
              <w:spacing w:after="0"/>
              <w:rPr>
                <w:color w:val="auto"/>
                <w:sz w:val="24"/>
                <w:szCs w:val="24"/>
              </w:rPr>
            </w:pPr>
          </w:p>
        </w:tc>
        <w:tc>
          <w:tcPr>
            <w:tcW w:w="2620" w:type="dxa"/>
            <w:vAlign w:val="bottom"/>
          </w:tcPr>
          <w:p>
            <w:pPr>
              <w:spacing w:after="0"/>
              <w:rPr>
                <w:color w:val="auto"/>
                <w:sz w:val="24"/>
                <w:szCs w:val="24"/>
              </w:rPr>
            </w:pPr>
          </w:p>
        </w:tc>
        <w:tc>
          <w:tcPr>
            <w:tcW w:w="340" w:type="dxa"/>
            <w:vAlign w:val="bottom"/>
          </w:tcPr>
          <w:p>
            <w:pPr>
              <w:spacing w:after="0"/>
              <w:rPr>
                <w:color w:val="auto"/>
                <w:sz w:val="24"/>
                <w:szCs w:val="24"/>
              </w:rPr>
            </w:pPr>
          </w:p>
        </w:tc>
        <w:tc>
          <w:tcPr>
            <w:tcW w:w="300" w:type="dxa"/>
            <w:vAlign w:val="bottom"/>
          </w:tcPr>
          <w:p>
            <w:pPr>
              <w:spacing w:after="0"/>
              <w:rPr>
                <w:color w:val="auto"/>
                <w:sz w:val="24"/>
                <w:szCs w:val="24"/>
              </w:rPr>
            </w:pPr>
          </w:p>
        </w:tc>
        <w:tc>
          <w:tcPr>
            <w:tcW w:w="780" w:type="dxa"/>
            <w:vAlign w:val="bottom"/>
          </w:tcPr>
          <w:p>
            <w:pPr>
              <w:spacing w:after="0"/>
              <w:rPr>
                <w:color w:val="auto"/>
                <w:sz w:val="24"/>
                <w:szCs w:val="24"/>
              </w:rPr>
            </w:pPr>
          </w:p>
        </w:tc>
        <w:tc>
          <w:tcPr>
            <w:tcW w:w="300" w:type="dxa"/>
            <w:vAlign w:val="bottom"/>
          </w:tcPr>
          <w:p>
            <w:pPr>
              <w:spacing w:after="0"/>
              <w:rPr>
                <w:color w:val="auto"/>
                <w:sz w:val="24"/>
                <w:szCs w:val="24"/>
              </w:rPr>
            </w:pPr>
          </w:p>
        </w:tc>
        <w:tc>
          <w:tcPr>
            <w:tcW w:w="820" w:type="dxa"/>
            <w:vAlign w:val="bottom"/>
          </w:tcPr>
          <w:p>
            <w:pPr>
              <w:spacing w:after="0"/>
              <w:rPr>
                <w:color w:val="auto"/>
                <w:sz w:val="24"/>
                <w:szCs w:val="24"/>
              </w:rPr>
            </w:pPr>
          </w:p>
        </w:tc>
        <w:tc>
          <w:tcPr>
            <w:tcW w:w="220" w:type="dxa"/>
            <w:vAlign w:val="bottom"/>
          </w:tcPr>
          <w:p>
            <w:pPr>
              <w:spacing w:after="0"/>
              <w:rPr>
                <w:color w:val="auto"/>
                <w:sz w:val="24"/>
                <w:szCs w:val="24"/>
              </w:rPr>
            </w:pPr>
          </w:p>
        </w:tc>
        <w:tc>
          <w:tcPr>
            <w:tcW w:w="940" w:type="dxa"/>
            <w:vAlign w:val="bottom"/>
          </w:tcPr>
          <w:p>
            <w:pPr>
              <w:spacing w:after="0"/>
              <w:jc w:val="right"/>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280" w:type="dxa"/>
            <w:vAlign w:val="bottom"/>
          </w:tcPr>
          <w:p>
            <w:pPr>
              <w:spacing w:after="0"/>
              <w:rPr>
                <w:color w:val="auto"/>
                <w:sz w:val="24"/>
                <w:szCs w:val="24"/>
              </w:rPr>
            </w:pPr>
          </w:p>
        </w:tc>
        <w:tc>
          <w:tcPr>
            <w:tcW w:w="820" w:type="dxa"/>
            <w:gridSpan w:val="2"/>
            <w:vAlign w:val="bottom"/>
          </w:tcPr>
          <w:p>
            <w:pPr>
              <w:spacing w:after="0"/>
              <w:ind w:right="20"/>
              <w:jc w:val="right"/>
              <w:rPr>
                <w:color w:val="auto"/>
                <w:sz w:val="20"/>
                <w:szCs w:val="20"/>
              </w:rPr>
            </w:pPr>
            <w:r>
              <w:rPr>
                <w:rFonts w:ascii="Calibri" w:eastAsia="Calibri" w:hAnsi="Calibri" w:cs="Calibri"/>
                <w:b/>
                <w:bCs/>
                <w:i/>
                <w:iCs/>
                <w:color w:val="auto"/>
                <w:sz w:val="12"/>
                <w:szCs w:val="12"/>
              </w:rPr>
              <w:t>70</w:t>
            </w:r>
          </w:p>
        </w:tc>
      </w:tr>
      <w:tr>
        <w:tblPrEx>
          <w:tblInd w:w="0" w:type="dxa"/>
          <w:tblLayout w:type="fixed"/>
        </w:tblPrEx>
        <w:trPr>
          <w:trHeight w:val="152"/>
        </w:trPr>
        <w:tc>
          <w:tcPr>
            <w:tcW w:w="3880" w:type="dxa"/>
            <w:tcBorders>
              <w:bottom w:val="single" w:sz="8" w:space="0" w:color="9A9A9A"/>
            </w:tcBorders>
            <w:vAlign w:val="bottom"/>
          </w:tcPr>
          <w:p>
            <w:pPr>
              <w:spacing w:after="0"/>
              <w:rPr>
                <w:color w:val="auto"/>
                <w:sz w:val="13"/>
                <w:szCs w:val="13"/>
              </w:rPr>
            </w:pPr>
          </w:p>
        </w:tc>
        <w:tc>
          <w:tcPr>
            <w:tcW w:w="2620" w:type="dxa"/>
            <w:tcBorders>
              <w:bottom w:val="single" w:sz="8" w:space="0" w:color="9A9A9A"/>
            </w:tcBorders>
            <w:vAlign w:val="bottom"/>
          </w:tcPr>
          <w:p>
            <w:pPr>
              <w:spacing w:after="0"/>
              <w:rPr>
                <w:color w:val="auto"/>
                <w:sz w:val="13"/>
                <w:szCs w:val="13"/>
              </w:rPr>
            </w:pPr>
          </w:p>
        </w:tc>
        <w:tc>
          <w:tcPr>
            <w:tcW w:w="340" w:type="dxa"/>
            <w:tcBorders>
              <w:bottom w:val="single" w:sz="8" w:space="0" w:color="9A9A9A"/>
            </w:tcBorders>
            <w:vAlign w:val="bottom"/>
          </w:tcPr>
          <w:p>
            <w:pPr>
              <w:spacing w:after="0"/>
              <w:rPr>
                <w:color w:val="auto"/>
                <w:sz w:val="13"/>
                <w:szCs w:val="13"/>
              </w:rPr>
            </w:pPr>
          </w:p>
        </w:tc>
        <w:tc>
          <w:tcPr>
            <w:tcW w:w="300" w:type="dxa"/>
            <w:tcBorders>
              <w:bottom w:val="single" w:sz="8" w:space="0" w:color="9A9A9A"/>
            </w:tcBorders>
            <w:vAlign w:val="bottom"/>
          </w:tcPr>
          <w:p>
            <w:pPr>
              <w:spacing w:after="0"/>
              <w:rPr>
                <w:color w:val="auto"/>
                <w:sz w:val="13"/>
                <w:szCs w:val="13"/>
              </w:rPr>
            </w:pPr>
          </w:p>
        </w:tc>
        <w:tc>
          <w:tcPr>
            <w:tcW w:w="780" w:type="dxa"/>
            <w:tcBorders>
              <w:bottom w:val="single" w:sz="8" w:space="0" w:color="9A9A9A"/>
            </w:tcBorders>
            <w:vAlign w:val="bottom"/>
          </w:tcPr>
          <w:p>
            <w:pPr>
              <w:spacing w:after="0"/>
              <w:rPr>
                <w:color w:val="auto"/>
                <w:sz w:val="13"/>
                <w:szCs w:val="13"/>
              </w:rPr>
            </w:pPr>
          </w:p>
        </w:tc>
        <w:tc>
          <w:tcPr>
            <w:tcW w:w="300" w:type="dxa"/>
            <w:tcBorders>
              <w:bottom w:val="single" w:sz="8" w:space="0" w:color="9A9A9A"/>
            </w:tcBorders>
            <w:vAlign w:val="bottom"/>
          </w:tcPr>
          <w:p>
            <w:pPr>
              <w:spacing w:after="0"/>
              <w:rPr>
                <w:color w:val="auto"/>
                <w:sz w:val="13"/>
                <w:szCs w:val="13"/>
              </w:rPr>
            </w:pPr>
          </w:p>
        </w:tc>
        <w:tc>
          <w:tcPr>
            <w:tcW w:w="820" w:type="dxa"/>
            <w:tcBorders>
              <w:bottom w:val="single" w:sz="8" w:space="0" w:color="9A9A9A"/>
            </w:tcBorders>
            <w:vAlign w:val="bottom"/>
          </w:tcPr>
          <w:p>
            <w:pPr>
              <w:spacing w:after="0"/>
              <w:rPr>
                <w:color w:val="auto"/>
                <w:sz w:val="13"/>
                <w:szCs w:val="13"/>
              </w:rPr>
            </w:pPr>
          </w:p>
        </w:tc>
        <w:tc>
          <w:tcPr>
            <w:tcW w:w="220" w:type="dxa"/>
            <w:tcBorders>
              <w:bottom w:val="single" w:sz="8" w:space="0" w:color="9A9A9A"/>
            </w:tcBorders>
            <w:vAlign w:val="bottom"/>
          </w:tcPr>
          <w:p>
            <w:pPr>
              <w:spacing w:after="0"/>
              <w:rPr>
                <w:color w:val="auto"/>
                <w:sz w:val="13"/>
                <w:szCs w:val="13"/>
              </w:rPr>
            </w:pPr>
          </w:p>
        </w:tc>
        <w:tc>
          <w:tcPr>
            <w:tcW w:w="940" w:type="dxa"/>
            <w:tcBorders>
              <w:bottom w:val="single" w:sz="8" w:space="0" w:color="9A9A9A"/>
            </w:tcBorders>
            <w:vAlign w:val="bottom"/>
          </w:tcPr>
          <w:p>
            <w:pPr>
              <w:spacing w:after="0"/>
              <w:rPr>
                <w:color w:val="auto"/>
                <w:sz w:val="13"/>
                <w:szCs w:val="13"/>
              </w:rPr>
            </w:pPr>
          </w:p>
        </w:tc>
        <w:tc>
          <w:tcPr>
            <w:tcW w:w="280" w:type="dxa"/>
            <w:tcBorders>
              <w:bottom w:val="single" w:sz="8" w:space="0" w:color="9A9A9A"/>
            </w:tcBorders>
            <w:vAlign w:val="bottom"/>
          </w:tcPr>
          <w:p>
            <w:pPr>
              <w:spacing w:after="0"/>
              <w:rPr>
                <w:color w:val="auto"/>
                <w:sz w:val="13"/>
                <w:szCs w:val="13"/>
              </w:rPr>
            </w:pPr>
          </w:p>
        </w:tc>
        <w:tc>
          <w:tcPr>
            <w:tcW w:w="780" w:type="dxa"/>
            <w:tcBorders>
              <w:bottom w:val="single" w:sz="8" w:space="0" w:color="9A9A9A"/>
            </w:tcBorders>
            <w:vAlign w:val="bottom"/>
          </w:tcPr>
          <w:p>
            <w:pPr>
              <w:spacing w:after="0"/>
              <w:rPr>
                <w:color w:val="auto"/>
                <w:sz w:val="13"/>
                <w:szCs w:val="13"/>
              </w:rPr>
            </w:pPr>
          </w:p>
        </w:tc>
        <w:tc>
          <w:tcPr>
            <w:tcW w:w="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37440" behindDoc="1" locked="0" layoutInCell="0" allowOverlap="1">
            <wp:simplePos x="0" y="0"/>
            <wp:positionH relativeFrom="column">
              <wp:posOffset>7154545</wp:posOffset>
            </wp:positionH>
            <wp:positionV relativeFrom="paragraph">
              <wp:posOffset>-23495</wp:posOffset>
            </wp:positionV>
            <wp:extent cx="31115" cy="3683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38464" behindDoc="1" locked="0" layoutInCell="0" allowOverlap="1">
            <wp:simplePos x="0" y="0"/>
            <wp:positionH relativeFrom="column">
              <wp:posOffset>-17145</wp:posOffset>
            </wp:positionH>
            <wp:positionV relativeFrom="paragraph">
              <wp:posOffset>-23495</wp:posOffset>
            </wp:positionV>
            <wp:extent cx="31115" cy="3683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39488" behindDoc="1" locked="0" layoutInCell="0" allowOverlap="1">
            <wp:simplePos x="0" y="0"/>
            <wp:positionH relativeFrom="column">
              <wp:posOffset>6475730</wp:posOffset>
            </wp:positionH>
            <wp:positionV relativeFrom="paragraph">
              <wp:posOffset>-222250</wp:posOffset>
            </wp:positionV>
            <wp:extent cx="400050" cy="7429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72" w:name="page73"/>
    <w:bookmarkEnd w:id="72"/>
    <w:p>
      <w:pPr>
        <w:spacing w:after="0"/>
        <w:rPr>
          <w:color w:val="auto"/>
          <w:sz w:val="20"/>
          <w:szCs w:val="20"/>
        </w:rPr>
      </w:pPr>
      <w:r>
        <w:rPr>
          <w:rFonts w:ascii="Calibri" w:eastAsia="Calibri" w:hAnsi="Calibri" w:cs="Calibri"/>
          <w:i/>
          <w:iCs/>
          <w:color w:val="auto"/>
          <w:sz w:val="12"/>
          <w:szCs w:val="12"/>
        </w:rPr>
        <w:t>Indefnite-Lived Intangible Assets</w:t>
      </w:r>
    </w:p>
    <w:p>
      <w:pPr>
        <w:spacing w:after="0" w:line="92"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Indefnite-lived intangible assets represent acquired IPR&amp;D associated with products that have not yet received regulatory approval. The increase in indefnite-lived intangible assets during 2024 was primarily due to the acquisitons of ImmunoGen and Cerevel Therapeutcs. See Note 5 for additonal informaton regarding the acquisitons.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company performs its annual impairment assessment of indefnite-lived intangible assets in the third quarter, or earlier if impairment indicators exist.</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In November 2024, the company announced that its two Phase 2 EMPOWER trials investgatng emraclidine as a once-daily, oral monotherapy treatment for adults with schizophrenia who are experiencing an acute exacerbaton of psychotc symptoms, did not meet their primary endpoint of showing a statstcally signifcant reducton (improvement) in the change from baseline in the Positve and Negatve Syndrome Scale total score compared to the placebo group at week 6. The results of these trials represented a triggering event which required the company to evaluate the underlying indefnite-lived intangible asset for impairment which resulted in a signifcant decrease in the estmated future cash fows for the product. The company utlized a discounted cash fow analysis to determine the fair value of $2.4 billion, which was lower than the carrying value of $6.9 billion and resulted in a partal impairment of the intangible asset carrying amount as of November 11, 2024. The fair value measurement was based on Level 3 inputs including estmated net revenues, cost of products sold, R&amp;D costs, selling and marketng costs and discount rates. Based on the revised cash fows, the company recorded a pre-tax impairment charge of $4.5 billion to research and development expense in the consolidated statement of earnings for the fourth quarter of 2024.</w:t>
      </w:r>
    </w:p>
    <w:p>
      <w:pPr>
        <w:spacing w:after="0" w:line="93" w:lineRule="exact"/>
        <w:rPr>
          <w:color w:val="auto"/>
          <w:sz w:val="20"/>
          <w:szCs w:val="20"/>
        </w:rPr>
      </w:pPr>
    </w:p>
    <w:p>
      <w:pPr>
        <w:spacing w:after="0" w:line="235" w:lineRule="auto"/>
        <w:ind w:right="60" w:firstLine="297"/>
        <w:jc w:val="both"/>
        <w:rPr>
          <w:color w:val="auto"/>
          <w:sz w:val="20"/>
          <w:szCs w:val="20"/>
        </w:rPr>
      </w:pPr>
      <w:r>
        <w:rPr>
          <w:rFonts w:ascii="Calibri" w:eastAsia="Calibri" w:hAnsi="Calibri" w:cs="Calibri"/>
          <w:color w:val="auto"/>
          <w:sz w:val="12"/>
          <w:szCs w:val="12"/>
        </w:rPr>
        <w:t>During the frst quarter of 2023, the company made a decision to revise the research and development plan for AGN-151607, a novel investgatonal neurotoxin for the preventon of postoperatve atrial fbrillaton in cardiac surgery patents. This decision contributed to a delay in the estmated tming of regulatory approval as well as a signifcant decrease in estmated future cash fows of the product and represented a triggering event which required the company to evaluate the underlying indefnite-lived intangible asset for impairment. The company utlized a discounted cash fow analysis to estmate the fair value which was below the carrying value of the intangible asset. Based on the revised cash fows, the company recorded a pre-tax impairment charge of $630 million to research and development expense in the consolidated statement of earnings for the frst quarter of 2023.</w:t>
      </w:r>
    </w:p>
    <w:p>
      <w:pPr>
        <w:spacing w:after="0" w:line="14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8 Restructuring Plans</w:t>
      </w:r>
    </w:p>
    <w:p>
      <w:pPr>
        <w:spacing w:after="0" w:line="20" w:lineRule="exact"/>
        <w:rPr>
          <w:color w:val="auto"/>
          <w:sz w:val="20"/>
          <w:szCs w:val="20"/>
        </w:rPr>
      </w:pPr>
      <w:r>
        <w:rPr>
          <w:color w:val="auto"/>
          <w:sz w:val="20"/>
          <w:szCs w:val="20"/>
        </w:rPr>
        <w:drawing>
          <wp:anchor simplePos="0" relativeHeight="251840512" behindDoc="1" locked="0" layoutInCell="0" allowOverlap="1">
            <wp:simplePos x="0" y="0"/>
            <wp:positionH relativeFrom="column">
              <wp:posOffset>-4445</wp:posOffset>
            </wp:positionH>
            <wp:positionV relativeFrom="paragraph">
              <wp:posOffset>24130</wp:posOffset>
            </wp:positionV>
            <wp:extent cx="7166610" cy="571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01"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AbbVie contnuously evaluates its operatons to identfy opportunites to optmize its manufacturing and R&amp;D operatons, commercial infrastructure and administratve costs and to respond to changes in its business environment. As a result, AbbVie management periodically approves individual restructuring plans to achieve these objectves. In 2024, 2023 and 2022, no such plans were individually signifcant. Restructuring charges recorded were $189 million in 2024, $132 million in 2023 and $241 million in 2022 and were primarily related to employee severance and contractual obligatons. These charges were recorded in cost of products sold, R&amp;D expense and SG&amp;A expenses in the consolidated statements of earnings based on the classifcaton of the afected employees or operatons.</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71</w:t>
      </w:r>
      <w:r>
        <w:rPr>
          <w:color w:val="auto"/>
          <w:sz w:val="20"/>
          <w:szCs w:val="20"/>
        </w:rPr>
        <w:tab/>
      </w:r>
      <w:r>
        <w:rPr>
          <w:color w:val="auto"/>
          <w:sz w:val="1"/>
          <w:szCs w:val="1"/>
        </w:rPr>
        <w:drawing>
          <wp:inline distT="0" distB="0" distL="0" distR="0">
            <wp:extent cx="400050" cy="7429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41536" behindDoc="1" locked="0" layoutInCell="0" allowOverlap="1">
            <wp:simplePos x="0" y="0"/>
            <wp:positionH relativeFrom="column">
              <wp:posOffset>-17145</wp:posOffset>
            </wp:positionH>
            <wp:positionV relativeFrom="paragraph">
              <wp:posOffset>128270</wp:posOffset>
            </wp:positionV>
            <wp:extent cx="7203440" cy="3683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73" w:name="page74"/>
    <w:bookmarkEnd w:id="73"/>
    <w:p>
      <w:pPr>
        <w:spacing w:after="0"/>
        <w:ind w:left="280"/>
        <w:rPr>
          <w:color w:val="auto"/>
          <w:sz w:val="20"/>
          <w:szCs w:val="20"/>
        </w:rPr>
      </w:pPr>
      <w:r>
        <w:rPr>
          <w:rFonts w:ascii="Calibri" w:eastAsia="Calibri" w:hAnsi="Calibri" w:cs="Calibri"/>
          <w:color w:val="auto"/>
          <w:sz w:val="12"/>
          <w:szCs w:val="12"/>
        </w:rPr>
        <w:t>The following table summarizes the cash actvity in the restructuring reserve for 2024, 2023 and 2022:</w:t>
      </w:r>
    </w:p>
    <w:p>
      <w:pPr>
        <w:spacing w:after="0" w:line="106" w:lineRule="exact"/>
        <w:rPr>
          <w:color w:val="auto"/>
          <w:sz w:val="20"/>
          <w:szCs w:val="20"/>
        </w:rPr>
      </w:pPr>
    </w:p>
    <w:p>
      <w:pPr>
        <w:spacing w:after="0"/>
        <w:rPr>
          <w:color w:val="auto"/>
          <w:sz w:val="20"/>
          <w:szCs w:val="20"/>
        </w:rPr>
      </w:pPr>
      <w:r>
        <w:rPr>
          <w:rFonts w:ascii="Calibri" w:eastAsia="Calibri" w:hAnsi="Calibri" w:cs="Calibri"/>
          <w:b/>
          <w:bCs/>
          <w:color w:val="auto"/>
          <w:sz w:val="10"/>
          <w:szCs w:val="10"/>
        </w:rPr>
        <w:t>(in millions)</w:t>
      </w:r>
    </w:p>
    <w:p>
      <w:pPr>
        <w:spacing w:after="0" w:line="12" w:lineRule="exact"/>
        <w:rPr>
          <w:color w:val="auto"/>
          <w:sz w:val="20"/>
          <w:szCs w:val="20"/>
        </w:rPr>
      </w:pPr>
    </w:p>
    <w:tbl>
      <w:tblPr>
        <w:tblInd w:w="0" w:type="dxa"/>
        <w:tblLayout w:type="fixed"/>
        <w:tblCellMar>
          <w:top w:w="0" w:type="dxa"/>
          <w:left w:w="0" w:type="dxa"/>
          <w:bottom w:w="0" w:type="dxa"/>
          <w:right w:w="0" w:type="dxa"/>
        </w:tblCellMar>
      </w:tblPr>
      <w:tblGrid>
        <w:gridCol w:w="5920"/>
        <w:gridCol w:w="4540"/>
        <w:gridCol w:w="820"/>
      </w:tblGrid>
      <w:tr>
        <w:tblPrEx>
          <w:tblInd w:w="0" w:type="dxa"/>
          <w:tblLayout w:type="fixed"/>
        </w:tblPrEx>
        <w:trPr>
          <w:trHeight w:val="162"/>
        </w:trPr>
        <w:tc>
          <w:tcPr>
            <w:tcW w:w="5920" w:type="dxa"/>
            <w:tcBorders>
              <w:top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Accrued balance as of December 31, 2021</w:t>
            </w:r>
          </w:p>
        </w:tc>
        <w:tc>
          <w:tcPr>
            <w:tcW w:w="4540" w:type="dxa"/>
            <w:tcBorders>
              <w:top w:val="single" w:sz="8" w:space="0" w:color="auto"/>
            </w:tcBorders>
            <w:shd w:val="clear" w:color="auto" w:fill="CCEEFF"/>
            <w:vAlign w:val="bottom"/>
          </w:tcPr>
          <w:p>
            <w:pPr>
              <w:spacing w:after="0"/>
              <w:ind w:right="480"/>
              <w:jc w:val="right"/>
              <w:rPr>
                <w:color w:val="auto"/>
                <w:sz w:val="20"/>
                <w:szCs w:val="20"/>
              </w:rPr>
            </w:pPr>
            <w:r>
              <w:rPr>
                <w:rFonts w:ascii="Calibri" w:eastAsia="Calibri" w:hAnsi="Calibri" w:cs="Calibri"/>
                <w:color w:val="auto"/>
                <w:sz w:val="12"/>
                <w:szCs w:val="12"/>
              </w:rPr>
              <w:t>$</w:t>
            </w:r>
          </w:p>
        </w:tc>
        <w:tc>
          <w:tcPr>
            <w:tcW w:w="820" w:type="dxa"/>
            <w:tcBorders>
              <w:top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33</w:t>
            </w:r>
          </w:p>
        </w:tc>
      </w:tr>
      <w:tr>
        <w:tblPrEx>
          <w:tblInd w:w="0" w:type="dxa"/>
          <w:tblLayout w:type="fixed"/>
        </w:tblPrEx>
        <w:trPr>
          <w:trHeight w:val="147"/>
        </w:trPr>
        <w:tc>
          <w:tcPr>
            <w:tcW w:w="5920" w:type="dxa"/>
            <w:vAlign w:val="bottom"/>
          </w:tcPr>
          <w:p>
            <w:pPr>
              <w:spacing w:after="0" w:line="142" w:lineRule="exact"/>
              <w:rPr>
                <w:color w:val="auto"/>
                <w:sz w:val="20"/>
                <w:szCs w:val="20"/>
              </w:rPr>
            </w:pPr>
            <w:r>
              <w:rPr>
                <w:rFonts w:ascii="Calibri" w:eastAsia="Calibri" w:hAnsi="Calibri" w:cs="Calibri"/>
                <w:color w:val="auto"/>
                <w:sz w:val="12"/>
                <w:szCs w:val="12"/>
              </w:rPr>
              <w:t>Charges</w:t>
            </w:r>
          </w:p>
        </w:tc>
        <w:tc>
          <w:tcPr>
            <w:tcW w:w="4540" w:type="dxa"/>
            <w:vAlign w:val="bottom"/>
          </w:tcPr>
          <w:p>
            <w:pPr>
              <w:spacing w:after="0"/>
              <w:rPr>
                <w:color w:val="auto"/>
                <w:sz w:val="12"/>
                <w:szCs w:val="12"/>
              </w:rPr>
            </w:pPr>
          </w:p>
        </w:tc>
        <w:tc>
          <w:tcPr>
            <w:tcW w:w="820" w:type="dxa"/>
            <w:vAlign w:val="bottom"/>
          </w:tcPr>
          <w:p>
            <w:pPr>
              <w:spacing w:after="0" w:line="142" w:lineRule="exact"/>
              <w:jc w:val="right"/>
              <w:rPr>
                <w:color w:val="auto"/>
                <w:sz w:val="20"/>
                <w:szCs w:val="20"/>
              </w:rPr>
            </w:pPr>
            <w:r>
              <w:rPr>
                <w:rFonts w:ascii="Calibri" w:eastAsia="Calibri" w:hAnsi="Calibri" w:cs="Calibri"/>
                <w:color w:val="auto"/>
                <w:sz w:val="12"/>
                <w:szCs w:val="12"/>
              </w:rPr>
              <w:t>193</w:t>
            </w:r>
          </w:p>
        </w:tc>
      </w:tr>
      <w:tr>
        <w:tblPrEx>
          <w:tblInd w:w="0" w:type="dxa"/>
          <w:tblLayout w:type="fixed"/>
        </w:tblPrEx>
        <w:trPr>
          <w:trHeight w:val="153"/>
        </w:trPr>
        <w:tc>
          <w:tcPr>
            <w:tcW w:w="592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Payments and other adjustments</w:t>
            </w:r>
          </w:p>
        </w:tc>
        <w:tc>
          <w:tcPr>
            <w:tcW w:w="4540" w:type="dxa"/>
            <w:tcBorders>
              <w:bottom w:val="single" w:sz="8" w:space="0" w:color="auto"/>
            </w:tcBorders>
            <w:shd w:val="clear" w:color="auto" w:fill="CCEEFF"/>
            <w:vAlign w:val="bottom"/>
          </w:tcPr>
          <w:p>
            <w:pPr>
              <w:spacing w:after="0"/>
              <w:rPr>
                <w:color w:val="auto"/>
                <w:sz w:val="13"/>
                <w:szCs w:val="13"/>
              </w:rPr>
            </w:pPr>
          </w:p>
        </w:tc>
        <w:tc>
          <w:tcPr>
            <w:tcW w:w="8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(50)</w:t>
            </w:r>
          </w:p>
        </w:tc>
      </w:tr>
      <w:tr>
        <w:tblPrEx>
          <w:tblInd w:w="0" w:type="dxa"/>
          <w:tblLayout w:type="fixed"/>
        </w:tblPrEx>
        <w:trPr>
          <w:trHeight w:val="142"/>
        </w:trPr>
        <w:tc>
          <w:tcPr>
            <w:tcW w:w="5920" w:type="dxa"/>
            <w:vAlign w:val="bottom"/>
          </w:tcPr>
          <w:p>
            <w:pPr>
              <w:spacing w:after="0" w:line="142" w:lineRule="exact"/>
              <w:rPr>
                <w:color w:val="auto"/>
                <w:sz w:val="20"/>
                <w:szCs w:val="20"/>
              </w:rPr>
            </w:pPr>
            <w:r>
              <w:rPr>
                <w:rFonts w:ascii="Calibri" w:eastAsia="Calibri" w:hAnsi="Calibri" w:cs="Calibri"/>
                <w:color w:val="auto"/>
                <w:sz w:val="12"/>
                <w:szCs w:val="12"/>
              </w:rPr>
              <w:t>Accrued balance as of December 31, 2022</w:t>
            </w:r>
          </w:p>
        </w:tc>
        <w:tc>
          <w:tcPr>
            <w:tcW w:w="4540" w:type="dxa"/>
            <w:vAlign w:val="bottom"/>
          </w:tcPr>
          <w:p>
            <w:pPr>
              <w:spacing w:after="0"/>
              <w:rPr>
                <w:color w:val="auto"/>
                <w:sz w:val="12"/>
                <w:szCs w:val="12"/>
              </w:rPr>
            </w:pPr>
          </w:p>
        </w:tc>
        <w:tc>
          <w:tcPr>
            <w:tcW w:w="820" w:type="dxa"/>
            <w:vAlign w:val="bottom"/>
          </w:tcPr>
          <w:p>
            <w:pPr>
              <w:spacing w:after="0" w:line="142" w:lineRule="exact"/>
              <w:jc w:val="right"/>
              <w:rPr>
                <w:color w:val="auto"/>
                <w:sz w:val="20"/>
                <w:szCs w:val="20"/>
              </w:rPr>
            </w:pPr>
            <w:r>
              <w:rPr>
                <w:rFonts w:ascii="Calibri" w:eastAsia="Calibri" w:hAnsi="Calibri" w:cs="Calibri"/>
                <w:color w:val="auto"/>
                <w:sz w:val="12"/>
                <w:szCs w:val="12"/>
              </w:rPr>
              <w:t>176</w:t>
            </w:r>
          </w:p>
        </w:tc>
      </w:tr>
      <w:tr>
        <w:tblPrEx>
          <w:tblInd w:w="0" w:type="dxa"/>
          <w:tblLayout w:type="fixed"/>
        </w:tblPrEx>
        <w:trPr>
          <w:trHeight w:val="159"/>
        </w:trPr>
        <w:tc>
          <w:tcPr>
            <w:tcW w:w="5920" w:type="dxa"/>
            <w:shd w:val="clear" w:color="auto" w:fill="CCEEFF"/>
            <w:vAlign w:val="bottom"/>
          </w:tcPr>
          <w:p>
            <w:pPr>
              <w:spacing w:after="0"/>
              <w:rPr>
                <w:color w:val="auto"/>
                <w:sz w:val="20"/>
                <w:szCs w:val="20"/>
              </w:rPr>
            </w:pPr>
            <w:r>
              <w:rPr>
                <w:rFonts w:ascii="Calibri" w:eastAsia="Calibri" w:hAnsi="Calibri" w:cs="Calibri"/>
                <w:color w:val="auto"/>
                <w:sz w:val="12"/>
                <w:szCs w:val="12"/>
              </w:rPr>
              <w:t>Charges</w:t>
            </w:r>
          </w:p>
        </w:tc>
        <w:tc>
          <w:tcPr>
            <w:tcW w:w="4540" w:type="dxa"/>
            <w:shd w:val="clear" w:color="auto" w:fill="CCEEFF"/>
            <w:vAlign w:val="bottom"/>
          </w:tcPr>
          <w:p>
            <w:pPr>
              <w:spacing w:after="0"/>
              <w:rPr>
                <w:color w:val="auto"/>
                <w:sz w:val="13"/>
                <w:szCs w:val="13"/>
              </w:rPr>
            </w:pPr>
          </w:p>
        </w:tc>
        <w:tc>
          <w:tcPr>
            <w:tcW w:w="8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107</w:t>
            </w:r>
          </w:p>
        </w:tc>
      </w:tr>
      <w:tr>
        <w:tblPrEx>
          <w:tblInd w:w="0" w:type="dxa"/>
          <w:tblLayout w:type="fixed"/>
        </w:tblPrEx>
        <w:trPr>
          <w:trHeight w:val="147"/>
        </w:trPr>
        <w:tc>
          <w:tcPr>
            <w:tcW w:w="59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Payments and other adjustments</w:t>
            </w:r>
          </w:p>
        </w:tc>
        <w:tc>
          <w:tcPr>
            <w:tcW w:w="4540" w:type="dxa"/>
            <w:tcBorders>
              <w:bottom w:val="single" w:sz="8" w:space="0" w:color="auto"/>
            </w:tcBorders>
            <w:vAlign w:val="bottom"/>
          </w:tcPr>
          <w:p>
            <w:pPr>
              <w:spacing w:after="0"/>
              <w:rPr>
                <w:color w:val="auto"/>
                <w:sz w:val="12"/>
                <w:szCs w:val="12"/>
              </w:rPr>
            </w:pPr>
          </w:p>
        </w:tc>
        <w:tc>
          <w:tcPr>
            <w:tcW w:w="8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(87)</w:t>
            </w:r>
          </w:p>
        </w:tc>
      </w:tr>
      <w:tr>
        <w:tblPrEx>
          <w:tblInd w:w="0" w:type="dxa"/>
          <w:tblLayout w:type="fixed"/>
        </w:tblPrEx>
        <w:trPr>
          <w:trHeight w:val="148"/>
        </w:trPr>
        <w:tc>
          <w:tcPr>
            <w:tcW w:w="59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Accrued balance as of December 31, 2023</w:t>
            </w:r>
          </w:p>
        </w:tc>
        <w:tc>
          <w:tcPr>
            <w:tcW w:w="4540" w:type="dxa"/>
            <w:shd w:val="clear" w:color="auto" w:fill="CCEEFF"/>
            <w:vAlign w:val="bottom"/>
          </w:tcPr>
          <w:p>
            <w:pPr>
              <w:spacing w:after="0"/>
              <w:rPr>
                <w:color w:val="auto"/>
                <w:sz w:val="12"/>
                <w:szCs w:val="12"/>
              </w:rPr>
            </w:pPr>
          </w:p>
        </w:tc>
        <w:tc>
          <w:tcPr>
            <w:tcW w:w="82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196</w:t>
            </w:r>
          </w:p>
        </w:tc>
      </w:tr>
      <w:tr>
        <w:tblPrEx>
          <w:tblInd w:w="0" w:type="dxa"/>
          <w:tblLayout w:type="fixed"/>
        </w:tblPrEx>
        <w:trPr>
          <w:trHeight w:val="147"/>
        </w:trPr>
        <w:tc>
          <w:tcPr>
            <w:tcW w:w="5920" w:type="dxa"/>
            <w:vAlign w:val="bottom"/>
          </w:tcPr>
          <w:p>
            <w:pPr>
              <w:spacing w:after="0" w:line="142" w:lineRule="exact"/>
              <w:rPr>
                <w:color w:val="auto"/>
                <w:sz w:val="20"/>
                <w:szCs w:val="20"/>
              </w:rPr>
            </w:pPr>
            <w:r>
              <w:rPr>
                <w:rFonts w:ascii="Calibri" w:eastAsia="Calibri" w:hAnsi="Calibri" w:cs="Calibri"/>
                <w:color w:val="auto"/>
                <w:sz w:val="12"/>
                <w:szCs w:val="12"/>
              </w:rPr>
              <w:t>Charges</w:t>
            </w:r>
          </w:p>
        </w:tc>
        <w:tc>
          <w:tcPr>
            <w:tcW w:w="4540" w:type="dxa"/>
            <w:vAlign w:val="bottom"/>
          </w:tcPr>
          <w:p>
            <w:pPr>
              <w:spacing w:after="0"/>
              <w:rPr>
                <w:color w:val="auto"/>
                <w:sz w:val="12"/>
                <w:szCs w:val="12"/>
              </w:rPr>
            </w:pPr>
          </w:p>
        </w:tc>
        <w:tc>
          <w:tcPr>
            <w:tcW w:w="820" w:type="dxa"/>
            <w:vAlign w:val="bottom"/>
          </w:tcPr>
          <w:p>
            <w:pPr>
              <w:spacing w:after="0" w:line="142" w:lineRule="exact"/>
              <w:jc w:val="right"/>
              <w:rPr>
                <w:color w:val="auto"/>
                <w:sz w:val="20"/>
                <w:szCs w:val="20"/>
              </w:rPr>
            </w:pPr>
            <w:r>
              <w:rPr>
                <w:rFonts w:ascii="Calibri" w:eastAsia="Calibri" w:hAnsi="Calibri" w:cs="Calibri"/>
                <w:color w:val="auto"/>
                <w:sz w:val="12"/>
                <w:szCs w:val="12"/>
              </w:rPr>
              <w:t>168</w:t>
            </w:r>
          </w:p>
        </w:tc>
      </w:tr>
      <w:tr>
        <w:tblPrEx>
          <w:tblInd w:w="0" w:type="dxa"/>
          <w:tblLayout w:type="fixed"/>
        </w:tblPrEx>
        <w:trPr>
          <w:trHeight w:val="153"/>
        </w:trPr>
        <w:tc>
          <w:tcPr>
            <w:tcW w:w="592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Payments and other adjustments</w:t>
            </w:r>
          </w:p>
        </w:tc>
        <w:tc>
          <w:tcPr>
            <w:tcW w:w="4540" w:type="dxa"/>
            <w:tcBorders>
              <w:bottom w:val="single" w:sz="8" w:space="0" w:color="auto"/>
            </w:tcBorders>
            <w:shd w:val="clear" w:color="auto" w:fill="CCEEFF"/>
            <w:vAlign w:val="bottom"/>
          </w:tcPr>
          <w:p>
            <w:pPr>
              <w:spacing w:after="0"/>
              <w:rPr>
                <w:color w:val="auto"/>
                <w:sz w:val="13"/>
                <w:szCs w:val="13"/>
              </w:rPr>
            </w:pPr>
          </w:p>
        </w:tc>
        <w:tc>
          <w:tcPr>
            <w:tcW w:w="8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(128)</w:t>
            </w:r>
          </w:p>
        </w:tc>
      </w:tr>
      <w:tr>
        <w:tblPrEx>
          <w:tblInd w:w="0" w:type="dxa"/>
          <w:tblLayout w:type="fixed"/>
        </w:tblPrEx>
        <w:trPr>
          <w:trHeight w:val="142"/>
        </w:trPr>
        <w:tc>
          <w:tcPr>
            <w:tcW w:w="59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Accrued balance as of December 31, 2024</w:t>
            </w:r>
          </w:p>
        </w:tc>
        <w:tc>
          <w:tcPr>
            <w:tcW w:w="4540" w:type="dxa"/>
            <w:tcBorders>
              <w:bottom w:val="single" w:sz="8" w:space="0" w:color="auto"/>
            </w:tcBorders>
            <w:vAlign w:val="bottom"/>
          </w:tcPr>
          <w:p>
            <w:pPr>
              <w:spacing w:after="0" w:line="142" w:lineRule="exact"/>
              <w:ind w:right="480"/>
              <w:jc w:val="right"/>
              <w:rPr>
                <w:color w:val="auto"/>
                <w:sz w:val="20"/>
                <w:szCs w:val="20"/>
              </w:rPr>
            </w:pPr>
            <w:r>
              <w:rPr>
                <w:rFonts w:ascii="Calibri" w:eastAsia="Calibri" w:hAnsi="Calibri" w:cs="Calibri"/>
                <w:color w:val="auto"/>
                <w:sz w:val="12"/>
                <w:szCs w:val="12"/>
              </w:rPr>
              <w:t>$</w:t>
            </w:r>
          </w:p>
        </w:tc>
        <w:tc>
          <w:tcPr>
            <w:tcW w:w="8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236</w:t>
            </w:r>
          </w:p>
        </w:tc>
      </w:tr>
      <w:tr>
        <w:tblPrEx>
          <w:tblInd w:w="0" w:type="dxa"/>
          <w:tblLayout w:type="fixed"/>
        </w:tblPrEx>
        <w:trPr>
          <w:trHeight w:val="20"/>
        </w:trPr>
        <w:tc>
          <w:tcPr>
            <w:tcW w:w="5920" w:type="dxa"/>
            <w:tcBorders>
              <w:bottom w:val="single" w:sz="8" w:space="0" w:color="auto"/>
            </w:tcBorders>
            <w:vAlign w:val="bottom"/>
          </w:tcPr>
          <w:p>
            <w:pPr>
              <w:spacing w:after="0" w:line="20" w:lineRule="exact"/>
              <w:rPr>
                <w:color w:val="auto"/>
                <w:sz w:val="1"/>
                <w:szCs w:val="1"/>
              </w:rPr>
            </w:pPr>
          </w:p>
        </w:tc>
        <w:tc>
          <w:tcPr>
            <w:tcW w:w="4540" w:type="dxa"/>
            <w:tcBorders>
              <w:bottom w:val="single" w:sz="8" w:space="0" w:color="auto"/>
            </w:tcBorders>
            <w:vAlign w:val="bottom"/>
          </w:tcPr>
          <w:p>
            <w:pPr>
              <w:spacing w:after="0" w:line="20" w:lineRule="exact"/>
              <w:rPr>
                <w:color w:val="auto"/>
                <w:sz w:val="1"/>
                <w:szCs w:val="1"/>
              </w:rPr>
            </w:pPr>
          </w:p>
        </w:tc>
        <w:tc>
          <w:tcPr>
            <w:tcW w:w="820" w:type="dxa"/>
            <w:tcBorders>
              <w:bottom w:val="single" w:sz="8" w:space="0" w:color="auto"/>
            </w:tcBorders>
            <w:vAlign w:val="bottom"/>
          </w:tcPr>
          <w:p>
            <w:pPr>
              <w:spacing w:after="0" w:line="20" w:lineRule="exact"/>
              <w:rPr>
                <w:color w:val="auto"/>
                <w:sz w:val="1"/>
                <w:szCs w:val="1"/>
              </w:rPr>
            </w:pPr>
          </w:p>
        </w:tc>
      </w:tr>
    </w:tbl>
    <w:p>
      <w:pPr>
        <w:spacing w:after="0" w:line="143"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Allergan Integraton Plan</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Following the closing of the Allergan acquisiton, AbbVie implemented an integraton plan designed to reduce costs, integrate and optmize the combined organizaton and incurred total cumulatve charges of $2.5 billion through</w:t>
      </w:r>
    </w:p>
    <w:p>
      <w:pPr>
        <w:spacing w:after="0" w:line="2" w:lineRule="exact"/>
        <w:rPr>
          <w:color w:val="auto"/>
          <w:sz w:val="20"/>
          <w:szCs w:val="20"/>
        </w:rPr>
      </w:pPr>
    </w:p>
    <w:p>
      <w:pPr>
        <w:spacing w:after="0" w:line="234" w:lineRule="auto"/>
        <w:ind w:right="380"/>
        <w:rPr>
          <w:color w:val="auto"/>
          <w:sz w:val="20"/>
          <w:szCs w:val="20"/>
        </w:rPr>
      </w:pPr>
      <w:r>
        <w:rPr>
          <w:rFonts w:ascii="Calibri" w:eastAsia="Calibri" w:hAnsi="Calibri" w:cs="Calibri"/>
          <w:color w:val="auto"/>
          <w:sz w:val="12"/>
          <w:szCs w:val="12"/>
        </w:rPr>
        <w:t>2023. These costs consisted of severance and employee beneft costs (cash severance, non-cash severance, including accelerated equity award compensaton expense, retenton and other terminaton benefts) and other integraton expenses. The Allergan integraton plan was substantally complete as of December 31, 2023 and the remaining accrual as of December 31, 2024 is not signifcant.</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the charges associated with the Allergan acquisiton integraton plan:</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5220"/>
        <w:gridCol w:w="3880"/>
        <w:gridCol w:w="940"/>
        <w:gridCol w:w="340"/>
        <w:gridCol w:w="920"/>
      </w:tblGrid>
      <w:tr>
        <w:tblPrEx>
          <w:tblInd w:w="0" w:type="dxa"/>
          <w:tblLayout w:type="fixed"/>
        </w:tblPrEx>
        <w:trPr>
          <w:trHeight w:val="122"/>
        </w:trPr>
        <w:tc>
          <w:tcPr>
            <w:tcW w:w="5220" w:type="dxa"/>
            <w:vAlign w:val="bottom"/>
          </w:tcPr>
          <w:p>
            <w:pPr>
              <w:spacing w:after="0"/>
              <w:rPr>
                <w:color w:val="auto"/>
                <w:sz w:val="20"/>
                <w:szCs w:val="20"/>
              </w:rPr>
            </w:pPr>
            <w:r>
              <w:rPr>
                <w:rFonts w:ascii="Calibri" w:eastAsia="Calibri" w:hAnsi="Calibri" w:cs="Calibri"/>
                <w:b/>
                <w:bCs/>
                <w:color w:val="auto"/>
                <w:sz w:val="10"/>
                <w:szCs w:val="10"/>
              </w:rPr>
              <w:t>year ended December 31 (in millions)</w:t>
            </w:r>
          </w:p>
        </w:tc>
        <w:tc>
          <w:tcPr>
            <w:tcW w:w="3880" w:type="dxa"/>
            <w:vAlign w:val="bottom"/>
          </w:tcPr>
          <w:p>
            <w:pPr>
              <w:spacing w:after="0"/>
              <w:rPr>
                <w:color w:val="auto"/>
                <w:sz w:val="10"/>
                <w:szCs w:val="10"/>
              </w:rPr>
            </w:pPr>
          </w:p>
        </w:tc>
        <w:tc>
          <w:tcPr>
            <w:tcW w:w="940" w:type="dxa"/>
            <w:vAlign w:val="bottom"/>
          </w:tcPr>
          <w:p>
            <w:pPr>
              <w:spacing w:after="0"/>
              <w:ind w:right="462"/>
              <w:jc w:val="right"/>
              <w:rPr>
                <w:color w:val="auto"/>
                <w:sz w:val="20"/>
                <w:szCs w:val="20"/>
              </w:rPr>
            </w:pPr>
            <w:r>
              <w:rPr>
                <w:rFonts w:ascii="Calibri" w:eastAsia="Calibri" w:hAnsi="Calibri" w:cs="Calibri"/>
                <w:b/>
                <w:bCs/>
                <w:color w:val="auto"/>
                <w:sz w:val="10"/>
                <w:szCs w:val="10"/>
              </w:rPr>
              <w:t>2023</w:t>
            </w:r>
          </w:p>
        </w:tc>
        <w:tc>
          <w:tcPr>
            <w:tcW w:w="340" w:type="dxa"/>
            <w:vAlign w:val="bottom"/>
          </w:tcPr>
          <w:p>
            <w:pPr>
              <w:spacing w:after="0"/>
              <w:rPr>
                <w:color w:val="auto"/>
                <w:sz w:val="10"/>
                <w:szCs w:val="10"/>
              </w:rPr>
            </w:pPr>
          </w:p>
        </w:tc>
        <w:tc>
          <w:tcPr>
            <w:tcW w:w="920" w:type="dxa"/>
            <w:vAlign w:val="bottom"/>
          </w:tcPr>
          <w:p>
            <w:pPr>
              <w:spacing w:after="0"/>
              <w:ind w:right="442"/>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5220" w:type="dxa"/>
            <w:tcBorders>
              <w:bottom w:val="single" w:sz="8" w:space="0" w:color="auto"/>
            </w:tcBorders>
            <w:vAlign w:val="bottom"/>
          </w:tcPr>
          <w:p>
            <w:pPr>
              <w:spacing w:after="0"/>
              <w:rPr>
                <w:color w:val="auto"/>
                <w:sz w:val="2"/>
                <w:szCs w:val="2"/>
              </w:rPr>
            </w:pPr>
          </w:p>
        </w:tc>
        <w:tc>
          <w:tcPr>
            <w:tcW w:w="388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52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Cost of products sold</w:t>
            </w:r>
          </w:p>
        </w:tc>
        <w:tc>
          <w:tcPr>
            <w:tcW w:w="388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4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89</w:t>
            </w:r>
          </w:p>
        </w:tc>
        <w:tc>
          <w:tcPr>
            <w:tcW w:w="340" w:type="dxa"/>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2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117</w:t>
            </w:r>
          </w:p>
        </w:tc>
      </w:tr>
      <w:tr>
        <w:tblPrEx>
          <w:tblInd w:w="0" w:type="dxa"/>
          <w:tblLayout w:type="fixed"/>
        </w:tblPrEx>
        <w:trPr>
          <w:trHeight w:val="147"/>
        </w:trPr>
        <w:tc>
          <w:tcPr>
            <w:tcW w:w="5220" w:type="dxa"/>
            <w:vAlign w:val="bottom"/>
          </w:tcPr>
          <w:p>
            <w:pPr>
              <w:spacing w:after="0" w:line="142" w:lineRule="exact"/>
              <w:rPr>
                <w:color w:val="auto"/>
                <w:sz w:val="20"/>
                <w:szCs w:val="20"/>
              </w:rPr>
            </w:pPr>
            <w:r>
              <w:rPr>
                <w:rFonts w:ascii="Calibri" w:eastAsia="Calibri" w:hAnsi="Calibri" w:cs="Calibri"/>
                <w:color w:val="auto"/>
                <w:sz w:val="12"/>
                <w:szCs w:val="12"/>
              </w:rPr>
              <w:t>Research and development</w:t>
            </w:r>
          </w:p>
        </w:tc>
        <w:tc>
          <w:tcPr>
            <w:tcW w:w="3880" w:type="dxa"/>
            <w:vAlign w:val="bottom"/>
          </w:tcPr>
          <w:p>
            <w:pPr>
              <w:spacing w:after="0"/>
              <w:rPr>
                <w:color w:val="auto"/>
                <w:sz w:val="12"/>
                <w:szCs w:val="12"/>
              </w:rPr>
            </w:pPr>
          </w:p>
        </w:tc>
        <w:tc>
          <w:tcPr>
            <w:tcW w:w="94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7</w:t>
            </w:r>
          </w:p>
        </w:tc>
        <w:tc>
          <w:tcPr>
            <w:tcW w:w="340" w:type="dxa"/>
            <w:vAlign w:val="bottom"/>
          </w:tcPr>
          <w:p>
            <w:pPr>
              <w:spacing w:after="0"/>
              <w:rPr>
                <w:color w:val="auto"/>
                <w:sz w:val="12"/>
                <w:szCs w:val="12"/>
              </w:rPr>
            </w:pPr>
          </w:p>
        </w:tc>
        <w:tc>
          <w:tcPr>
            <w:tcW w:w="920" w:type="dxa"/>
            <w:vAlign w:val="bottom"/>
          </w:tcPr>
          <w:p>
            <w:pPr>
              <w:spacing w:after="0" w:line="142" w:lineRule="exact"/>
              <w:jc w:val="right"/>
              <w:rPr>
                <w:color w:val="auto"/>
                <w:sz w:val="20"/>
                <w:szCs w:val="20"/>
              </w:rPr>
            </w:pPr>
            <w:r>
              <w:rPr>
                <w:rFonts w:ascii="Calibri" w:eastAsia="Calibri" w:hAnsi="Calibri" w:cs="Calibri"/>
                <w:color w:val="auto"/>
                <w:sz w:val="12"/>
                <w:szCs w:val="12"/>
              </w:rPr>
              <w:t>23</w:t>
            </w:r>
          </w:p>
        </w:tc>
      </w:tr>
      <w:tr>
        <w:tblPrEx>
          <w:tblInd w:w="0" w:type="dxa"/>
          <w:tblLayout w:type="fixed"/>
        </w:tblPrEx>
        <w:trPr>
          <w:trHeight w:val="153"/>
        </w:trPr>
        <w:tc>
          <w:tcPr>
            <w:tcW w:w="522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Selling, general and administratve</w:t>
            </w:r>
          </w:p>
        </w:tc>
        <w:tc>
          <w:tcPr>
            <w:tcW w:w="3880" w:type="dxa"/>
            <w:tcBorders>
              <w:bottom w:val="single" w:sz="8" w:space="0" w:color="auto"/>
            </w:tcBorders>
            <w:shd w:val="clear" w:color="auto" w:fill="CCEEFF"/>
            <w:vAlign w:val="bottom"/>
          </w:tcPr>
          <w:p>
            <w:pPr>
              <w:spacing w:after="0"/>
              <w:rPr>
                <w:color w:val="auto"/>
                <w:sz w:val="13"/>
                <w:szCs w:val="13"/>
              </w:rPr>
            </w:pPr>
          </w:p>
        </w:tc>
        <w:tc>
          <w:tcPr>
            <w:tcW w:w="94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192</w:t>
            </w:r>
          </w:p>
        </w:tc>
        <w:tc>
          <w:tcPr>
            <w:tcW w:w="340" w:type="dxa"/>
            <w:tcBorders>
              <w:bottom w:val="single" w:sz="8" w:space="0" w:color="auto"/>
            </w:tcBorders>
            <w:shd w:val="clear" w:color="auto" w:fill="CCEEFF"/>
            <w:vAlign w:val="bottom"/>
          </w:tcPr>
          <w:p>
            <w:pPr>
              <w:spacing w:after="0"/>
              <w:rPr>
                <w:color w:val="auto"/>
                <w:sz w:val="13"/>
                <w:szCs w:val="13"/>
              </w:rPr>
            </w:pPr>
          </w:p>
        </w:tc>
        <w:tc>
          <w:tcPr>
            <w:tcW w:w="9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399</w:t>
            </w:r>
          </w:p>
        </w:tc>
      </w:tr>
      <w:tr>
        <w:tblPrEx>
          <w:tblInd w:w="0" w:type="dxa"/>
          <w:tblLayout w:type="fixed"/>
        </w:tblPrEx>
        <w:trPr>
          <w:trHeight w:val="142"/>
        </w:trPr>
        <w:tc>
          <w:tcPr>
            <w:tcW w:w="52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charges</w:t>
            </w:r>
          </w:p>
        </w:tc>
        <w:tc>
          <w:tcPr>
            <w:tcW w:w="3880" w:type="dxa"/>
            <w:tcBorders>
              <w:bottom w:val="single" w:sz="8" w:space="0" w:color="auto"/>
            </w:tcBorders>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4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288</w:t>
            </w:r>
          </w:p>
        </w:tc>
        <w:tc>
          <w:tcPr>
            <w:tcW w:w="340" w:type="dxa"/>
            <w:tcBorders>
              <w:bottom w:val="single" w:sz="8" w:space="0" w:color="auto"/>
            </w:tcBorders>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9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539</w:t>
            </w:r>
          </w:p>
        </w:tc>
      </w:tr>
      <w:tr>
        <w:tblPrEx>
          <w:tblInd w:w="0" w:type="dxa"/>
          <w:tblLayout w:type="fixed"/>
        </w:tblPrEx>
        <w:trPr>
          <w:trHeight w:val="20"/>
        </w:trPr>
        <w:tc>
          <w:tcPr>
            <w:tcW w:w="5220" w:type="dxa"/>
            <w:tcBorders>
              <w:bottom w:val="single" w:sz="8" w:space="0" w:color="auto"/>
            </w:tcBorders>
            <w:vAlign w:val="bottom"/>
          </w:tcPr>
          <w:p>
            <w:pPr>
              <w:spacing w:after="0" w:line="20" w:lineRule="exact"/>
              <w:rPr>
                <w:color w:val="auto"/>
                <w:sz w:val="1"/>
                <w:szCs w:val="1"/>
              </w:rPr>
            </w:pPr>
          </w:p>
        </w:tc>
        <w:tc>
          <w:tcPr>
            <w:tcW w:w="3880" w:type="dxa"/>
            <w:tcBorders>
              <w:bottom w:val="single" w:sz="8" w:space="0" w:color="auto"/>
            </w:tcBorders>
            <w:vAlign w:val="bottom"/>
          </w:tcPr>
          <w:p>
            <w:pPr>
              <w:spacing w:after="0" w:line="20" w:lineRule="exact"/>
              <w:rPr>
                <w:color w:val="auto"/>
                <w:sz w:val="1"/>
                <w:szCs w:val="1"/>
              </w:rPr>
            </w:pPr>
          </w:p>
        </w:tc>
        <w:tc>
          <w:tcPr>
            <w:tcW w:w="1280" w:type="dxa"/>
            <w:gridSpan w:val="2"/>
            <w:tcBorders>
              <w:bottom w:val="single" w:sz="8" w:space="0" w:color="auto"/>
            </w:tcBorders>
            <w:vAlign w:val="bottom"/>
          </w:tcPr>
          <w:p>
            <w:pPr>
              <w:spacing w:after="0" w:line="20" w:lineRule="exact"/>
              <w:rPr>
                <w:color w:val="auto"/>
                <w:sz w:val="1"/>
                <w:szCs w:val="1"/>
              </w:rPr>
            </w:pPr>
          </w:p>
        </w:tc>
        <w:tc>
          <w:tcPr>
            <w:tcW w:w="920" w:type="dxa"/>
            <w:tcBorders>
              <w:bottom w:val="single" w:sz="8" w:space="0" w:color="auto"/>
            </w:tcBorders>
            <w:vAlign w:val="bottom"/>
          </w:tcPr>
          <w:p>
            <w:pPr>
              <w:spacing w:after="0" w:line="20" w:lineRule="exact"/>
              <w:rPr>
                <w:color w:val="auto"/>
                <w:sz w:val="1"/>
                <w:szCs w:val="1"/>
              </w:rPr>
            </w:pPr>
          </w:p>
        </w:tc>
      </w:tr>
      <w:tr>
        <w:tblPrEx>
          <w:tblInd w:w="0" w:type="dxa"/>
          <w:tblLayout w:type="fixed"/>
        </w:tblPrEx>
        <w:trPr>
          <w:trHeight w:val="604"/>
        </w:trPr>
        <w:tc>
          <w:tcPr>
            <w:tcW w:w="5220" w:type="dxa"/>
            <w:vAlign w:val="bottom"/>
          </w:tcPr>
          <w:p>
            <w:pPr>
              <w:spacing w:after="0"/>
              <w:rPr>
                <w:color w:val="auto"/>
                <w:sz w:val="24"/>
                <w:szCs w:val="24"/>
              </w:rPr>
            </w:pPr>
          </w:p>
        </w:tc>
        <w:tc>
          <w:tcPr>
            <w:tcW w:w="3880" w:type="dxa"/>
            <w:vAlign w:val="bottom"/>
          </w:tcPr>
          <w:p>
            <w:pPr>
              <w:spacing w:after="0"/>
              <w:rPr>
                <w:color w:val="auto"/>
                <w:sz w:val="24"/>
                <w:szCs w:val="24"/>
              </w:rPr>
            </w:pPr>
          </w:p>
        </w:tc>
        <w:tc>
          <w:tcPr>
            <w:tcW w:w="1280" w:type="dxa"/>
            <w:gridSpan w:val="2"/>
            <w:vAlign w:val="bottom"/>
          </w:tcPr>
          <w:p>
            <w:pPr>
              <w:spacing w:after="0"/>
              <w:ind w:right="140"/>
              <w:jc w:val="right"/>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920" w:type="dxa"/>
            <w:vAlign w:val="bottom"/>
          </w:tcPr>
          <w:p>
            <w:pPr>
              <w:spacing w:after="0"/>
              <w:jc w:val="right"/>
              <w:rPr>
                <w:color w:val="auto"/>
                <w:sz w:val="20"/>
                <w:szCs w:val="20"/>
              </w:rPr>
            </w:pPr>
            <w:r>
              <w:rPr>
                <w:rFonts w:ascii="Calibri" w:eastAsia="Calibri" w:hAnsi="Calibri" w:cs="Calibri"/>
                <w:b/>
                <w:bCs/>
                <w:i/>
                <w:iCs/>
                <w:color w:val="auto"/>
                <w:sz w:val="12"/>
                <w:szCs w:val="12"/>
              </w:rPr>
              <w:t>72</w:t>
            </w:r>
          </w:p>
        </w:tc>
      </w:tr>
      <w:tr>
        <w:tblPrEx>
          <w:tblInd w:w="0" w:type="dxa"/>
          <w:tblLayout w:type="fixed"/>
        </w:tblPrEx>
        <w:trPr>
          <w:trHeight w:val="143"/>
        </w:trPr>
        <w:tc>
          <w:tcPr>
            <w:tcW w:w="5220" w:type="dxa"/>
            <w:tcBorders>
              <w:bottom w:val="single" w:sz="8" w:space="0" w:color="9A9A9A"/>
            </w:tcBorders>
            <w:vAlign w:val="bottom"/>
          </w:tcPr>
          <w:p>
            <w:pPr>
              <w:spacing w:after="0"/>
              <w:rPr>
                <w:color w:val="auto"/>
                <w:sz w:val="12"/>
                <w:szCs w:val="12"/>
              </w:rPr>
            </w:pPr>
          </w:p>
        </w:tc>
        <w:tc>
          <w:tcPr>
            <w:tcW w:w="3880" w:type="dxa"/>
            <w:tcBorders>
              <w:bottom w:val="single" w:sz="8" w:space="0" w:color="9A9A9A"/>
            </w:tcBorders>
            <w:vAlign w:val="bottom"/>
          </w:tcPr>
          <w:p>
            <w:pPr>
              <w:spacing w:after="0"/>
              <w:rPr>
                <w:color w:val="auto"/>
                <w:sz w:val="12"/>
                <w:szCs w:val="12"/>
              </w:rPr>
            </w:pPr>
          </w:p>
        </w:tc>
        <w:tc>
          <w:tcPr>
            <w:tcW w:w="940" w:type="dxa"/>
            <w:tcBorders>
              <w:bottom w:val="single" w:sz="8" w:space="0" w:color="9A9A9A"/>
            </w:tcBorders>
            <w:vAlign w:val="bottom"/>
          </w:tcPr>
          <w:p>
            <w:pPr>
              <w:spacing w:after="0"/>
              <w:rPr>
                <w:color w:val="auto"/>
                <w:sz w:val="12"/>
                <w:szCs w:val="12"/>
              </w:rPr>
            </w:pPr>
          </w:p>
        </w:tc>
        <w:tc>
          <w:tcPr>
            <w:tcW w:w="340" w:type="dxa"/>
            <w:tcBorders>
              <w:bottom w:val="single" w:sz="8" w:space="0" w:color="9A9A9A"/>
            </w:tcBorders>
            <w:vAlign w:val="bottom"/>
          </w:tcPr>
          <w:p>
            <w:pPr>
              <w:spacing w:after="0"/>
              <w:rPr>
                <w:color w:val="auto"/>
                <w:sz w:val="12"/>
                <w:szCs w:val="12"/>
              </w:rPr>
            </w:pPr>
          </w:p>
        </w:tc>
        <w:tc>
          <w:tcPr>
            <w:tcW w:w="92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842560" behindDoc="1" locked="0" layoutInCell="0" allowOverlap="1">
            <wp:simplePos x="0" y="0"/>
            <wp:positionH relativeFrom="column">
              <wp:posOffset>7154545</wp:posOffset>
            </wp:positionH>
            <wp:positionV relativeFrom="paragraph">
              <wp:posOffset>-23495</wp:posOffset>
            </wp:positionV>
            <wp:extent cx="31115" cy="3683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43584" behindDoc="1" locked="0" layoutInCell="0" allowOverlap="1">
            <wp:simplePos x="0" y="0"/>
            <wp:positionH relativeFrom="column">
              <wp:posOffset>-17145</wp:posOffset>
            </wp:positionH>
            <wp:positionV relativeFrom="paragraph">
              <wp:posOffset>-23495</wp:posOffset>
            </wp:positionV>
            <wp:extent cx="31115" cy="3683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44608" behindDoc="1" locked="0" layoutInCell="0" allowOverlap="1">
            <wp:simplePos x="0" y="0"/>
            <wp:positionH relativeFrom="column">
              <wp:posOffset>6475730</wp:posOffset>
            </wp:positionH>
            <wp:positionV relativeFrom="paragraph">
              <wp:posOffset>-216535</wp:posOffset>
            </wp:positionV>
            <wp:extent cx="400050" cy="7429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74" w:name="page75"/>
    <w:bookmarkEnd w:id="74"/>
    <w:p>
      <w:pPr>
        <w:spacing w:after="0"/>
        <w:rPr>
          <w:color w:val="auto"/>
          <w:sz w:val="20"/>
          <w:szCs w:val="20"/>
        </w:rPr>
      </w:pPr>
      <w:r>
        <w:rPr>
          <w:rFonts w:ascii="Calibri" w:eastAsia="Calibri" w:hAnsi="Calibri" w:cs="Calibri"/>
          <w:b/>
          <w:bCs/>
          <w:color w:val="444867"/>
          <w:sz w:val="14"/>
          <w:szCs w:val="14"/>
        </w:rPr>
        <w:t>Note 9 Leases</w:t>
      </w:r>
    </w:p>
    <w:p>
      <w:pPr>
        <w:spacing w:after="0" w:line="20" w:lineRule="exact"/>
        <w:rPr>
          <w:color w:val="auto"/>
          <w:sz w:val="20"/>
          <w:szCs w:val="20"/>
        </w:rPr>
      </w:pPr>
      <w:r>
        <w:rPr>
          <w:color w:val="auto"/>
          <w:sz w:val="20"/>
          <w:szCs w:val="20"/>
        </w:rPr>
        <w:drawing>
          <wp:anchor simplePos="0" relativeHeight="251845632" behindDoc="1" locked="0" layoutInCell="0" allowOverlap="1">
            <wp:simplePos x="0" y="0"/>
            <wp:positionH relativeFrom="column">
              <wp:posOffset>-4445</wp:posOffset>
            </wp:positionH>
            <wp:positionV relativeFrom="paragraph">
              <wp:posOffset>23495</wp:posOffset>
            </wp:positionV>
            <wp:extent cx="7178040" cy="5715"/>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7178040" cy="5715"/>
                    </a:xfrm>
                    <a:prstGeom prst="rect">
                      <a:avLst/>
                    </a:prstGeom>
                    <a:noFill/>
                  </pic:spPr>
                </pic:pic>
              </a:graphicData>
            </a:graphic>
          </wp:anchor>
        </w:drawing>
      </w:r>
    </w:p>
    <w:p>
      <w:pPr>
        <w:spacing w:after="0" w:line="196"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AbbVie's lease portolio primarily consists of real estate propertes, vehicles and equipment. The following table summarizes the amounts and locaton of operatng and fnance leases on the consolidated balance sheets:</w:t>
      </w:r>
    </w:p>
    <w:p>
      <w:pPr>
        <w:spacing w:after="0" w:line="106" w:lineRule="exact"/>
        <w:rPr>
          <w:color w:val="auto"/>
          <w:sz w:val="20"/>
          <w:szCs w:val="20"/>
        </w:rPr>
      </w:pPr>
    </w:p>
    <w:tbl>
      <w:tblPr>
        <w:tblInd w:w="0" w:type="dxa"/>
        <w:tblLayout w:type="fixed"/>
        <w:tblCellMar>
          <w:top w:w="0" w:type="dxa"/>
          <w:left w:w="0" w:type="dxa"/>
          <w:bottom w:w="0" w:type="dxa"/>
          <w:right w:w="0" w:type="dxa"/>
        </w:tblCellMar>
      </w:tblPr>
      <w:tblGrid>
        <w:gridCol w:w="1960"/>
        <w:gridCol w:w="4080"/>
        <w:gridCol w:w="940"/>
        <w:gridCol w:w="1160"/>
        <w:gridCol w:w="500"/>
        <w:gridCol w:w="1120"/>
        <w:gridCol w:w="420"/>
        <w:gridCol w:w="1120"/>
      </w:tblGrid>
      <w:tr>
        <w:tblPrEx>
          <w:tblInd w:w="0" w:type="dxa"/>
          <w:tblLayout w:type="fixed"/>
        </w:tblPrEx>
        <w:trPr>
          <w:trHeight w:val="122"/>
        </w:trPr>
        <w:tc>
          <w:tcPr>
            <w:tcW w:w="196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4080" w:type="dxa"/>
            <w:vAlign w:val="bottom"/>
          </w:tcPr>
          <w:p>
            <w:pPr>
              <w:spacing w:after="0"/>
              <w:ind w:left="440"/>
              <w:rPr>
                <w:color w:val="auto"/>
                <w:sz w:val="20"/>
                <w:szCs w:val="20"/>
              </w:rPr>
            </w:pPr>
            <w:r>
              <w:rPr>
                <w:rFonts w:ascii="Calibri" w:eastAsia="Calibri" w:hAnsi="Calibri" w:cs="Calibri"/>
                <w:b/>
                <w:bCs/>
                <w:color w:val="auto"/>
                <w:sz w:val="10"/>
                <w:szCs w:val="10"/>
              </w:rPr>
              <w:t>Balance sheet capton</w:t>
            </w:r>
          </w:p>
        </w:tc>
        <w:tc>
          <w:tcPr>
            <w:tcW w:w="940" w:type="dxa"/>
            <w:vAlign w:val="bottom"/>
          </w:tcPr>
          <w:p>
            <w:pPr>
              <w:spacing w:after="0"/>
              <w:rPr>
                <w:color w:val="auto"/>
                <w:sz w:val="10"/>
                <w:szCs w:val="10"/>
              </w:rPr>
            </w:pPr>
          </w:p>
        </w:tc>
        <w:tc>
          <w:tcPr>
            <w:tcW w:w="1160" w:type="dxa"/>
            <w:vAlign w:val="bottom"/>
          </w:tcPr>
          <w:p>
            <w:pPr>
              <w:spacing w:after="0"/>
              <w:rPr>
                <w:color w:val="auto"/>
                <w:sz w:val="10"/>
                <w:szCs w:val="10"/>
              </w:rPr>
            </w:pPr>
          </w:p>
        </w:tc>
        <w:tc>
          <w:tcPr>
            <w:tcW w:w="500" w:type="dxa"/>
            <w:vAlign w:val="bottom"/>
          </w:tcPr>
          <w:p>
            <w:pPr>
              <w:spacing w:after="0"/>
              <w:rPr>
                <w:color w:val="auto"/>
                <w:sz w:val="10"/>
                <w:szCs w:val="10"/>
              </w:rPr>
            </w:pPr>
          </w:p>
        </w:tc>
        <w:tc>
          <w:tcPr>
            <w:tcW w:w="1120" w:type="dxa"/>
            <w:vAlign w:val="bottom"/>
          </w:tcPr>
          <w:p>
            <w:pPr>
              <w:spacing w:after="0"/>
              <w:ind w:right="562"/>
              <w:jc w:val="right"/>
              <w:rPr>
                <w:color w:val="auto"/>
                <w:sz w:val="20"/>
                <w:szCs w:val="20"/>
              </w:rPr>
            </w:pPr>
            <w:r>
              <w:rPr>
                <w:rFonts w:ascii="Calibri" w:eastAsia="Calibri" w:hAnsi="Calibri" w:cs="Calibri"/>
                <w:b/>
                <w:bCs/>
                <w:color w:val="auto"/>
                <w:sz w:val="10"/>
                <w:szCs w:val="10"/>
              </w:rPr>
              <w:t>2024</w:t>
            </w:r>
          </w:p>
        </w:tc>
        <w:tc>
          <w:tcPr>
            <w:tcW w:w="420" w:type="dxa"/>
            <w:vAlign w:val="bottom"/>
          </w:tcPr>
          <w:p>
            <w:pPr>
              <w:spacing w:after="0"/>
              <w:rPr>
                <w:color w:val="auto"/>
                <w:sz w:val="10"/>
                <w:szCs w:val="10"/>
              </w:rPr>
            </w:pPr>
          </w:p>
        </w:tc>
        <w:tc>
          <w:tcPr>
            <w:tcW w:w="1120" w:type="dxa"/>
            <w:vAlign w:val="bottom"/>
          </w:tcPr>
          <w:p>
            <w:pPr>
              <w:spacing w:after="0"/>
              <w:ind w:right="562"/>
              <w:jc w:val="right"/>
              <w:rPr>
                <w:color w:val="auto"/>
                <w:sz w:val="20"/>
                <w:szCs w:val="20"/>
              </w:rPr>
            </w:pPr>
            <w:r>
              <w:rPr>
                <w:rFonts w:ascii="Calibri" w:eastAsia="Calibri" w:hAnsi="Calibri" w:cs="Calibri"/>
                <w:b/>
                <w:bCs/>
                <w:color w:val="auto"/>
                <w:sz w:val="10"/>
                <w:szCs w:val="10"/>
              </w:rPr>
              <w:t>2023</w:t>
            </w:r>
          </w:p>
        </w:tc>
      </w:tr>
      <w:tr>
        <w:tblPrEx>
          <w:tblInd w:w="0" w:type="dxa"/>
          <w:tblLayout w:type="fixed"/>
        </w:tblPrEx>
        <w:trPr>
          <w:trHeight w:val="32"/>
        </w:trPr>
        <w:tc>
          <w:tcPr>
            <w:tcW w:w="1960" w:type="dxa"/>
            <w:tcBorders>
              <w:bottom w:val="single" w:sz="8" w:space="0" w:color="auto"/>
            </w:tcBorders>
            <w:vAlign w:val="bottom"/>
          </w:tcPr>
          <w:p>
            <w:pPr>
              <w:spacing w:after="0"/>
              <w:rPr>
                <w:color w:val="auto"/>
                <w:sz w:val="2"/>
                <w:szCs w:val="2"/>
              </w:rPr>
            </w:pPr>
          </w:p>
        </w:tc>
        <w:tc>
          <w:tcPr>
            <w:tcW w:w="408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5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1960" w:type="dxa"/>
            <w:vAlign w:val="bottom"/>
          </w:tcPr>
          <w:p>
            <w:pPr>
              <w:spacing w:after="0" w:line="137" w:lineRule="exact"/>
              <w:rPr>
                <w:color w:val="auto"/>
                <w:sz w:val="20"/>
                <w:szCs w:val="20"/>
              </w:rPr>
            </w:pPr>
            <w:r>
              <w:rPr>
                <w:rFonts w:ascii="Calibri" w:eastAsia="Calibri" w:hAnsi="Calibri" w:cs="Calibri"/>
                <w:b/>
                <w:bCs/>
                <w:color w:val="auto"/>
                <w:sz w:val="12"/>
                <w:szCs w:val="12"/>
              </w:rPr>
              <w:t>Assets</w:t>
            </w:r>
          </w:p>
        </w:tc>
        <w:tc>
          <w:tcPr>
            <w:tcW w:w="4080" w:type="dxa"/>
            <w:vAlign w:val="bottom"/>
          </w:tcPr>
          <w:p>
            <w:pPr>
              <w:spacing w:after="0"/>
              <w:rPr>
                <w:color w:val="auto"/>
                <w:sz w:val="11"/>
                <w:szCs w:val="11"/>
              </w:rPr>
            </w:pPr>
          </w:p>
        </w:tc>
        <w:tc>
          <w:tcPr>
            <w:tcW w:w="940" w:type="dxa"/>
            <w:vAlign w:val="bottom"/>
          </w:tcPr>
          <w:p>
            <w:pPr>
              <w:spacing w:after="0"/>
              <w:rPr>
                <w:color w:val="auto"/>
                <w:sz w:val="11"/>
                <w:szCs w:val="11"/>
              </w:rPr>
            </w:pPr>
          </w:p>
        </w:tc>
        <w:tc>
          <w:tcPr>
            <w:tcW w:w="1160" w:type="dxa"/>
            <w:vAlign w:val="bottom"/>
          </w:tcPr>
          <w:p>
            <w:pPr>
              <w:spacing w:after="0"/>
              <w:rPr>
                <w:color w:val="auto"/>
                <w:sz w:val="11"/>
                <w:szCs w:val="11"/>
              </w:rPr>
            </w:pPr>
          </w:p>
        </w:tc>
        <w:tc>
          <w:tcPr>
            <w:tcW w:w="50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20" w:type="dxa"/>
            <w:vAlign w:val="bottom"/>
          </w:tcPr>
          <w:p>
            <w:pPr>
              <w:spacing w:after="0"/>
              <w:rPr>
                <w:color w:val="auto"/>
                <w:sz w:val="11"/>
                <w:szCs w:val="11"/>
              </w:rPr>
            </w:pPr>
          </w:p>
        </w:tc>
        <w:tc>
          <w:tcPr>
            <w:tcW w:w="1120" w:type="dxa"/>
            <w:vAlign w:val="bottom"/>
          </w:tcPr>
          <w:p>
            <w:pPr>
              <w:spacing w:after="0"/>
              <w:rPr>
                <w:color w:val="auto"/>
                <w:sz w:val="11"/>
                <w:szCs w:val="11"/>
              </w:rPr>
            </w:pPr>
          </w:p>
        </w:tc>
      </w:tr>
      <w:tr>
        <w:tblPrEx>
          <w:tblInd w:w="0" w:type="dxa"/>
          <w:tblLayout w:type="fixed"/>
        </w:tblPrEx>
        <w:trPr>
          <w:trHeight w:val="159"/>
        </w:trPr>
        <w:tc>
          <w:tcPr>
            <w:tcW w:w="1960" w:type="dxa"/>
            <w:shd w:val="clear" w:color="auto" w:fill="CCEEFF"/>
            <w:vAlign w:val="bottom"/>
          </w:tcPr>
          <w:p>
            <w:pPr>
              <w:spacing w:after="0"/>
              <w:rPr>
                <w:color w:val="auto"/>
                <w:sz w:val="20"/>
                <w:szCs w:val="20"/>
              </w:rPr>
            </w:pPr>
            <w:r>
              <w:rPr>
                <w:rFonts w:ascii="Calibri" w:eastAsia="Calibri" w:hAnsi="Calibri" w:cs="Calibri"/>
                <w:color w:val="auto"/>
                <w:sz w:val="12"/>
                <w:szCs w:val="12"/>
              </w:rPr>
              <w:t>Operatng</w:t>
            </w:r>
          </w:p>
        </w:tc>
        <w:tc>
          <w:tcPr>
            <w:tcW w:w="4080" w:type="dxa"/>
            <w:shd w:val="clear" w:color="auto" w:fill="CCEEFF"/>
            <w:vAlign w:val="bottom"/>
          </w:tcPr>
          <w:p>
            <w:pPr>
              <w:spacing w:after="0"/>
              <w:ind w:left="540"/>
              <w:rPr>
                <w:color w:val="auto"/>
                <w:sz w:val="20"/>
                <w:szCs w:val="20"/>
              </w:rPr>
            </w:pPr>
            <w:r>
              <w:rPr>
                <w:rFonts w:ascii="Calibri" w:eastAsia="Calibri" w:hAnsi="Calibri" w:cs="Calibri"/>
                <w:color w:val="auto"/>
                <w:sz w:val="12"/>
                <w:szCs w:val="12"/>
              </w:rPr>
              <w:t>Other assets</w:t>
            </w:r>
          </w:p>
        </w:tc>
        <w:tc>
          <w:tcPr>
            <w:tcW w:w="9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rPr>
                <w:color w:val="auto"/>
                <w:sz w:val="13"/>
                <w:szCs w:val="13"/>
              </w:rPr>
            </w:pPr>
          </w:p>
        </w:tc>
        <w:tc>
          <w:tcPr>
            <w:tcW w:w="500" w:type="dxa"/>
            <w:shd w:val="clear" w:color="auto" w:fill="CCEEFF"/>
            <w:vAlign w:val="bottom"/>
          </w:tcPr>
          <w:p>
            <w:pPr>
              <w:spacing w:after="0"/>
              <w:ind w:right="18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723</w:t>
            </w:r>
          </w:p>
        </w:tc>
        <w:tc>
          <w:tcPr>
            <w:tcW w:w="42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744</w:t>
            </w:r>
          </w:p>
        </w:tc>
      </w:tr>
      <w:tr>
        <w:tblPrEx>
          <w:tblInd w:w="0" w:type="dxa"/>
          <w:tblLayout w:type="fixed"/>
        </w:tblPrEx>
        <w:trPr>
          <w:trHeight w:val="147"/>
        </w:trPr>
        <w:tc>
          <w:tcPr>
            <w:tcW w:w="19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Finance</w:t>
            </w:r>
          </w:p>
        </w:tc>
        <w:tc>
          <w:tcPr>
            <w:tcW w:w="4080" w:type="dxa"/>
            <w:tcBorders>
              <w:bottom w:val="single" w:sz="8" w:space="0" w:color="auto"/>
            </w:tcBorders>
            <w:vAlign w:val="bottom"/>
          </w:tcPr>
          <w:p>
            <w:pPr>
              <w:spacing w:after="0" w:line="142" w:lineRule="exact"/>
              <w:ind w:left="540"/>
              <w:rPr>
                <w:color w:val="auto"/>
                <w:sz w:val="20"/>
                <w:szCs w:val="20"/>
              </w:rPr>
            </w:pPr>
            <w:r>
              <w:rPr>
                <w:rFonts w:ascii="Calibri" w:eastAsia="Calibri" w:hAnsi="Calibri" w:cs="Calibri"/>
                <w:color w:val="auto"/>
                <w:sz w:val="12"/>
                <w:szCs w:val="12"/>
              </w:rPr>
              <w:t>Property and equipment, net</w:t>
            </w:r>
          </w:p>
        </w:tc>
        <w:tc>
          <w:tcPr>
            <w:tcW w:w="94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rPr>
                <w:color w:val="auto"/>
                <w:sz w:val="12"/>
                <w:szCs w:val="12"/>
              </w:rPr>
            </w:pPr>
          </w:p>
        </w:tc>
        <w:tc>
          <w:tcPr>
            <w:tcW w:w="5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33</w:t>
            </w:r>
          </w:p>
        </w:tc>
        <w:tc>
          <w:tcPr>
            <w:tcW w:w="42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35</w:t>
            </w:r>
          </w:p>
        </w:tc>
      </w:tr>
      <w:tr>
        <w:tblPrEx>
          <w:tblInd w:w="0" w:type="dxa"/>
          <w:tblLayout w:type="fixed"/>
        </w:tblPrEx>
        <w:trPr>
          <w:trHeight w:val="164"/>
        </w:trPr>
        <w:tc>
          <w:tcPr>
            <w:tcW w:w="19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lease assets</w:t>
            </w:r>
          </w:p>
        </w:tc>
        <w:tc>
          <w:tcPr>
            <w:tcW w:w="4080" w:type="dxa"/>
            <w:tcBorders>
              <w:bottom w:val="single" w:sz="8" w:space="0" w:color="auto"/>
            </w:tcBorders>
            <w:shd w:val="clear" w:color="auto" w:fill="CCEEFF"/>
            <w:vAlign w:val="bottom"/>
          </w:tcPr>
          <w:p>
            <w:pPr>
              <w:spacing w:after="0"/>
              <w:rPr>
                <w:color w:val="auto"/>
                <w:sz w:val="14"/>
                <w:szCs w:val="14"/>
              </w:rPr>
            </w:pPr>
          </w:p>
        </w:tc>
        <w:tc>
          <w:tcPr>
            <w:tcW w:w="940" w:type="dxa"/>
            <w:tcBorders>
              <w:bottom w:val="single" w:sz="8" w:space="0" w:color="auto"/>
            </w:tcBorders>
            <w:shd w:val="clear" w:color="auto" w:fill="CCEEFF"/>
            <w:vAlign w:val="bottom"/>
          </w:tcPr>
          <w:p>
            <w:pPr>
              <w:spacing w:after="0"/>
              <w:rPr>
                <w:color w:val="auto"/>
                <w:sz w:val="14"/>
                <w:szCs w:val="14"/>
              </w:rPr>
            </w:pPr>
          </w:p>
        </w:tc>
        <w:tc>
          <w:tcPr>
            <w:tcW w:w="1160" w:type="dxa"/>
            <w:tcBorders>
              <w:bottom w:val="single" w:sz="8" w:space="0" w:color="auto"/>
            </w:tcBorders>
            <w:shd w:val="clear" w:color="auto" w:fill="CCEEFF"/>
            <w:vAlign w:val="bottom"/>
          </w:tcPr>
          <w:p>
            <w:pPr>
              <w:spacing w:after="0"/>
              <w:rPr>
                <w:color w:val="auto"/>
                <w:sz w:val="14"/>
                <w:szCs w:val="14"/>
              </w:rPr>
            </w:pPr>
          </w:p>
        </w:tc>
        <w:tc>
          <w:tcPr>
            <w:tcW w:w="500" w:type="dxa"/>
            <w:tcBorders>
              <w:bottom w:val="single" w:sz="8" w:space="0" w:color="auto"/>
            </w:tcBorders>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756</w:t>
            </w:r>
          </w:p>
        </w:tc>
        <w:tc>
          <w:tcPr>
            <w:tcW w:w="42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779</w:t>
            </w:r>
          </w:p>
        </w:tc>
      </w:tr>
      <w:tr>
        <w:tblPrEx>
          <w:tblInd w:w="0" w:type="dxa"/>
          <w:tblLayout w:type="fixed"/>
        </w:tblPrEx>
        <w:trPr>
          <w:trHeight w:val="147"/>
        </w:trPr>
        <w:tc>
          <w:tcPr>
            <w:tcW w:w="1960" w:type="dxa"/>
            <w:vAlign w:val="bottom"/>
          </w:tcPr>
          <w:p>
            <w:pPr>
              <w:spacing w:after="0" w:line="142" w:lineRule="exact"/>
              <w:rPr>
                <w:color w:val="auto"/>
                <w:sz w:val="20"/>
                <w:szCs w:val="20"/>
              </w:rPr>
            </w:pPr>
            <w:r>
              <w:rPr>
                <w:rFonts w:ascii="Calibri" w:eastAsia="Calibri" w:hAnsi="Calibri" w:cs="Calibri"/>
                <w:b/>
                <w:bCs/>
                <w:color w:val="auto"/>
                <w:sz w:val="12"/>
                <w:szCs w:val="12"/>
              </w:rPr>
              <w:t>Liabilites</w:t>
            </w:r>
          </w:p>
        </w:tc>
        <w:tc>
          <w:tcPr>
            <w:tcW w:w="4080" w:type="dxa"/>
            <w:vAlign w:val="bottom"/>
          </w:tcPr>
          <w:p>
            <w:pPr>
              <w:spacing w:after="0"/>
              <w:rPr>
                <w:color w:val="auto"/>
                <w:sz w:val="12"/>
                <w:szCs w:val="12"/>
              </w:rPr>
            </w:pPr>
          </w:p>
        </w:tc>
        <w:tc>
          <w:tcPr>
            <w:tcW w:w="940" w:type="dxa"/>
            <w:vAlign w:val="bottom"/>
          </w:tcPr>
          <w:p>
            <w:pPr>
              <w:spacing w:after="0"/>
              <w:rPr>
                <w:color w:val="auto"/>
                <w:sz w:val="12"/>
                <w:szCs w:val="12"/>
              </w:rPr>
            </w:pPr>
          </w:p>
        </w:tc>
        <w:tc>
          <w:tcPr>
            <w:tcW w:w="1160" w:type="dxa"/>
            <w:vAlign w:val="bottom"/>
          </w:tcPr>
          <w:p>
            <w:pPr>
              <w:spacing w:after="0"/>
              <w:rPr>
                <w:color w:val="auto"/>
                <w:sz w:val="12"/>
                <w:szCs w:val="12"/>
              </w:rPr>
            </w:pPr>
          </w:p>
        </w:tc>
        <w:tc>
          <w:tcPr>
            <w:tcW w:w="50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20" w:type="dxa"/>
            <w:vAlign w:val="bottom"/>
          </w:tcPr>
          <w:p>
            <w:pPr>
              <w:spacing w:after="0"/>
              <w:rPr>
                <w:color w:val="auto"/>
                <w:sz w:val="12"/>
                <w:szCs w:val="12"/>
              </w:rPr>
            </w:pPr>
          </w:p>
        </w:tc>
        <w:tc>
          <w:tcPr>
            <w:tcW w:w="1120" w:type="dxa"/>
            <w:vAlign w:val="bottom"/>
          </w:tcPr>
          <w:p>
            <w:pPr>
              <w:spacing w:after="0"/>
              <w:rPr>
                <w:color w:val="auto"/>
                <w:sz w:val="12"/>
                <w:szCs w:val="12"/>
              </w:rPr>
            </w:pPr>
          </w:p>
        </w:tc>
      </w:tr>
      <w:tr>
        <w:tblPrEx>
          <w:tblInd w:w="0" w:type="dxa"/>
          <w:tblLayout w:type="fixed"/>
        </w:tblPrEx>
        <w:trPr>
          <w:trHeight w:val="159"/>
        </w:trPr>
        <w:tc>
          <w:tcPr>
            <w:tcW w:w="1960" w:type="dxa"/>
            <w:shd w:val="clear" w:color="auto" w:fill="CCEEFF"/>
            <w:vAlign w:val="bottom"/>
          </w:tcPr>
          <w:p>
            <w:pPr>
              <w:spacing w:after="0"/>
              <w:rPr>
                <w:color w:val="auto"/>
                <w:sz w:val="20"/>
                <w:szCs w:val="20"/>
              </w:rPr>
            </w:pPr>
            <w:r>
              <w:rPr>
                <w:rFonts w:ascii="Calibri" w:eastAsia="Calibri" w:hAnsi="Calibri" w:cs="Calibri"/>
                <w:color w:val="auto"/>
                <w:sz w:val="12"/>
                <w:szCs w:val="12"/>
              </w:rPr>
              <w:t>Operatng</w:t>
            </w:r>
          </w:p>
        </w:tc>
        <w:tc>
          <w:tcPr>
            <w:tcW w:w="4080" w:type="dxa"/>
            <w:shd w:val="clear" w:color="auto" w:fill="CCEEFF"/>
            <w:vAlign w:val="bottom"/>
          </w:tcPr>
          <w:p>
            <w:pPr>
              <w:spacing w:after="0"/>
              <w:rPr>
                <w:color w:val="auto"/>
                <w:sz w:val="13"/>
                <w:szCs w:val="13"/>
              </w:rPr>
            </w:pPr>
          </w:p>
        </w:tc>
        <w:tc>
          <w:tcPr>
            <w:tcW w:w="9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rPr>
                <w:color w:val="auto"/>
                <w:sz w:val="13"/>
                <w:szCs w:val="13"/>
              </w:rPr>
            </w:pPr>
          </w:p>
        </w:tc>
        <w:tc>
          <w:tcPr>
            <w:tcW w:w="5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2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r>
      <w:tr>
        <w:tblPrEx>
          <w:tblInd w:w="0" w:type="dxa"/>
          <w:tblLayout w:type="fixed"/>
        </w:tblPrEx>
        <w:trPr>
          <w:trHeight w:val="147"/>
        </w:trPr>
        <w:tc>
          <w:tcPr>
            <w:tcW w:w="1960" w:type="dxa"/>
            <w:vAlign w:val="bottom"/>
          </w:tcPr>
          <w:p>
            <w:pPr>
              <w:spacing w:after="0" w:line="142" w:lineRule="exact"/>
              <w:ind w:left="140"/>
              <w:rPr>
                <w:color w:val="auto"/>
                <w:sz w:val="20"/>
                <w:szCs w:val="20"/>
              </w:rPr>
            </w:pPr>
            <w:r>
              <w:rPr>
                <w:rFonts w:ascii="Calibri" w:eastAsia="Calibri" w:hAnsi="Calibri" w:cs="Calibri"/>
                <w:color w:val="auto"/>
                <w:sz w:val="12"/>
                <w:szCs w:val="12"/>
              </w:rPr>
              <w:t>Current</w:t>
            </w:r>
          </w:p>
        </w:tc>
        <w:tc>
          <w:tcPr>
            <w:tcW w:w="4080" w:type="dxa"/>
            <w:vAlign w:val="bottom"/>
          </w:tcPr>
          <w:p>
            <w:pPr>
              <w:spacing w:after="0" w:line="142" w:lineRule="exact"/>
              <w:ind w:left="520"/>
              <w:rPr>
                <w:color w:val="auto"/>
                <w:sz w:val="20"/>
                <w:szCs w:val="20"/>
              </w:rPr>
            </w:pPr>
            <w:r>
              <w:rPr>
                <w:rFonts w:ascii="Calibri" w:eastAsia="Calibri" w:hAnsi="Calibri" w:cs="Calibri"/>
                <w:color w:val="auto"/>
                <w:sz w:val="12"/>
                <w:szCs w:val="12"/>
              </w:rPr>
              <w:t>Accounts payable and accrued liabilites</w:t>
            </w:r>
          </w:p>
        </w:tc>
        <w:tc>
          <w:tcPr>
            <w:tcW w:w="940" w:type="dxa"/>
            <w:vAlign w:val="bottom"/>
          </w:tcPr>
          <w:p>
            <w:pPr>
              <w:spacing w:after="0"/>
              <w:rPr>
                <w:color w:val="auto"/>
                <w:sz w:val="12"/>
                <w:szCs w:val="12"/>
              </w:rPr>
            </w:pPr>
          </w:p>
        </w:tc>
        <w:tc>
          <w:tcPr>
            <w:tcW w:w="1160" w:type="dxa"/>
            <w:vAlign w:val="bottom"/>
          </w:tcPr>
          <w:p>
            <w:pPr>
              <w:spacing w:after="0"/>
              <w:rPr>
                <w:color w:val="auto"/>
                <w:sz w:val="12"/>
                <w:szCs w:val="12"/>
              </w:rPr>
            </w:pPr>
          </w:p>
        </w:tc>
        <w:tc>
          <w:tcPr>
            <w:tcW w:w="500" w:type="dxa"/>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20" w:type="dxa"/>
            <w:vAlign w:val="bottom"/>
          </w:tcPr>
          <w:p>
            <w:pPr>
              <w:spacing w:after="0" w:line="142" w:lineRule="exact"/>
              <w:jc w:val="right"/>
              <w:rPr>
                <w:color w:val="auto"/>
                <w:sz w:val="20"/>
                <w:szCs w:val="20"/>
              </w:rPr>
            </w:pPr>
            <w:r>
              <w:rPr>
                <w:rFonts w:ascii="Calibri" w:eastAsia="Calibri" w:hAnsi="Calibri" w:cs="Calibri"/>
                <w:color w:val="auto"/>
                <w:sz w:val="12"/>
                <w:szCs w:val="12"/>
              </w:rPr>
              <w:t>178</w:t>
            </w:r>
          </w:p>
        </w:tc>
        <w:tc>
          <w:tcPr>
            <w:tcW w:w="420" w:type="dxa"/>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2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166</w:t>
            </w:r>
          </w:p>
        </w:tc>
      </w:tr>
      <w:tr>
        <w:tblPrEx>
          <w:tblInd w:w="0" w:type="dxa"/>
          <w:tblLayout w:type="fixed"/>
        </w:tblPrEx>
        <w:trPr>
          <w:trHeight w:val="159"/>
        </w:trPr>
        <w:tc>
          <w:tcPr>
            <w:tcW w:w="1960" w:type="dxa"/>
            <w:shd w:val="clear" w:color="auto" w:fill="CCEEFF"/>
            <w:vAlign w:val="bottom"/>
          </w:tcPr>
          <w:p>
            <w:pPr>
              <w:spacing w:after="0"/>
              <w:ind w:left="140"/>
              <w:rPr>
                <w:color w:val="auto"/>
                <w:sz w:val="20"/>
                <w:szCs w:val="20"/>
              </w:rPr>
            </w:pPr>
            <w:r>
              <w:rPr>
                <w:rFonts w:ascii="Calibri" w:eastAsia="Calibri" w:hAnsi="Calibri" w:cs="Calibri"/>
                <w:color w:val="auto"/>
                <w:sz w:val="12"/>
                <w:szCs w:val="12"/>
              </w:rPr>
              <w:t>Noncurrent</w:t>
            </w:r>
          </w:p>
        </w:tc>
        <w:tc>
          <w:tcPr>
            <w:tcW w:w="4080" w:type="dxa"/>
            <w:shd w:val="clear" w:color="auto" w:fill="CCEEFF"/>
            <w:vAlign w:val="bottom"/>
          </w:tcPr>
          <w:p>
            <w:pPr>
              <w:spacing w:after="0"/>
              <w:ind w:left="520"/>
              <w:rPr>
                <w:color w:val="auto"/>
                <w:sz w:val="20"/>
                <w:szCs w:val="20"/>
              </w:rPr>
            </w:pPr>
            <w:r>
              <w:rPr>
                <w:rFonts w:ascii="Calibri" w:eastAsia="Calibri" w:hAnsi="Calibri" w:cs="Calibri"/>
                <w:color w:val="auto"/>
                <w:sz w:val="12"/>
                <w:szCs w:val="12"/>
              </w:rPr>
              <w:t>Other long-term liabilites</w:t>
            </w:r>
          </w:p>
        </w:tc>
        <w:tc>
          <w:tcPr>
            <w:tcW w:w="9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rPr>
                <w:color w:val="auto"/>
                <w:sz w:val="13"/>
                <w:szCs w:val="13"/>
              </w:rPr>
            </w:pPr>
          </w:p>
        </w:tc>
        <w:tc>
          <w:tcPr>
            <w:tcW w:w="5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697</w:t>
            </w:r>
          </w:p>
        </w:tc>
        <w:tc>
          <w:tcPr>
            <w:tcW w:w="42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735</w:t>
            </w:r>
          </w:p>
        </w:tc>
      </w:tr>
      <w:tr>
        <w:tblPrEx>
          <w:tblInd w:w="0" w:type="dxa"/>
          <w:tblLayout w:type="fixed"/>
        </w:tblPrEx>
        <w:trPr>
          <w:trHeight w:val="147"/>
        </w:trPr>
        <w:tc>
          <w:tcPr>
            <w:tcW w:w="1960" w:type="dxa"/>
            <w:vAlign w:val="bottom"/>
          </w:tcPr>
          <w:p>
            <w:pPr>
              <w:spacing w:after="0" w:line="142" w:lineRule="exact"/>
              <w:rPr>
                <w:color w:val="auto"/>
                <w:sz w:val="20"/>
                <w:szCs w:val="20"/>
              </w:rPr>
            </w:pPr>
            <w:r>
              <w:rPr>
                <w:rFonts w:ascii="Calibri" w:eastAsia="Calibri" w:hAnsi="Calibri" w:cs="Calibri"/>
                <w:color w:val="auto"/>
                <w:sz w:val="12"/>
                <w:szCs w:val="12"/>
              </w:rPr>
              <w:t>Finance</w:t>
            </w:r>
          </w:p>
        </w:tc>
        <w:tc>
          <w:tcPr>
            <w:tcW w:w="4080" w:type="dxa"/>
            <w:vAlign w:val="bottom"/>
          </w:tcPr>
          <w:p>
            <w:pPr>
              <w:spacing w:after="0"/>
              <w:rPr>
                <w:color w:val="auto"/>
                <w:sz w:val="12"/>
                <w:szCs w:val="12"/>
              </w:rPr>
            </w:pPr>
          </w:p>
        </w:tc>
        <w:tc>
          <w:tcPr>
            <w:tcW w:w="940" w:type="dxa"/>
            <w:vAlign w:val="bottom"/>
          </w:tcPr>
          <w:p>
            <w:pPr>
              <w:spacing w:after="0"/>
              <w:rPr>
                <w:color w:val="auto"/>
                <w:sz w:val="12"/>
                <w:szCs w:val="12"/>
              </w:rPr>
            </w:pPr>
          </w:p>
        </w:tc>
        <w:tc>
          <w:tcPr>
            <w:tcW w:w="1160" w:type="dxa"/>
            <w:vAlign w:val="bottom"/>
          </w:tcPr>
          <w:p>
            <w:pPr>
              <w:spacing w:after="0"/>
              <w:rPr>
                <w:color w:val="auto"/>
                <w:sz w:val="12"/>
                <w:szCs w:val="12"/>
              </w:rPr>
            </w:pPr>
          </w:p>
        </w:tc>
        <w:tc>
          <w:tcPr>
            <w:tcW w:w="50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20" w:type="dxa"/>
            <w:vAlign w:val="bottom"/>
          </w:tcPr>
          <w:p>
            <w:pPr>
              <w:spacing w:after="0"/>
              <w:rPr>
                <w:color w:val="auto"/>
                <w:sz w:val="12"/>
                <w:szCs w:val="12"/>
              </w:rPr>
            </w:pPr>
          </w:p>
        </w:tc>
        <w:tc>
          <w:tcPr>
            <w:tcW w:w="1120" w:type="dxa"/>
            <w:vAlign w:val="bottom"/>
          </w:tcPr>
          <w:p>
            <w:pPr>
              <w:spacing w:after="0"/>
              <w:rPr>
                <w:color w:val="auto"/>
                <w:sz w:val="12"/>
                <w:szCs w:val="12"/>
              </w:rPr>
            </w:pPr>
          </w:p>
        </w:tc>
      </w:tr>
      <w:tr>
        <w:tblPrEx>
          <w:tblInd w:w="0" w:type="dxa"/>
          <w:tblLayout w:type="fixed"/>
        </w:tblPrEx>
        <w:trPr>
          <w:trHeight w:val="159"/>
        </w:trPr>
        <w:tc>
          <w:tcPr>
            <w:tcW w:w="1960" w:type="dxa"/>
            <w:shd w:val="clear" w:color="auto" w:fill="CCEEFF"/>
            <w:vAlign w:val="bottom"/>
          </w:tcPr>
          <w:p>
            <w:pPr>
              <w:spacing w:after="0"/>
              <w:ind w:left="140"/>
              <w:rPr>
                <w:color w:val="auto"/>
                <w:sz w:val="20"/>
                <w:szCs w:val="20"/>
              </w:rPr>
            </w:pPr>
            <w:r>
              <w:rPr>
                <w:rFonts w:ascii="Calibri" w:eastAsia="Calibri" w:hAnsi="Calibri" w:cs="Calibri"/>
                <w:color w:val="auto"/>
                <w:sz w:val="12"/>
                <w:szCs w:val="12"/>
              </w:rPr>
              <w:t>Current</w:t>
            </w:r>
          </w:p>
        </w:tc>
        <w:tc>
          <w:tcPr>
            <w:tcW w:w="4080" w:type="dxa"/>
            <w:shd w:val="clear" w:color="auto" w:fill="CCEEFF"/>
            <w:vAlign w:val="bottom"/>
          </w:tcPr>
          <w:p>
            <w:pPr>
              <w:spacing w:after="0"/>
              <w:ind w:left="520"/>
              <w:rPr>
                <w:color w:val="auto"/>
                <w:sz w:val="20"/>
                <w:szCs w:val="20"/>
              </w:rPr>
            </w:pPr>
            <w:r>
              <w:rPr>
                <w:rFonts w:ascii="Calibri" w:eastAsia="Calibri" w:hAnsi="Calibri" w:cs="Calibri"/>
                <w:color w:val="auto"/>
                <w:sz w:val="12"/>
                <w:szCs w:val="12"/>
              </w:rPr>
              <w:t>Current porton of long-term debt and fnance lease obligatons</w:t>
            </w:r>
          </w:p>
        </w:tc>
        <w:tc>
          <w:tcPr>
            <w:tcW w:w="94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rPr>
                <w:color w:val="auto"/>
                <w:sz w:val="13"/>
                <w:szCs w:val="13"/>
              </w:rPr>
            </w:pPr>
          </w:p>
        </w:tc>
        <w:tc>
          <w:tcPr>
            <w:tcW w:w="5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17</w:t>
            </w:r>
          </w:p>
        </w:tc>
        <w:tc>
          <w:tcPr>
            <w:tcW w:w="42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15</w:t>
            </w:r>
          </w:p>
        </w:tc>
      </w:tr>
      <w:tr>
        <w:tblPrEx>
          <w:tblInd w:w="0" w:type="dxa"/>
          <w:tblLayout w:type="fixed"/>
        </w:tblPrEx>
        <w:trPr>
          <w:trHeight w:val="147"/>
        </w:trPr>
        <w:tc>
          <w:tcPr>
            <w:tcW w:w="1960" w:type="dxa"/>
            <w:tcBorders>
              <w:bottom w:val="single" w:sz="8" w:space="0" w:color="auto"/>
            </w:tcBorders>
            <w:vAlign w:val="bottom"/>
          </w:tcPr>
          <w:p>
            <w:pPr>
              <w:spacing w:after="0" w:line="142" w:lineRule="exact"/>
              <w:ind w:left="140"/>
              <w:rPr>
                <w:color w:val="auto"/>
                <w:sz w:val="20"/>
                <w:szCs w:val="20"/>
              </w:rPr>
            </w:pPr>
            <w:r>
              <w:rPr>
                <w:rFonts w:ascii="Calibri" w:eastAsia="Calibri" w:hAnsi="Calibri" w:cs="Calibri"/>
                <w:color w:val="auto"/>
                <w:sz w:val="12"/>
                <w:szCs w:val="12"/>
              </w:rPr>
              <w:t>Noncurrent</w:t>
            </w:r>
          </w:p>
        </w:tc>
        <w:tc>
          <w:tcPr>
            <w:tcW w:w="4080" w:type="dxa"/>
            <w:tcBorders>
              <w:bottom w:val="single" w:sz="8" w:space="0" w:color="auto"/>
            </w:tcBorders>
            <w:vAlign w:val="bottom"/>
          </w:tcPr>
          <w:p>
            <w:pPr>
              <w:spacing w:after="0" w:line="142" w:lineRule="exact"/>
              <w:ind w:left="520"/>
              <w:rPr>
                <w:color w:val="auto"/>
                <w:sz w:val="20"/>
                <w:szCs w:val="20"/>
              </w:rPr>
            </w:pPr>
            <w:r>
              <w:rPr>
                <w:rFonts w:ascii="Calibri" w:eastAsia="Calibri" w:hAnsi="Calibri" w:cs="Calibri"/>
                <w:color w:val="auto"/>
                <w:sz w:val="12"/>
                <w:szCs w:val="12"/>
              </w:rPr>
              <w:t>Long-term debt and fnance lease obligatons</w:t>
            </w:r>
          </w:p>
        </w:tc>
        <w:tc>
          <w:tcPr>
            <w:tcW w:w="94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rPr>
                <w:color w:val="auto"/>
                <w:sz w:val="12"/>
                <w:szCs w:val="12"/>
              </w:rPr>
            </w:pPr>
          </w:p>
        </w:tc>
        <w:tc>
          <w:tcPr>
            <w:tcW w:w="5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23</w:t>
            </w:r>
          </w:p>
        </w:tc>
        <w:tc>
          <w:tcPr>
            <w:tcW w:w="42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27</w:t>
            </w:r>
          </w:p>
        </w:tc>
      </w:tr>
      <w:tr>
        <w:tblPrEx>
          <w:tblInd w:w="0" w:type="dxa"/>
          <w:tblLayout w:type="fixed"/>
        </w:tblPrEx>
        <w:trPr>
          <w:trHeight w:val="164"/>
        </w:trPr>
        <w:tc>
          <w:tcPr>
            <w:tcW w:w="19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lease liabilites</w:t>
            </w:r>
          </w:p>
        </w:tc>
        <w:tc>
          <w:tcPr>
            <w:tcW w:w="4080" w:type="dxa"/>
            <w:tcBorders>
              <w:bottom w:val="single" w:sz="8" w:space="0" w:color="auto"/>
            </w:tcBorders>
            <w:shd w:val="clear" w:color="auto" w:fill="CCEEFF"/>
            <w:vAlign w:val="bottom"/>
          </w:tcPr>
          <w:p>
            <w:pPr>
              <w:spacing w:after="0"/>
              <w:rPr>
                <w:color w:val="auto"/>
                <w:sz w:val="14"/>
                <w:szCs w:val="14"/>
              </w:rPr>
            </w:pPr>
          </w:p>
        </w:tc>
        <w:tc>
          <w:tcPr>
            <w:tcW w:w="940" w:type="dxa"/>
            <w:tcBorders>
              <w:bottom w:val="single" w:sz="8" w:space="0" w:color="auto"/>
            </w:tcBorders>
            <w:shd w:val="clear" w:color="auto" w:fill="CCEEFF"/>
            <w:vAlign w:val="bottom"/>
          </w:tcPr>
          <w:p>
            <w:pPr>
              <w:spacing w:after="0"/>
              <w:rPr>
                <w:color w:val="auto"/>
                <w:sz w:val="14"/>
                <w:szCs w:val="14"/>
              </w:rPr>
            </w:pPr>
          </w:p>
        </w:tc>
        <w:tc>
          <w:tcPr>
            <w:tcW w:w="1160" w:type="dxa"/>
            <w:tcBorders>
              <w:bottom w:val="single" w:sz="8" w:space="0" w:color="auto"/>
            </w:tcBorders>
            <w:shd w:val="clear" w:color="auto" w:fill="CCEEFF"/>
            <w:vAlign w:val="bottom"/>
          </w:tcPr>
          <w:p>
            <w:pPr>
              <w:spacing w:after="0"/>
              <w:rPr>
                <w:color w:val="auto"/>
                <w:sz w:val="14"/>
                <w:szCs w:val="14"/>
              </w:rPr>
            </w:pPr>
          </w:p>
        </w:tc>
        <w:tc>
          <w:tcPr>
            <w:tcW w:w="500" w:type="dxa"/>
            <w:tcBorders>
              <w:bottom w:val="single" w:sz="8" w:space="0" w:color="auto"/>
            </w:tcBorders>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915</w:t>
            </w:r>
          </w:p>
        </w:tc>
        <w:tc>
          <w:tcPr>
            <w:tcW w:w="42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943</w:t>
            </w:r>
          </w:p>
        </w:tc>
      </w:tr>
      <w:tr>
        <w:tblPrEx>
          <w:tblInd w:w="0" w:type="dxa"/>
          <w:tblLayout w:type="fixed"/>
        </w:tblPrEx>
        <w:trPr>
          <w:trHeight w:val="280"/>
        </w:trPr>
        <w:tc>
          <w:tcPr>
            <w:tcW w:w="6040" w:type="dxa"/>
            <w:gridSpan w:val="2"/>
            <w:vAlign w:val="bottom"/>
          </w:tcPr>
          <w:p>
            <w:pPr>
              <w:spacing w:after="0"/>
              <w:ind w:left="280"/>
              <w:rPr>
                <w:color w:val="auto"/>
                <w:sz w:val="20"/>
                <w:szCs w:val="20"/>
              </w:rPr>
            </w:pPr>
            <w:r>
              <w:rPr>
                <w:rFonts w:ascii="Calibri" w:eastAsia="Calibri" w:hAnsi="Calibri" w:cs="Calibri"/>
                <w:color w:val="auto"/>
                <w:sz w:val="12"/>
                <w:szCs w:val="12"/>
              </w:rPr>
              <w:t>The following table summarizes the lease costs recognized in the consolidated statements of earnings:</w:t>
            </w:r>
          </w:p>
        </w:tc>
        <w:tc>
          <w:tcPr>
            <w:tcW w:w="940" w:type="dxa"/>
            <w:vAlign w:val="bottom"/>
          </w:tcPr>
          <w:p>
            <w:pPr>
              <w:spacing w:after="0"/>
              <w:rPr>
                <w:color w:val="auto"/>
                <w:sz w:val="24"/>
                <w:szCs w:val="24"/>
              </w:rPr>
            </w:pPr>
          </w:p>
        </w:tc>
        <w:tc>
          <w:tcPr>
            <w:tcW w:w="1160" w:type="dxa"/>
            <w:vAlign w:val="bottom"/>
          </w:tcPr>
          <w:p>
            <w:pPr>
              <w:spacing w:after="0"/>
              <w:rPr>
                <w:color w:val="auto"/>
                <w:sz w:val="24"/>
                <w:szCs w:val="24"/>
              </w:rPr>
            </w:pPr>
          </w:p>
        </w:tc>
        <w:tc>
          <w:tcPr>
            <w:tcW w:w="500" w:type="dxa"/>
            <w:vAlign w:val="bottom"/>
          </w:tcPr>
          <w:p>
            <w:pPr>
              <w:spacing w:after="0"/>
              <w:rPr>
                <w:color w:val="auto"/>
                <w:sz w:val="24"/>
                <w:szCs w:val="24"/>
              </w:rPr>
            </w:pPr>
          </w:p>
        </w:tc>
        <w:tc>
          <w:tcPr>
            <w:tcW w:w="1120" w:type="dxa"/>
            <w:vAlign w:val="bottom"/>
          </w:tcPr>
          <w:p>
            <w:pPr>
              <w:spacing w:after="0"/>
              <w:rPr>
                <w:color w:val="auto"/>
                <w:sz w:val="24"/>
                <w:szCs w:val="24"/>
              </w:rPr>
            </w:pPr>
          </w:p>
        </w:tc>
        <w:tc>
          <w:tcPr>
            <w:tcW w:w="420" w:type="dxa"/>
            <w:vAlign w:val="bottom"/>
          </w:tcPr>
          <w:p>
            <w:pPr>
              <w:spacing w:after="0"/>
              <w:rPr>
                <w:color w:val="auto"/>
                <w:sz w:val="24"/>
                <w:szCs w:val="24"/>
              </w:rPr>
            </w:pPr>
          </w:p>
        </w:tc>
        <w:tc>
          <w:tcPr>
            <w:tcW w:w="1120" w:type="dxa"/>
            <w:vAlign w:val="bottom"/>
          </w:tcPr>
          <w:p>
            <w:pPr>
              <w:spacing w:after="0"/>
              <w:rPr>
                <w:color w:val="auto"/>
                <w:sz w:val="24"/>
                <w:szCs w:val="24"/>
              </w:rPr>
            </w:pPr>
          </w:p>
        </w:tc>
      </w:tr>
      <w:tr>
        <w:tblPrEx>
          <w:tblInd w:w="0" w:type="dxa"/>
          <w:tblLayout w:type="fixed"/>
        </w:tblPrEx>
        <w:trPr>
          <w:trHeight w:val="237"/>
        </w:trPr>
        <w:tc>
          <w:tcPr>
            <w:tcW w:w="196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4080" w:type="dxa"/>
            <w:vAlign w:val="bottom"/>
          </w:tcPr>
          <w:p>
            <w:pPr>
              <w:spacing w:after="0"/>
              <w:rPr>
                <w:color w:val="auto"/>
                <w:sz w:val="20"/>
                <w:szCs w:val="20"/>
              </w:rPr>
            </w:pPr>
          </w:p>
        </w:tc>
        <w:tc>
          <w:tcPr>
            <w:tcW w:w="940" w:type="dxa"/>
            <w:vAlign w:val="bottom"/>
          </w:tcPr>
          <w:p>
            <w:pPr>
              <w:spacing w:after="0"/>
              <w:rPr>
                <w:color w:val="auto"/>
                <w:sz w:val="20"/>
                <w:szCs w:val="20"/>
              </w:rPr>
            </w:pPr>
          </w:p>
        </w:tc>
        <w:tc>
          <w:tcPr>
            <w:tcW w:w="1160" w:type="dxa"/>
            <w:vAlign w:val="bottom"/>
          </w:tcPr>
          <w:p>
            <w:pPr>
              <w:spacing w:after="0"/>
              <w:ind w:right="622"/>
              <w:jc w:val="right"/>
              <w:rPr>
                <w:color w:val="auto"/>
                <w:sz w:val="20"/>
                <w:szCs w:val="20"/>
              </w:rPr>
            </w:pPr>
            <w:r>
              <w:rPr>
                <w:rFonts w:ascii="Calibri" w:eastAsia="Calibri" w:hAnsi="Calibri" w:cs="Calibri"/>
                <w:b/>
                <w:bCs/>
                <w:color w:val="auto"/>
                <w:sz w:val="10"/>
                <w:szCs w:val="10"/>
              </w:rPr>
              <w:t>2024</w:t>
            </w:r>
          </w:p>
        </w:tc>
        <w:tc>
          <w:tcPr>
            <w:tcW w:w="500" w:type="dxa"/>
            <w:vAlign w:val="bottom"/>
          </w:tcPr>
          <w:p>
            <w:pPr>
              <w:spacing w:after="0"/>
              <w:rPr>
                <w:color w:val="auto"/>
                <w:sz w:val="20"/>
                <w:szCs w:val="20"/>
              </w:rPr>
            </w:pPr>
          </w:p>
        </w:tc>
        <w:tc>
          <w:tcPr>
            <w:tcW w:w="1120" w:type="dxa"/>
            <w:vAlign w:val="bottom"/>
          </w:tcPr>
          <w:p>
            <w:pPr>
              <w:spacing w:after="0"/>
              <w:ind w:right="662"/>
              <w:jc w:val="right"/>
              <w:rPr>
                <w:color w:val="auto"/>
                <w:sz w:val="20"/>
                <w:szCs w:val="20"/>
              </w:rPr>
            </w:pPr>
            <w:r>
              <w:rPr>
                <w:rFonts w:ascii="Calibri" w:eastAsia="Calibri" w:hAnsi="Calibri" w:cs="Calibri"/>
                <w:b/>
                <w:bCs/>
                <w:color w:val="auto"/>
                <w:sz w:val="10"/>
                <w:szCs w:val="10"/>
              </w:rPr>
              <w:t>2023</w:t>
            </w:r>
          </w:p>
        </w:tc>
        <w:tc>
          <w:tcPr>
            <w:tcW w:w="420" w:type="dxa"/>
            <w:vAlign w:val="bottom"/>
          </w:tcPr>
          <w:p>
            <w:pPr>
              <w:spacing w:after="0"/>
              <w:rPr>
                <w:color w:val="auto"/>
                <w:sz w:val="20"/>
                <w:szCs w:val="20"/>
              </w:rPr>
            </w:pPr>
          </w:p>
        </w:tc>
        <w:tc>
          <w:tcPr>
            <w:tcW w:w="1120" w:type="dxa"/>
            <w:vAlign w:val="bottom"/>
          </w:tcPr>
          <w:p>
            <w:pPr>
              <w:spacing w:after="0"/>
              <w:ind w:right="602"/>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1960" w:type="dxa"/>
            <w:tcBorders>
              <w:bottom w:val="single" w:sz="8" w:space="0" w:color="auto"/>
            </w:tcBorders>
            <w:vAlign w:val="bottom"/>
          </w:tcPr>
          <w:p>
            <w:pPr>
              <w:spacing w:after="0"/>
              <w:rPr>
                <w:color w:val="auto"/>
                <w:sz w:val="2"/>
                <w:szCs w:val="2"/>
              </w:rPr>
            </w:pPr>
          </w:p>
        </w:tc>
        <w:tc>
          <w:tcPr>
            <w:tcW w:w="4080" w:type="dxa"/>
            <w:tcBorders>
              <w:bottom w:val="single" w:sz="8" w:space="0" w:color="auto"/>
            </w:tcBorders>
            <w:vAlign w:val="bottom"/>
          </w:tcPr>
          <w:p>
            <w:pPr>
              <w:spacing w:after="0"/>
              <w:rPr>
                <w:color w:val="auto"/>
                <w:sz w:val="2"/>
                <w:szCs w:val="2"/>
              </w:rPr>
            </w:pPr>
          </w:p>
        </w:tc>
        <w:tc>
          <w:tcPr>
            <w:tcW w:w="94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5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19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Operatng lease cost</w:t>
            </w:r>
          </w:p>
        </w:tc>
        <w:tc>
          <w:tcPr>
            <w:tcW w:w="4080" w:type="dxa"/>
            <w:shd w:val="clear" w:color="auto" w:fill="CCEEFF"/>
            <w:vAlign w:val="bottom"/>
          </w:tcPr>
          <w:p>
            <w:pPr>
              <w:spacing w:after="0"/>
              <w:rPr>
                <w:color w:val="auto"/>
                <w:sz w:val="12"/>
                <w:szCs w:val="12"/>
              </w:rPr>
            </w:pPr>
          </w:p>
        </w:tc>
        <w:tc>
          <w:tcPr>
            <w:tcW w:w="940" w:type="dxa"/>
            <w:shd w:val="clear" w:color="auto" w:fill="CCEEFF"/>
            <w:vAlign w:val="bottom"/>
          </w:tcPr>
          <w:p>
            <w:pPr>
              <w:spacing w:after="0" w:line="142" w:lineRule="exact"/>
              <w:ind w:right="24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196</w:t>
            </w:r>
          </w:p>
        </w:tc>
        <w:tc>
          <w:tcPr>
            <w:tcW w:w="500" w:type="dxa"/>
            <w:shd w:val="clear" w:color="auto" w:fill="CCEEFF"/>
            <w:vAlign w:val="bottom"/>
          </w:tcPr>
          <w:p>
            <w:pPr>
              <w:spacing w:after="0" w:line="142" w:lineRule="exact"/>
              <w:ind w:right="30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189</w:t>
            </w:r>
          </w:p>
        </w:tc>
        <w:tc>
          <w:tcPr>
            <w:tcW w:w="420" w:type="dxa"/>
            <w:shd w:val="clear" w:color="auto" w:fill="CCEEFF"/>
            <w:vAlign w:val="bottom"/>
          </w:tcPr>
          <w:p>
            <w:pPr>
              <w:spacing w:after="0" w:line="142" w:lineRule="exact"/>
              <w:ind w:right="26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201</w:t>
            </w:r>
          </w:p>
        </w:tc>
      </w:tr>
      <w:tr>
        <w:tblPrEx>
          <w:tblInd w:w="0" w:type="dxa"/>
          <w:tblLayout w:type="fixed"/>
        </w:tblPrEx>
        <w:trPr>
          <w:trHeight w:val="147"/>
        </w:trPr>
        <w:tc>
          <w:tcPr>
            <w:tcW w:w="1960" w:type="dxa"/>
            <w:vAlign w:val="bottom"/>
          </w:tcPr>
          <w:p>
            <w:pPr>
              <w:spacing w:after="0" w:line="142" w:lineRule="exact"/>
              <w:rPr>
                <w:color w:val="auto"/>
                <w:sz w:val="20"/>
                <w:szCs w:val="20"/>
              </w:rPr>
            </w:pPr>
            <w:r>
              <w:rPr>
                <w:rFonts w:ascii="Calibri" w:eastAsia="Calibri" w:hAnsi="Calibri" w:cs="Calibri"/>
                <w:color w:val="auto"/>
                <w:sz w:val="12"/>
                <w:szCs w:val="12"/>
              </w:rPr>
              <w:t>Short-term lease cost</w:t>
            </w:r>
          </w:p>
        </w:tc>
        <w:tc>
          <w:tcPr>
            <w:tcW w:w="4080" w:type="dxa"/>
            <w:vAlign w:val="bottom"/>
          </w:tcPr>
          <w:p>
            <w:pPr>
              <w:spacing w:after="0"/>
              <w:rPr>
                <w:color w:val="auto"/>
                <w:sz w:val="12"/>
                <w:szCs w:val="12"/>
              </w:rPr>
            </w:pPr>
          </w:p>
        </w:tc>
        <w:tc>
          <w:tcPr>
            <w:tcW w:w="940" w:type="dxa"/>
            <w:vAlign w:val="bottom"/>
          </w:tcPr>
          <w:p>
            <w:pPr>
              <w:spacing w:after="0"/>
              <w:rPr>
                <w:color w:val="auto"/>
                <w:sz w:val="12"/>
                <w:szCs w:val="12"/>
              </w:rPr>
            </w:pPr>
          </w:p>
        </w:tc>
        <w:tc>
          <w:tcPr>
            <w:tcW w:w="116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65</w:t>
            </w:r>
          </w:p>
        </w:tc>
        <w:tc>
          <w:tcPr>
            <w:tcW w:w="500" w:type="dxa"/>
            <w:vAlign w:val="bottom"/>
          </w:tcPr>
          <w:p>
            <w:pPr>
              <w:spacing w:after="0"/>
              <w:rPr>
                <w:color w:val="auto"/>
                <w:sz w:val="12"/>
                <w:szCs w:val="12"/>
              </w:rPr>
            </w:pPr>
          </w:p>
        </w:tc>
        <w:tc>
          <w:tcPr>
            <w:tcW w:w="112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28</w:t>
            </w:r>
          </w:p>
        </w:tc>
        <w:tc>
          <w:tcPr>
            <w:tcW w:w="420" w:type="dxa"/>
            <w:vAlign w:val="bottom"/>
          </w:tcPr>
          <w:p>
            <w:pPr>
              <w:spacing w:after="0"/>
              <w:rPr>
                <w:color w:val="auto"/>
                <w:sz w:val="12"/>
                <w:szCs w:val="12"/>
              </w:rPr>
            </w:pPr>
          </w:p>
        </w:tc>
        <w:tc>
          <w:tcPr>
            <w:tcW w:w="1120" w:type="dxa"/>
            <w:vAlign w:val="bottom"/>
          </w:tcPr>
          <w:p>
            <w:pPr>
              <w:spacing w:after="0" w:line="142" w:lineRule="exact"/>
              <w:jc w:val="right"/>
              <w:rPr>
                <w:color w:val="auto"/>
                <w:sz w:val="20"/>
                <w:szCs w:val="20"/>
              </w:rPr>
            </w:pPr>
            <w:r>
              <w:rPr>
                <w:rFonts w:ascii="Calibri" w:eastAsia="Calibri" w:hAnsi="Calibri" w:cs="Calibri"/>
                <w:color w:val="auto"/>
                <w:sz w:val="12"/>
                <w:szCs w:val="12"/>
              </w:rPr>
              <w:t>67</w:t>
            </w:r>
          </w:p>
        </w:tc>
      </w:tr>
      <w:tr>
        <w:tblPrEx>
          <w:tblInd w:w="0" w:type="dxa"/>
          <w:tblLayout w:type="fixed"/>
        </w:tblPrEx>
        <w:trPr>
          <w:trHeight w:val="153"/>
        </w:trPr>
        <w:tc>
          <w:tcPr>
            <w:tcW w:w="19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Variable lease cost</w:t>
            </w:r>
          </w:p>
        </w:tc>
        <w:tc>
          <w:tcPr>
            <w:tcW w:w="4080" w:type="dxa"/>
            <w:tcBorders>
              <w:bottom w:val="single" w:sz="8" w:space="0" w:color="auto"/>
            </w:tcBorders>
            <w:shd w:val="clear" w:color="auto" w:fill="CCEEFF"/>
            <w:vAlign w:val="bottom"/>
          </w:tcPr>
          <w:p>
            <w:pPr>
              <w:spacing w:after="0"/>
              <w:rPr>
                <w:color w:val="auto"/>
                <w:sz w:val="13"/>
                <w:szCs w:val="13"/>
              </w:rPr>
            </w:pPr>
          </w:p>
        </w:tc>
        <w:tc>
          <w:tcPr>
            <w:tcW w:w="940" w:type="dxa"/>
            <w:tcBorders>
              <w:bottom w:val="single" w:sz="8" w:space="0" w:color="auto"/>
            </w:tcBorders>
            <w:shd w:val="clear" w:color="auto" w:fill="CCEEFF"/>
            <w:vAlign w:val="bottom"/>
          </w:tcPr>
          <w:p>
            <w:pPr>
              <w:spacing w:after="0"/>
              <w:rPr>
                <w:color w:val="auto"/>
                <w:sz w:val="13"/>
                <w:szCs w:val="13"/>
              </w:rPr>
            </w:pPr>
          </w:p>
        </w:tc>
        <w:tc>
          <w:tcPr>
            <w:tcW w:w="1160" w:type="dxa"/>
            <w:tcBorders>
              <w:bottom w:val="single" w:sz="8" w:space="0" w:color="auto"/>
            </w:tcBorders>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86</w:t>
            </w:r>
          </w:p>
        </w:tc>
        <w:tc>
          <w:tcPr>
            <w:tcW w:w="5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88</w:t>
            </w:r>
          </w:p>
        </w:tc>
        <w:tc>
          <w:tcPr>
            <w:tcW w:w="42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71</w:t>
            </w:r>
          </w:p>
        </w:tc>
      </w:tr>
      <w:tr>
        <w:tblPrEx>
          <w:tblInd w:w="0" w:type="dxa"/>
          <w:tblLayout w:type="fixed"/>
        </w:tblPrEx>
        <w:trPr>
          <w:trHeight w:val="142"/>
        </w:trPr>
        <w:tc>
          <w:tcPr>
            <w:tcW w:w="19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lease cost</w:t>
            </w:r>
          </w:p>
        </w:tc>
        <w:tc>
          <w:tcPr>
            <w:tcW w:w="4080" w:type="dxa"/>
            <w:tcBorders>
              <w:bottom w:val="single" w:sz="8" w:space="0" w:color="auto"/>
            </w:tcBorders>
            <w:vAlign w:val="bottom"/>
          </w:tcPr>
          <w:p>
            <w:pPr>
              <w:spacing w:after="0"/>
              <w:rPr>
                <w:color w:val="auto"/>
                <w:sz w:val="12"/>
                <w:szCs w:val="12"/>
              </w:rPr>
            </w:pPr>
          </w:p>
        </w:tc>
        <w:tc>
          <w:tcPr>
            <w:tcW w:w="940" w:type="dxa"/>
            <w:tcBorders>
              <w:bottom w:val="single" w:sz="8" w:space="0" w:color="auto"/>
            </w:tcBorders>
            <w:vAlign w:val="bottom"/>
          </w:tcPr>
          <w:p>
            <w:pPr>
              <w:spacing w:after="0" w:line="142" w:lineRule="exact"/>
              <w:ind w:right="24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347</w:t>
            </w:r>
          </w:p>
        </w:tc>
        <w:tc>
          <w:tcPr>
            <w:tcW w:w="500" w:type="dxa"/>
            <w:tcBorders>
              <w:bottom w:val="single" w:sz="8" w:space="0" w:color="auto"/>
            </w:tcBorders>
            <w:vAlign w:val="bottom"/>
          </w:tcPr>
          <w:p>
            <w:pPr>
              <w:spacing w:after="0" w:line="142" w:lineRule="exact"/>
              <w:ind w:right="30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305</w:t>
            </w:r>
          </w:p>
        </w:tc>
        <w:tc>
          <w:tcPr>
            <w:tcW w:w="420" w:type="dxa"/>
            <w:tcBorders>
              <w:bottom w:val="single" w:sz="8" w:space="0" w:color="auto"/>
            </w:tcBorders>
            <w:vAlign w:val="bottom"/>
          </w:tcPr>
          <w:p>
            <w:pPr>
              <w:spacing w:after="0" w:line="142" w:lineRule="exact"/>
              <w:ind w:right="26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339</w:t>
            </w:r>
          </w:p>
        </w:tc>
      </w:tr>
      <w:tr>
        <w:tblPrEx>
          <w:tblInd w:w="0" w:type="dxa"/>
          <w:tblLayout w:type="fixed"/>
        </w:tblPrEx>
        <w:trPr>
          <w:trHeight w:val="20"/>
        </w:trPr>
        <w:tc>
          <w:tcPr>
            <w:tcW w:w="1960" w:type="dxa"/>
            <w:tcBorders>
              <w:bottom w:val="single" w:sz="8" w:space="0" w:color="auto"/>
            </w:tcBorders>
            <w:vAlign w:val="bottom"/>
          </w:tcPr>
          <w:p>
            <w:pPr>
              <w:spacing w:after="0" w:line="20" w:lineRule="exact"/>
              <w:rPr>
                <w:color w:val="auto"/>
                <w:sz w:val="1"/>
                <w:szCs w:val="1"/>
              </w:rPr>
            </w:pPr>
          </w:p>
        </w:tc>
        <w:tc>
          <w:tcPr>
            <w:tcW w:w="4080" w:type="dxa"/>
            <w:tcBorders>
              <w:bottom w:val="single" w:sz="8" w:space="0" w:color="auto"/>
            </w:tcBorders>
            <w:vAlign w:val="bottom"/>
          </w:tcPr>
          <w:p>
            <w:pPr>
              <w:spacing w:after="0" w:line="20" w:lineRule="exact"/>
              <w:rPr>
                <w:color w:val="auto"/>
                <w:sz w:val="1"/>
                <w:szCs w:val="1"/>
              </w:rPr>
            </w:pPr>
          </w:p>
        </w:tc>
        <w:tc>
          <w:tcPr>
            <w:tcW w:w="940" w:type="dxa"/>
            <w:tcBorders>
              <w:bottom w:val="single" w:sz="8" w:space="0" w:color="auto"/>
            </w:tcBorders>
            <w:vAlign w:val="bottom"/>
          </w:tcPr>
          <w:p>
            <w:pPr>
              <w:spacing w:after="0" w:line="20" w:lineRule="exact"/>
              <w:rPr>
                <w:color w:val="auto"/>
                <w:sz w:val="1"/>
                <w:szCs w:val="1"/>
              </w:rPr>
            </w:pPr>
          </w:p>
        </w:tc>
        <w:tc>
          <w:tcPr>
            <w:tcW w:w="1160" w:type="dxa"/>
            <w:tcBorders>
              <w:bottom w:val="single" w:sz="8" w:space="0" w:color="auto"/>
            </w:tcBorders>
            <w:vAlign w:val="bottom"/>
          </w:tcPr>
          <w:p>
            <w:pPr>
              <w:spacing w:after="0" w:line="20" w:lineRule="exact"/>
              <w:rPr>
                <w:color w:val="auto"/>
                <w:sz w:val="1"/>
                <w:szCs w:val="1"/>
              </w:rPr>
            </w:pPr>
          </w:p>
        </w:tc>
        <w:tc>
          <w:tcPr>
            <w:tcW w:w="50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42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r>
    </w:tbl>
    <w:p>
      <w:pPr>
        <w:spacing w:after="0" w:line="138"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In December 2022, the company entered into an agreement to sublease a porton of its Madison, New Jersey ofce space through the end of the original lease maturity in 2030. As a result of this agreement, the company recognized an impairment loss on its right-of-use asset of $69 million and wrote-of the related leasehold improvements of $37 million. These losses were recorded in SG&amp;A expense in the consolidated statements of earnings for the year ended December 31, 2022. The company used a discounted cash fows method to value the right-of-use asset to determine the impairment amount.</w:t>
      </w:r>
    </w:p>
    <w:p>
      <w:pPr>
        <w:spacing w:after="0" w:line="9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Sublease income and fnance lease costs were insignifcant in 2024, 2023 and 2022.</w:t>
      </w:r>
    </w:p>
    <w:p>
      <w:pPr>
        <w:spacing w:after="0" w:line="204"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73</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46656" behindDoc="1" locked="0" layoutInCell="0" allowOverlap="1">
            <wp:simplePos x="0" y="0"/>
            <wp:positionH relativeFrom="column">
              <wp:posOffset>-17145</wp:posOffset>
            </wp:positionH>
            <wp:positionV relativeFrom="paragraph">
              <wp:posOffset>133985</wp:posOffset>
            </wp:positionV>
            <wp:extent cx="7203440" cy="3683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847680" behindDoc="1" locked="0" layoutInCell="0" allowOverlap="1">
            <wp:simplePos x="0" y="0"/>
            <wp:positionH relativeFrom="column">
              <wp:posOffset>292100</wp:posOffset>
            </wp:positionH>
            <wp:positionV relativeFrom="paragraph">
              <wp:posOffset>-75565</wp:posOffset>
            </wp:positionV>
            <wp:extent cx="400050" cy="7429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805" w:right="299" w:bottom="1440" w:left="300" w:header="0" w:footer="0" w:gutter="0"/>
          <w:cols w:num="1" w:space="720" w:equalWidth="0">
            <w:col w:w="11300" w:space="0"/>
          </w:cols>
        </w:sectPr>
      </w:pPr>
    </w:p>
    <w:bookmarkStart w:id="75" w:name="page76"/>
    <w:bookmarkEnd w:id="75"/>
    <w:p>
      <w:pPr>
        <w:spacing w:after="0"/>
        <w:ind w:left="280"/>
        <w:rPr>
          <w:color w:val="auto"/>
          <w:sz w:val="20"/>
          <w:szCs w:val="20"/>
        </w:rPr>
      </w:pPr>
      <w:r>
        <w:rPr>
          <w:rFonts w:ascii="Calibri" w:eastAsia="Calibri" w:hAnsi="Calibri" w:cs="Calibri"/>
          <w:color w:val="auto"/>
          <w:sz w:val="12"/>
          <w:szCs w:val="12"/>
        </w:rPr>
        <w:t>The following table presents the weighted-average remaining lease term and weighted-average discount rate for operatng and fnance leases: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6600"/>
        <w:gridCol w:w="1120"/>
        <w:gridCol w:w="540"/>
        <w:gridCol w:w="340"/>
        <w:gridCol w:w="1180"/>
        <w:gridCol w:w="520"/>
        <w:gridCol w:w="980"/>
        <w:gridCol w:w="20"/>
        <w:gridCol w:w="20"/>
      </w:tblGrid>
      <w:tr>
        <w:tblPrEx>
          <w:tblInd w:w="0" w:type="dxa"/>
          <w:tblLayout w:type="fixed"/>
        </w:tblPrEx>
        <w:trPr>
          <w:trHeight w:val="122"/>
        </w:trPr>
        <w:tc>
          <w:tcPr>
            <w:tcW w:w="6600" w:type="dxa"/>
            <w:vAlign w:val="bottom"/>
          </w:tcPr>
          <w:p>
            <w:pPr>
              <w:spacing w:after="0"/>
              <w:rPr>
                <w:color w:val="auto"/>
                <w:sz w:val="20"/>
                <w:szCs w:val="20"/>
              </w:rPr>
            </w:pPr>
            <w:r>
              <w:rPr>
                <w:rFonts w:ascii="Calibri" w:eastAsia="Calibri" w:hAnsi="Calibri" w:cs="Calibri"/>
                <w:b/>
                <w:bCs/>
                <w:color w:val="auto"/>
                <w:sz w:val="10"/>
                <w:szCs w:val="10"/>
              </w:rPr>
              <w:t>years ended December 31</w:t>
            </w:r>
          </w:p>
        </w:tc>
        <w:tc>
          <w:tcPr>
            <w:tcW w:w="1120" w:type="dxa"/>
            <w:vAlign w:val="bottom"/>
          </w:tcPr>
          <w:p>
            <w:pPr>
              <w:spacing w:after="0"/>
              <w:ind w:right="347"/>
              <w:jc w:val="right"/>
              <w:rPr>
                <w:color w:val="auto"/>
                <w:sz w:val="20"/>
                <w:szCs w:val="20"/>
              </w:rPr>
            </w:pPr>
            <w:r>
              <w:rPr>
                <w:rFonts w:ascii="Calibri" w:eastAsia="Calibri" w:hAnsi="Calibri" w:cs="Calibri"/>
                <w:b/>
                <w:bCs/>
                <w:color w:val="auto"/>
                <w:sz w:val="10"/>
                <w:szCs w:val="10"/>
              </w:rPr>
              <w:t>2024</w:t>
            </w:r>
          </w:p>
        </w:tc>
        <w:tc>
          <w:tcPr>
            <w:tcW w:w="54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180" w:type="dxa"/>
            <w:vAlign w:val="bottom"/>
          </w:tcPr>
          <w:p>
            <w:pPr>
              <w:spacing w:after="0"/>
              <w:ind w:right="762"/>
              <w:jc w:val="right"/>
              <w:rPr>
                <w:color w:val="auto"/>
                <w:sz w:val="20"/>
                <w:szCs w:val="20"/>
              </w:rPr>
            </w:pPr>
            <w:r>
              <w:rPr>
                <w:rFonts w:ascii="Calibri" w:eastAsia="Calibri" w:hAnsi="Calibri" w:cs="Calibri"/>
                <w:b/>
                <w:bCs/>
                <w:color w:val="auto"/>
                <w:sz w:val="10"/>
                <w:szCs w:val="10"/>
              </w:rPr>
              <w:t>2023</w:t>
            </w:r>
          </w:p>
        </w:tc>
        <w:tc>
          <w:tcPr>
            <w:tcW w:w="520" w:type="dxa"/>
            <w:vAlign w:val="bottom"/>
          </w:tcPr>
          <w:p>
            <w:pPr>
              <w:spacing w:after="0"/>
              <w:rPr>
                <w:color w:val="auto"/>
                <w:sz w:val="10"/>
                <w:szCs w:val="10"/>
              </w:rPr>
            </w:pPr>
          </w:p>
        </w:tc>
        <w:tc>
          <w:tcPr>
            <w:tcW w:w="980" w:type="dxa"/>
            <w:vAlign w:val="bottom"/>
          </w:tcPr>
          <w:p>
            <w:pPr>
              <w:spacing w:after="0"/>
              <w:ind w:left="120"/>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66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54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520" w:type="dxa"/>
            <w:tcBorders>
              <w:bottom w:val="single" w:sz="8" w:space="0" w:color="auto"/>
            </w:tcBorders>
            <w:vAlign w:val="bottom"/>
          </w:tcPr>
          <w:p>
            <w:pPr>
              <w:spacing w:after="0"/>
              <w:rPr>
                <w:color w:val="auto"/>
                <w:sz w:val="2"/>
                <w:szCs w:val="2"/>
              </w:rPr>
            </w:pPr>
          </w:p>
        </w:tc>
        <w:tc>
          <w:tcPr>
            <w:tcW w:w="980" w:type="dxa"/>
            <w:tcBorders>
              <w:bottom w:val="single" w:sz="8" w:space="0" w:color="auto"/>
            </w:tcBorders>
            <w:vAlign w:val="bottom"/>
          </w:tcPr>
          <w:p>
            <w:pPr>
              <w:spacing w:after="0"/>
              <w:rPr>
                <w:color w:val="auto"/>
                <w:sz w:val="2"/>
                <w:szCs w:val="2"/>
              </w:rPr>
            </w:pPr>
          </w:p>
        </w:tc>
        <w:tc>
          <w:tcPr>
            <w:tcW w:w="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36"/>
        </w:trPr>
        <w:tc>
          <w:tcPr>
            <w:tcW w:w="6600" w:type="dxa"/>
            <w:vAlign w:val="bottom"/>
          </w:tcPr>
          <w:p>
            <w:pPr>
              <w:spacing w:after="0" w:line="137" w:lineRule="exact"/>
              <w:rPr>
                <w:color w:val="auto"/>
                <w:sz w:val="20"/>
                <w:szCs w:val="20"/>
              </w:rPr>
            </w:pPr>
            <w:r>
              <w:rPr>
                <w:rFonts w:ascii="Calibri" w:eastAsia="Calibri" w:hAnsi="Calibri" w:cs="Calibri"/>
                <w:color w:val="auto"/>
                <w:sz w:val="12"/>
                <w:szCs w:val="12"/>
              </w:rPr>
              <w:t>Weighted-average remaining lease term (years)</w:t>
            </w:r>
          </w:p>
        </w:tc>
        <w:tc>
          <w:tcPr>
            <w:tcW w:w="1120" w:type="dxa"/>
            <w:vAlign w:val="bottom"/>
          </w:tcPr>
          <w:p>
            <w:pPr>
              <w:spacing w:after="0"/>
              <w:rPr>
                <w:color w:val="auto"/>
                <w:sz w:val="11"/>
                <w:szCs w:val="11"/>
              </w:rPr>
            </w:pPr>
          </w:p>
        </w:tc>
        <w:tc>
          <w:tcPr>
            <w:tcW w:w="540" w:type="dxa"/>
            <w:vAlign w:val="bottom"/>
          </w:tcPr>
          <w:p>
            <w:pPr>
              <w:spacing w:after="0"/>
              <w:rPr>
                <w:color w:val="auto"/>
                <w:sz w:val="11"/>
                <w:szCs w:val="11"/>
              </w:rPr>
            </w:pPr>
          </w:p>
        </w:tc>
        <w:tc>
          <w:tcPr>
            <w:tcW w:w="340" w:type="dxa"/>
            <w:vAlign w:val="bottom"/>
          </w:tcPr>
          <w:p>
            <w:pPr>
              <w:spacing w:after="0"/>
              <w:rPr>
                <w:color w:val="auto"/>
                <w:sz w:val="11"/>
                <w:szCs w:val="11"/>
              </w:rPr>
            </w:pPr>
          </w:p>
        </w:tc>
        <w:tc>
          <w:tcPr>
            <w:tcW w:w="1180" w:type="dxa"/>
            <w:vAlign w:val="bottom"/>
          </w:tcPr>
          <w:p>
            <w:pPr>
              <w:spacing w:after="0"/>
              <w:rPr>
                <w:color w:val="auto"/>
                <w:sz w:val="11"/>
                <w:szCs w:val="11"/>
              </w:rPr>
            </w:pPr>
          </w:p>
        </w:tc>
        <w:tc>
          <w:tcPr>
            <w:tcW w:w="520" w:type="dxa"/>
            <w:vAlign w:val="bottom"/>
          </w:tcPr>
          <w:p>
            <w:pPr>
              <w:spacing w:after="0"/>
              <w:rPr>
                <w:color w:val="auto"/>
                <w:sz w:val="11"/>
                <w:szCs w:val="11"/>
              </w:rPr>
            </w:pPr>
          </w:p>
        </w:tc>
        <w:tc>
          <w:tcPr>
            <w:tcW w:w="980" w:type="dxa"/>
            <w:vAlign w:val="bottom"/>
          </w:tcPr>
          <w:p>
            <w:pPr>
              <w:spacing w:after="0"/>
              <w:rPr>
                <w:color w:val="auto"/>
                <w:sz w:val="11"/>
                <w:szCs w:val="11"/>
              </w:rPr>
            </w:pPr>
          </w:p>
        </w:tc>
        <w:tc>
          <w:tcPr>
            <w:tcW w:w="2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159"/>
        </w:trPr>
        <w:tc>
          <w:tcPr>
            <w:tcW w:w="6600" w:type="dxa"/>
            <w:shd w:val="clear" w:color="auto" w:fill="CCEEFF"/>
            <w:vAlign w:val="bottom"/>
          </w:tcPr>
          <w:p>
            <w:pPr>
              <w:spacing w:after="0"/>
              <w:ind w:left="140"/>
              <w:rPr>
                <w:color w:val="auto"/>
                <w:sz w:val="20"/>
                <w:szCs w:val="20"/>
              </w:rPr>
            </w:pPr>
            <w:r>
              <w:rPr>
                <w:rFonts w:ascii="Calibri" w:eastAsia="Calibri" w:hAnsi="Calibri" w:cs="Calibri"/>
                <w:color w:val="auto"/>
                <w:sz w:val="12"/>
                <w:szCs w:val="12"/>
              </w:rPr>
              <w:t>Operatng</w:t>
            </w:r>
          </w:p>
        </w:tc>
        <w:tc>
          <w:tcPr>
            <w:tcW w:w="1120" w:type="dxa"/>
            <w:shd w:val="clear" w:color="auto" w:fill="CCEEFF"/>
            <w:vAlign w:val="bottom"/>
          </w:tcPr>
          <w:p>
            <w:pPr>
              <w:spacing w:after="0"/>
              <w:rPr>
                <w:color w:val="auto"/>
                <w:sz w:val="13"/>
                <w:szCs w:val="13"/>
              </w:rPr>
            </w:pPr>
          </w:p>
        </w:tc>
        <w:tc>
          <w:tcPr>
            <w:tcW w:w="54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7</w:t>
            </w:r>
          </w:p>
        </w:tc>
        <w:tc>
          <w:tcPr>
            <w:tcW w:w="3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ind w:right="82"/>
              <w:jc w:val="right"/>
              <w:rPr>
                <w:color w:val="auto"/>
                <w:sz w:val="20"/>
                <w:szCs w:val="20"/>
              </w:rPr>
            </w:pPr>
            <w:r>
              <w:rPr>
                <w:rFonts w:ascii="Calibri" w:eastAsia="Calibri" w:hAnsi="Calibri" w:cs="Calibri"/>
                <w:color w:val="auto"/>
                <w:sz w:val="12"/>
                <w:szCs w:val="12"/>
              </w:rPr>
              <w:t>7</w:t>
            </w:r>
          </w:p>
        </w:tc>
        <w:tc>
          <w:tcPr>
            <w:tcW w:w="520" w:type="dxa"/>
            <w:shd w:val="clear" w:color="auto" w:fill="CCEEFF"/>
            <w:vAlign w:val="bottom"/>
          </w:tcPr>
          <w:p>
            <w:pPr>
              <w:spacing w:after="0"/>
              <w:rPr>
                <w:color w:val="auto"/>
                <w:sz w:val="13"/>
                <w:szCs w:val="13"/>
              </w:rPr>
            </w:pPr>
          </w:p>
        </w:tc>
        <w:tc>
          <w:tcPr>
            <w:tcW w:w="1000" w:type="dxa"/>
            <w:gridSpan w:val="2"/>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8</w:t>
            </w:r>
          </w:p>
        </w:tc>
        <w:tc>
          <w:tcPr>
            <w:tcW w:w="1" w:type="dxa"/>
            <w:vAlign w:val="bottom"/>
          </w:tcPr>
          <w:p>
            <w:pPr>
              <w:spacing w:after="0"/>
              <w:rPr>
                <w:color w:val="auto"/>
                <w:sz w:val="1"/>
                <w:szCs w:val="1"/>
              </w:rPr>
            </w:pPr>
          </w:p>
        </w:tc>
      </w:tr>
      <w:tr>
        <w:tblPrEx>
          <w:tblInd w:w="0" w:type="dxa"/>
          <w:tblLayout w:type="fixed"/>
        </w:tblPrEx>
        <w:trPr>
          <w:trHeight w:val="147"/>
        </w:trPr>
        <w:tc>
          <w:tcPr>
            <w:tcW w:w="6600" w:type="dxa"/>
            <w:vAlign w:val="bottom"/>
          </w:tcPr>
          <w:p>
            <w:pPr>
              <w:spacing w:after="0" w:line="142" w:lineRule="exact"/>
              <w:ind w:left="140"/>
              <w:rPr>
                <w:color w:val="auto"/>
                <w:sz w:val="20"/>
                <w:szCs w:val="20"/>
              </w:rPr>
            </w:pPr>
            <w:r>
              <w:rPr>
                <w:rFonts w:ascii="Calibri" w:eastAsia="Calibri" w:hAnsi="Calibri" w:cs="Calibri"/>
                <w:color w:val="auto"/>
                <w:sz w:val="12"/>
                <w:szCs w:val="12"/>
              </w:rPr>
              <w:t>Finance</w:t>
            </w:r>
          </w:p>
        </w:tc>
        <w:tc>
          <w:tcPr>
            <w:tcW w:w="1120" w:type="dxa"/>
            <w:vAlign w:val="bottom"/>
          </w:tcPr>
          <w:p>
            <w:pPr>
              <w:spacing w:after="0"/>
              <w:rPr>
                <w:color w:val="auto"/>
                <w:sz w:val="12"/>
                <w:szCs w:val="12"/>
              </w:rPr>
            </w:pPr>
          </w:p>
        </w:tc>
        <w:tc>
          <w:tcPr>
            <w:tcW w:w="540" w:type="dxa"/>
            <w:vAlign w:val="bottom"/>
          </w:tcPr>
          <w:p>
            <w:pPr>
              <w:spacing w:after="0" w:line="142" w:lineRule="exact"/>
              <w:ind w:right="200"/>
              <w:jc w:val="right"/>
              <w:rPr>
                <w:color w:val="auto"/>
                <w:sz w:val="20"/>
                <w:szCs w:val="20"/>
              </w:rPr>
            </w:pPr>
            <w:r>
              <w:rPr>
                <w:rFonts w:ascii="Calibri" w:eastAsia="Calibri" w:hAnsi="Calibri" w:cs="Calibri"/>
                <w:color w:val="auto"/>
                <w:sz w:val="12"/>
                <w:szCs w:val="12"/>
              </w:rPr>
              <w:t>5</w:t>
            </w:r>
          </w:p>
        </w:tc>
        <w:tc>
          <w:tcPr>
            <w:tcW w:w="340" w:type="dxa"/>
            <w:vAlign w:val="bottom"/>
          </w:tcPr>
          <w:p>
            <w:pPr>
              <w:spacing w:after="0"/>
              <w:rPr>
                <w:color w:val="auto"/>
                <w:sz w:val="12"/>
                <w:szCs w:val="12"/>
              </w:rPr>
            </w:pPr>
          </w:p>
        </w:tc>
        <w:tc>
          <w:tcPr>
            <w:tcW w:w="1180" w:type="dxa"/>
            <w:vAlign w:val="bottom"/>
          </w:tcPr>
          <w:p>
            <w:pPr>
              <w:spacing w:after="0" w:line="142" w:lineRule="exact"/>
              <w:ind w:right="82"/>
              <w:jc w:val="right"/>
              <w:rPr>
                <w:color w:val="auto"/>
                <w:sz w:val="20"/>
                <w:szCs w:val="20"/>
              </w:rPr>
            </w:pPr>
            <w:r>
              <w:rPr>
                <w:rFonts w:ascii="Calibri" w:eastAsia="Calibri" w:hAnsi="Calibri" w:cs="Calibri"/>
                <w:color w:val="auto"/>
                <w:sz w:val="12"/>
                <w:szCs w:val="12"/>
              </w:rPr>
              <w:t>3</w:t>
            </w:r>
          </w:p>
        </w:tc>
        <w:tc>
          <w:tcPr>
            <w:tcW w:w="520" w:type="dxa"/>
            <w:vAlign w:val="bottom"/>
          </w:tcPr>
          <w:p>
            <w:pPr>
              <w:spacing w:after="0"/>
              <w:rPr>
                <w:color w:val="auto"/>
                <w:sz w:val="12"/>
                <w:szCs w:val="12"/>
              </w:rPr>
            </w:pPr>
          </w:p>
        </w:tc>
        <w:tc>
          <w:tcPr>
            <w:tcW w:w="1000" w:type="dxa"/>
            <w:gridSpan w:val="2"/>
            <w:vAlign w:val="bottom"/>
          </w:tcPr>
          <w:p>
            <w:pPr>
              <w:spacing w:after="0" w:line="142" w:lineRule="exact"/>
              <w:ind w:right="20"/>
              <w:jc w:val="right"/>
              <w:rPr>
                <w:color w:val="auto"/>
                <w:sz w:val="20"/>
                <w:szCs w:val="20"/>
              </w:rPr>
            </w:pPr>
            <w:r>
              <w:rPr>
                <w:rFonts w:ascii="Calibri" w:eastAsia="Calibri" w:hAnsi="Calibri" w:cs="Calibri"/>
                <w:color w:val="auto"/>
                <w:sz w:val="12"/>
                <w:szCs w:val="12"/>
              </w:rPr>
              <w:t>2</w:t>
            </w:r>
          </w:p>
        </w:tc>
        <w:tc>
          <w:tcPr>
            <w:tcW w:w="1" w:type="dxa"/>
            <w:vAlign w:val="bottom"/>
          </w:tcPr>
          <w:p>
            <w:pPr>
              <w:spacing w:after="0"/>
              <w:rPr>
                <w:color w:val="auto"/>
                <w:sz w:val="1"/>
                <w:szCs w:val="1"/>
              </w:rPr>
            </w:pPr>
          </w:p>
        </w:tc>
      </w:tr>
      <w:tr>
        <w:tblPrEx>
          <w:tblInd w:w="0" w:type="dxa"/>
          <w:tblLayout w:type="fixed"/>
        </w:tblPrEx>
        <w:trPr>
          <w:trHeight w:val="159"/>
        </w:trPr>
        <w:tc>
          <w:tcPr>
            <w:tcW w:w="6600" w:type="dxa"/>
            <w:shd w:val="clear" w:color="auto" w:fill="CCEEFF"/>
            <w:vAlign w:val="bottom"/>
          </w:tcPr>
          <w:p>
            <w:pPr>
              <w:spacing w:after="0"/>
              <w:rPr>
                <w:color w:val="auto"/>
                <w:sz w:val="20"/>
                <w:szCs w:val="20"/>
              </w:rPr>
            </w:pPr>
            <w:r>
              <w:rPr>
                <w:rFonts w:ascii="Calibri" w:eastAsia="Calibri" w:hAnsi="Calibri" w:cs="Calibri"/>
                <w:color w:val="auto"/>
                <w:sz w:val="12"/>
                <w:szCs w:val="12"/>
              </w:rPr>
              <w:t>Weighted-average discount rate</w:t>
            </w:r>
          </w:p>
        </w:tc>
        <w:tc>
          <w:tcPr>
            <w:tcW w:w="1120" w:type="dxa"/>
            <w:shd w:val="clear" w:color="auto" w:fill="CCEEFF"/>
            <w:vAlign w:val="bottom"/>
          </w:tcPr>
          <w:p>
            <w:pPr>
              <w:spacing w:after="0"/>
              <w:rPr>
                <w:color w:val="auto"/>
                <w:sz w:val="13"/>
                <w:szCs w:val="13"/>
              </w:rPr>
            </w:pPr>
          </w:p>
        </w:tc>
        <w:tc>
          <w:tcPr>
            <w:tcW w:w="540" w:type="dxa"/>
            <w:shd w:val="clear" w:color="auto" w:fill="CCEEFF"/>
            <w:vAlign w:val="bottom"/>
          </w:tcPr>
          <w:p>
            <w:pPr>
              <w:spacing w:after="0"/>
              <w:rPr>
                <w:color w:val="auto"/>
                <w:sz w:val="13"/>
                <w:szCs w:val="13"/>
              </w:rPr>
            </w:pPr>
          </w:p>
        </w:tc>
        <w:tc>
          <w:tcPr>
            <w:tcW w:w="3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rPr>
                <w:color w:val="auto"/>
                <w:sz w:val="13"/>
                <w:szCs w:val="13"/>
              </w:rPr>
            </w:pPr>
          </w:p>
        </w:tc>
        <w:tc>
          <w:tcPr>
            <w:tcW w:w="520" w:type="dxa"/>
            <w:shd w:val="clear" w:color="auto" w:fill="CCEEFF"/>
            <w:vAlign w:val="bottom"/>
          </w:tcPr>
          <w:p>
            <w:pPr>
              <w:spacing w:after="0"/>
              <w:rPr>
                <w:color w:val="auto"/>
                <w:sz w:val="13"/>
                <w:szCs w:val="13"/>
              </w:rPr>
            </w:pPr>
          </w:p>
        </w:tc>
        <w:tc>
          <w:tcPr>
            <w:tcW w:w="980" w:type="dxa"/>
            <w:shd w:val="clear" w:color="auto" w:fill="CCEEFF"/>
            <w:vAlign w:val="bottom"/>
          </w:tcPr>
          <w:p>
            <w:pPr>
              <w:spacing w:after="0"/>
              <w:rPr>
                <w:color w:val="auto"/>
                <w:sz w:val="13"/>
                <w:szCs w:val="13"/>
              </w:rPr>
            </w:pPr>
          </w:p>
        </w:tc>
        <w:tc>
          <w:tcPr>
            <w:tcW w:w="20" w:type="dxa"/>
            <w:shd w:val="clear" w:color="auto" w:fill="CCEEFF"/>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7"/>
        </w:trPr>
        <w:tc>
          <w:tcPr>
            <w:tcW w:w="6600" w:type="dxa"/>
            <w:vAlign w:val="bottom"/>
          </w:tcPr>
          <w:p>
            <w:pPr>
              <w:spacing w:after="0" w:line="142" w:lineRule="exact"/>
              <w:ind w:left="140"/>
              <w:rPr>
                <w:color w:val="auto"/>
                <w:sz w:val="20"/>
                <w:szCs w:val="20"/>
              </w:rPr>
            </w:pPr>
            <w:r>
              <w:rPr>
                <w:rFonts w:ascii="Calibri" w:eastAsia="Calibri" w:hAnsi="Calibri" w:cs="Calibri"/>
                <w:color w:val="auto"/>
                <w:sz w:val="12"/>
                <w:szCs w:val="12"/>
              </w:rPr>
              <w:t>Operatng</w:t>
            </w:r>
          </w:p>
        </w:tc>
        <w:tc>
          <w:tcPr>
            <w:tcW w:w="1120" w:type="dxa"/>
            <w:vAlign w:val="bottom"/>
          </w:tcPr>
          <w:p>
            <w:pPr>
              <w:spacing w:after="0"/>
              <w:rPr>
                <w:color w:val="auto"/>
                <w:sz w:val="12"/>
                <w:szCs w:val="12"/>
              </w:rPr>
            </w:pPr>
          </w:p>
        </w:tc>
        <w:tc>
          <w:tcPr>
            <w:tcW w:w="540" w:type="dxa"/>
            <w:vAlign w:val="bottom"/>
          </w:tcPr>
          <w:p>
            <w:pPr>
              <w:spacing w:after="0" w:line="142" w:lineRule="exact"/>
              <w:ind w:right="200"/>
              <w:jc w:val="right"/>
              <w:rPr>
                <w:color w:val="auto"/>
                <w:sz w:val="20"/>
                <w:szCs w:val="20"/>
              </w:rPr>
            </w:pPr>
            <w:r>
              <w:rPr>
                <w:rFonts w:ascii="Calibri" w:eastAsia="Calibri" w:hAnsi="Calibri" w:cs="Calibri"/>
                <w:color w:val="auto"/>
                <w:w w:val="97"/>
                <w:sz w:val="12"/>
                <w:szCs w:val="12"/>
              </w:rPr>
              <w:t>3.3 %</w:t>
            </w:r>
          </w:p>
        </w:tc>
        <w:tc>
          <w:tcPr>
            <w:tcW w:w="340" w:type="dxa"/>
            <w:vAlign w:val="bottom"/>
          </w:tcPr>
          <w:p>
            <w:pPr>
              <w:spacing w:after="0"/>
              <w:rPr>
                <w:color w:val="auto"/>
                <w:sz w:val="12"/>
                <w:szCs w:val="12"/>
              </w:rPr>
            </w:pPr>
          </w:p>
        </w:tc>
        <w:tc>
          <w:tcPr>
            <w:tcW w:w="1180" w:type="dxa"/>
            <w:vAlign w:val="bottom"/>
          </w:tcPr>
          <w:p>
            <w:pPr>
              <w:spacing w:after="0" w:line="142" w:lineRule="exact"/>
              <w:ind w:right="82"/>
              <w:jc w:val="right"/>
              <w:rPr>
                <w:color w:val="auto"/>
                <w:sz w:val="20"/>
                <w:szCs w:val="20"/>
              </w:rPr>
            </w:pPr>
            <w:r>
              <w:rPr>
                <w:rFonts w:ascii="Calibri" w:eastAsia="Calibri" w:hAnsi="Calibri" w:cs="Calibri"/>
                <w:color w:val="auto"/>
                <w:sz w:val="12"/>
                <w:szCs w:val="12"/>
              </w:rPr>
              <w:t>3.0 %</w:t>
            </w:r>
          </w:p>
        </w:tc>
        <w:tc>
          <w:tcPr>
            <w:tcW w:w="520" w:type="dxa"/>
            <w:vAlign w:val="bottom"/>
          </w:tcPr>
          <w:p>
            <w:pPr>
              <w:spacing w:after="0"/>
              <w:rPr>
                <w:color w:val="auto"/>
                <w:sz w:val="12"/>
                <w:szCs w:val="12"/>
              </w:rPr>
            </w:pPr>
          </w:p>
        </w:tc>
        <w:tc>
          <w:tcPr>
            <w:tcW w:w="1000" w:type="dxa"/>
            <w:gridSpan w:val="2"/>
            <w:vAlign w:val="bottom"/>
          </w:tcPr>
          <w:p>
            <w:pPr>
              <w:spacing w:after="0" w:line="142" w:lineRule="exact"/>
              <w:ind w:right="20"/>
              <w:jc w:val="right"/>
              <w:rPr>
                <w:color w:val="auto"/>
                <w:sz w:val="20"/>
                <w:szCs w:val="20"/>
              </w:rPr>
            </w:pPr>
            <w:r>
              <w:rPr>
                <w:rFonts w:ascii="Calibri" w:eastAsia="Calibri" w:hAnsi="Calibri" w:cs="Calibri"/>
                <w:color w:val="auto"/>
                <w:sz w:val="12"/>
                <w:szCs w:val="12"/>
              </w:rPr>
              <w:t>2.6 %</w:t>
            </w:r>
          </w:p>
        </w:tc>
        <w:tc>
          <w:tcPr>
            <w:tcW w:w="1" w:type="dxa"/>
            <w:vAlign w:val="bottom"/>
          </w:tcPr>
          <w:p>
            <w:pPr>
              <w:spacing w:after="0"/>
              <w:rPr>
                <w:color w:val="auto"/>
                <w:sz w:val="1"/>
                <w:szCs w:val="1"/>
              </w:rPr>
            </w:pPr>
          </w:p>
        </w:tc>
      </w:tr>
      <w:tr>
        <w:tblPrEx>
          <w:tblInd w:w="0" w:type="dxa"/>
          <w:tblLayout w:type="fixed"/>
        </w:tblPrEx>
        <w:trPr>
          <w:trHeight w:val="153"/>
        </w:trPr>
        <w:tc>
          <w:tcPr>
            <w:tcW w:w="6600" w:type="dxa"/>
            <w:tcBorders>
              <w:bottom w:val="single" w:sz="8" w:space="0" w:color="auto"/>
            </w:tcBorders>
            <w:shd w:val="clear" w:color="auto" w:fill="CCEEFF"/>
            <w:vAlign w:val="bottom"/>
          </w:tcPr>
          <w:p>
            <w:pPr>
              <w:spacing w:after="0"/>
              <w:ind w:left="140"/>
              <w:rPr>
                <w:color w:val="auto"/>
                <w:sz w:val="20"/>
                <w:szCs w:val="20"/>
              </w:rPr>
            </w:pPr>
            <w:r>
              <w:rPr>
                <w:rFonts w:ascii="Calibri" w:eastAsia="Calibri" w:hAnsi="Calibri" w:cs="Calibri"/>
                <w:color w:val="auto"/>
                <w:sz w:val="12"/>
                <w:szCs w:val="12"/>
              </w:rPr>
              <w:t>Finance</w:t>
            </w:r>
          </w:p>
        </w:tc>
        <w:tc>
          <w:tcPr>
            <w:tcW w:w="1120" w:type="dxa"/>
            <w:tcBorders>
              <w:bottom w:val="single" w:sz="8" w:space="0" w:color="auto"/>
            </w:tcBorders>
            <w:shd w:val="clear" w:color="auto" w:fill="CCEEFF"/>
            <w:vAlign w:val="bottom"/>
          </w:tcPr>
          <w:p>
            <w:pPr>
              <w:spacing w:after="0"/>
              <w:rPr>
                <w:color w:val="auto"/>
                <w:sz w:val="13"/>
                <w:szCs w:val="13"/>
              </w:rPr>
            </w:pPr>
          </w:p>
        </w:tc>
        <w:tc>
          <w:tcPr>
            <w:tcW w:w="540" w:type="dxa"/>
            <w:tcBorders>
              <w:bottom w:val="single" w:sz="8" w:space="0" w:color="auto"/>
            </w:tcBorders>
            <w:shd w:val="clear" w:color="auto" w:fill="CCEEFF"/>
            <w:vAlign w:val="bottom"/>
          </w:tcPr>
          <w:p>
            <w:pPr>
              <w:spacing w:after="0"/>
              <w:ind w:right="200"/>
              <w:jc w:val="right"/>
              <w:rPr>
                <w:color w:val="auto"/>
                <w:sz w:val="20"/>
                <w:szCs w:val="20"/>
              </w:rPr>
            </w:pPr>
            <w:r>
              <w:rPr>
                <w:rFonts w:ascii="Calibri" w:eastAsia="Calibri" w:hAnsi="Calibri" w:cs="Calibri"/>
                <w:color w:val="auto"/>
                <w:w w:val="97"/>
                <w:sz w:val="12"/>
                <w:szCs w:val="12"/>
              </w:rPr>
              <w:t>4.2 %</w:t>
            </w:r>
          </w:p>
        </w:tc>
        <w:tc>
          <w:tcPr>
            <w:tcW w:w="340" w:type="dxa"/>
            <w:tcBorders>
              <w:bottom w:val="single" w:sz="8" w:space="0" w:color="auto"/>
            </w:tcBorders>
            <w:shd w:val="clear" w:color="auto" w:fill="CCEEFF"/>
            <w:vAlign w:val="bottom"/>
          </w:tcPr>
          <w:p>
            <w:pPr>
              <w:spacing w:after="0"/>
              <w:rPr>
                <w:color w:val="auto"/>
                <w:sz w:val="13"/>
                <w:szCs w:val="13"/>
              </w:rPr>
            </w:pPr>
          </w:p>
        </w:tc>
        <w:tc>
          <w:tcPr>
            <w:tcW w:w="1180" w:type="dxa"/>
            <w:tcBorders>
              <w:bottom w:val="single" w:sz="8" w:space="0" w:color="auto"/>
            </w:tcBorders>
            <w:shd w:val="clear" w:color="auto" w:fill="CCEEFF"/>
            <w:vAlign w:val="bottom"/>
          </w:tcPr>
          <w:p>
            <w:pPr>
              <w:spacing w:after="0"/>
              <w:ind w:right="82"/>
              <w:jc w:val="right"/>
              <w:rPr>
                <w:color w:val="auto"/>
                <w:sz w:val="20"/>
                <w:szCs w:val="20"/>
              </w:rPr>
            </w:pPr>
            <w:r>
              <w:rPr>
                <w:rFonts w:ascii="Calibri" w:eastAsia="Calibri" w:hAnsi="Calibri" w:cs="Calibri"/>
                <w:color w:val="auto"/>
                <w:sz w:val="12"/>
                <w:szCs w:val="12"/>
              </w:rPr>
              <w:t>3.6 %</w:t>
            </w:r>
          </w:p>
        </w:tc>
        <w:tc>
          <w:tcPr>
            <w:tcW w:w="520" w:type="dxa"/>
            <w:tcBorders>
              <w:bottom w:val="single" w:sz="8" w:space="0" w:color="auto"/>
            </w:tcBorders>
            <w:shd w:val="clear" w:color="auto" w:fill="CCEEFF"/>
            <w:vAlign w:val="bottom"/>
          </w:tcPr>
          <w:p>
            <w:pPr>
              <w:spacing w:after="0"/>
              <w:rPr>
                <w:color w:val="auto"/>
                <w:sz w:val="13"/>
                <w:szCs w:val="13"/>
              </w:rPr>
            </w:pPr>
          </w:p>
        </w:tc>
        <w:tc>
          <w:tcPr>
            <w:tcW w:w="1000" w:type="dxa"/>
            <w:gridSpan w:val="2"/>
            <w:tcBorders>
              <w:bottom w:val="single" w:sz="8" w:space="0" w:color="auto"/>
            </w:tcBorders>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1.5 %</w:t>
            </w:r>
          </w:p>
        </w:tc>
        <w:tc>
          <w:tcPr>
            <w:tcW w:w="1" w:type="dxa"/>
            <w:vAlign w:val="bottom"/>
          </w:tcPr>
          <w:p>
            <w:pPr>
              <w:spacing w:after="0"/>
              <w:rPr>
                <w:color w:val="auto"/>
                <w:sz w:val="1"/>
                <w:szCs w:val="1"/>
              </w:rPr>
            </w:pPr>
          </w:p>
        </w:tc>
      </w:tr>
      <w:tr>
        <w:tblPrEx>
          <w:tblInd w:w="0" w:type="dxa"/>
          <w:tblLayout w:type="fixed"/>
        </w:tblPrEx>
        <w:trPr>
          <w:trHeight w:val="275"/>
        </w:trPr>
        <w:tc>
          <w:tcPr>
            <w:tcW w:w="6600" w:type="dxa"/>
            <w:vAlign w:val="bottom"/>
          </w:tcPr>
          <w:p>
            <w:pPr>
              <w:spacing w:after="0"/>
              <w:ind w:left="280"/>
              <w:rPr>
                <w:color w:val="auto"/>
                <w:sz w:val="20"/>
                <w:szCs w:val="20"/>
              </w:rPr>
            </w:pPr>
            <w:r>
              <w:rPr>
                <w:rFonts w:ascii="Calibri" w:eastAsia="Calibri" w:hAnsi="Calibri" w:cs="Calibri"/>
                <w:color w:val="auto"/>
                <w:sz w:val="12"/>
                <w:szCs w:val="12"/>
              </w:rPr>
              <w:t>The following table presents supplementary cash fow informaton regarding the company's leases:</w:t>
            </w:r>
          </w:p>
        </w:tc>
        <w:tc>
          <w:tcPr>
            <w:tcW w:w="1120" w:type="dxa"/>
            <w:vAlign w:val="bottom"/>
          </w:tcPr>
          <w:p>
            <w:pPr>
              <w:spacing w:after="0"/>
              <w:rPr>
                <w:color w:val="auto"/>
                <w:sz w:val="23"/>
                <w:szCs w:val="23"/>
              </w:rPr>
            </w:pPr>
          </w:p>
        </w:tc>
        <w:tc>
          <w:tcPr>
            <w:tcW w:w="540" w:type="dxa"/>
            <w:vAlign w:val="bottom"/>
          </w:tcPr>
          <w:p>
            <w:pPr>
              <w:spacing w:after="0"/>
              <w:rPr>
                <w:color w:val="auto"/>
                <w:sz w:val="23"/>
                <w:szCs w:val="23"/>
              </w:rPr>
            </w:pPr>
          </w:p>
        </w:tc>
        <w:tc>
          <w:tcPr>
            <w:tcW w:w="340" w:type="dxa"/>
            <w:vAlign w:val="bottom"/>
          </w:tcPr>
          <w:p>
            <w:pPr>
              <w:spacing w:after="0"/>
              <w:rPr>
                <w:color w:val="auto"/>
                <w:sz w:val="23"/>
                <w:szCs w:val="23"/>
              </w:rPr>
            </w:pPr>
          </w:p>
        </w:tc>
        <w:tc>
          <w:tcPr>
            <w:tcW w:w="1180" w:type="dxa"/>
            <w:vAlign w:val="bottom"/>
          </w:tcPr>
          <w:p>
            <w:pPr>
              <w:spacing w:after="0"/>
              <w:rPr>
                <w:color w:val="auto"/>
                <w:sz w:val="23"/>
                <w:szCs w:val="23"/>
              </w:rPr>
            </w:pPr>
          </w:p>
        </w:tc>
        <w:tc>
          <w:tcPr>
            <w:tcW w:w="520" w:type="dxa"/>
            <w:vAlign w:val="bottom"/>
          </w:tcPr>
          <w:p>
            <w:pPr>
              <w:spacing w:after="0"/>
              <w:rPr>
                <w:color w:val="auto"/>
                <w:sz w:val="23"/>
                <w:szCs w:val="23"/>
              </w:rPr>
            </w:pPr>
          </w:p>
        </w:tc>
        <w:tc>
          <w:tcPr>
            <w:tcW w:w="980" w:type="dxa"/>
            <w:vAlign w:val="bottom"/>
          </w:tcPr>
          <w:p>
            <w:pPr>
              <w:spacing w:after="0"/>
              <w:rPr>
                <w:color w:val="auto"/>
                <w:sz w:val="23"/>
                <w:szCs w:val="23"/>
              </w:rPr>
            </w:pPr>
          </w:p>
        </w:tc>
        <w:tc>
          <w:tcPr>
            <w:tcW w:w="20" w:type="dxa"/>
            <w:vAlign w:val="bottom"/>
          </w:tcPr>
          <w:p>
            <w:pPr>
              <w:spacing w:after="0"/>
              <w:rPr>
                <w:color w:val="auto"/>
                <w:sz w:val="23"/>
                <w:szCs w:val="23"/>
              </w:rPr>
            </w:pPr>
          </w:p>
        </w:tc>
        <w:tc>
          <w:tcPr>
            <w:tcW w:w="1" w:type="dxa"/>
            <w:vAlign w:val="bottom"/>
          </w:tcPr>
          <w:p>
            <w:pPr>
              <w:spacing w:after="0"/>
              <w:rPr>
                <w:color w:val="auto"/>
                <w:sz w:val="1"/>
                <w:szCs w:val="1"/>
              </w:rPr>
            </w:pPr>
          </w:p>
        </w:tc>
      </w:tr>
      <w:tr>
        <w:tblPrEx>
          <w:tblInd w:w="0" w:type="dxa"/>
          <w:tblLayout w:type="fixed"/>
        </w:tblPrEx>
        <w:trPr>
          <w:trHeight w:val="138"/>
        </w:trPr>
        <w:tc>
          <w:tcPr>
            <w:tcW w:w="660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1120" w:type="dxa"/>
            <w:vAlign w:val="bottom"/>
          </w:tcPr>
          <w:p>
            <w:pPr>
              <w:spacing w:after="0"/>
              <w:ind w:right="47"/>
              <w:jc w:val="right"/>
              <w:rPr>
                <w:color w:val="auto"/>
                <w:sz w:val="20"/>
                <w:szCs w:val="20"/>
              </w:rPr>
            </w:pPr>
            <w:r>
              <w:rPr>
                <w:rFonts w:ascii="Calibri" w:eastAsia="Calibri" w:hAnsi="Calibri" w:cs="Calibri"/>
                <w:b/>
                <w:bCs/>
                <w:color w:val="auto"/>
                <w:sz w:val="10"/>
                <w:szCs w:val="10"/>
              </w:rPr>
              <w:t>2024</w:t>
            </w:r>
          </w:p>
        </w:tc>
        <w:tc>
          <w:tcPr>
            <w:tcW w:w="54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180" w:type="dxa"/>
            <w:vAlign w:val="bottom"/>
          </w:tcPr>
          <w:p>
            <w:pPr>
              <w:spacing w:after="0"/>
              <w:ind w:right="582"/>
              <w:jc w:val="right"/>
              <w:rPr>
                <w:color w:val="auto"/>
                <w:sz w:val="20"/>
                <w:szCs w:val="20"/>
              </w:rPr>
            </w:pPr>
            <w:r>
              <w:rPr>
                <w:rFonts w:ascii="Calibri" w:eastAsia="Calibri" w:hAnsi="Calibri" w:cs="Calibri"/>
                <w:b/>
                <w:bCs/>
                <w:color w:val="auto"/>
                <w:sz w:val="10"/>
                <w:szCs w:val="10"/>
              </w:rPr>
              <w:t>2023</w:t>
            </w:r>
          </w:p>
        </w:tc>
        <w:tc>
          <w:tcPr>
            <w:tcW w:w="520" w:type="dxa"/>
            <w:vAlign w:val="bottom"/>
          </w:tcPr>
          <w:p>
            <w:pPr>
              <w:spacing w:after="0"/>
              <w:rPr>
                <w:color w:val="auto"/>
                <w:sz w:val="12"/>
                <w:szCs w:val="12"/>
              </w:rPr>
            </w:pPr>
          </w:p>
        </w:tc>
        <w:tc>
          <w:tcPr>
            <w:tcW w:w="980" w:type="dxa"/>
            <w:vAlign w:val="bottom"/>
          </w:tcPr>
          <w:p>
            <w:pPr>
              <w:spacing w:after="0"/>
              <w:ind w:right="542"/>
              <w:jc w:val="right"/>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32"/>
        </w:trPr>
        <w:tc>
          <w:tcPr>
            <w:tcW w:w="66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54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520" w:type="dxa"/>
            <w:tcBorders>
              <w:bottom w:val="single" w:sz="8" w:space="0" w:color="auto"/>
            </w:tcBorders>
            <w:vAlign w:val="bottom"/>
          </w:tcPr>
          <w:p>
            <w:pPr>
              <w:spacing w:after="0"/>
              <w:rPr>
                <w:color w:val="auto"/>
                <w:sz w:val="2"/>
                <w:szCs w:val="2"/>
              </w:rPr>
            </w:pPr>
          </w:p>
        </w:tc>
        <w:tc>
          <w:tcPr>
            <w:tcW w:w="980" w:type="dxa"/>
            <w:tcBorders>
              <w:bottom w:val="single" w:sz="8" w:space="0" w:color="auto"/>
            </w:tcBorders>
            <w:vAlign w:val="bottom"/>
          </w:tcPr>
          <w:p>
            <w:pPr>
              <w:spacing w:after="0"/>
              <w:rPr>
                <w:color w:val="auto"/>
                <w:sz w:val="2"/>
                <w:szCs w:val="2"/>
              </w:rPr>
            </w:pPr>
          </w:p>
        </w:tc>
        <w:tc>
          <w:tcPr>
            <w:tcW w:w="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36"/>
        </w:trPr>
        <w:tc>
          <w:tcPr>
            <w:tcW w:w="6600" w:type="dxa"/>
            <w:vAlign w:val="bottom"/>
          </w:tcPr>
          <w:p>
            <w:pPr>
              <w:spacing w:after="0" w:line="137" w:lineRule="exact"/>
              <w:rPr>
                <w:color w:val="auto"/>
                <w:sz w:val="20"/>
                <w:szCs w:val="20"/>
              </w:rPr>
            </w:pPr>
            <w:r>
              <w:rPr>
                <w:rFonts w:ascii="Calibri" w:eastAsia="Calibri" w:hAnsi="Calibri" w:cs="Calibri"/>
                <w:color w:val="auto"/>
                <w:sz w:val="12"/>
                <w:szCs w:val="12"/>
              </w:rPr>
              <w:t>Cash paid for amounts included in the measurement of lease liabilites</w:t>
            </w:r>
          </w:p>
        </w:tc>
        <w:tc>
          <w:tcPr>
            <w:tcW w:w="1120" w:type="dxa"/>
            <w:vAlign w:val="bottom"/>
          </w:tcPr>
          <w:p>
            <w:pPr>
              <w:spacing w:after="0"/>
              <w:rPr>
                <w:color w:val="auto"/>
                <w:sz w:val="11"/>
                <w:szCs w:val="11"/>
              </w:rPr>
            </w:pPr>
          </w:p>
        </w:tc>
        <w:tc>
          <w:tcPr>
            <w:tcW w:w="540" w:type="dxa"/>
            <w:vAlign w:val="bottom"/>
          </w:tcPr>
          <w:p>
            <w:pPr>
              <w:spacing w:after="0"/>
              <w:rPr>
                <w:color w:val="auto"/>
                <w:sz w:val="11"/>
                <w:szCs w:val="11"/>
              </w:rPr>
            </w:pPr>
          </w:p>
        </w:tc>
        <w:tc>
          <w:tcPr>
            <w:tcW w:w="340" w:type="dxa"/>
            <w:vAlign w:val="bottom"/>
          </w:tcPr>
          <w:p>
            <w:pPr>
              <w:spacing w:after="0"/>
              <w:rPr>
                <w:color w:val="auto"/>
                <w:sz w:val="11"/>
                <w:szCs w:val="11"/>
              </w:rPr>
            </w:pPr>
          </w:p>
        </w:tc>
        <w:tc>
          <w:tcPr>
            <w:tcW w:w="1180" w:type="dxa"/>
            <w:vAlign w:val="bottom"/>
          </w:tcPr>
          <w:p>
            <w:pPr>
              <w:spacing w:after="0"/>
              <w:rPr>
                <w:color w:val="auto"/>
                <w:sz w:val="11"/>
                <w:szCs w:val="11"/>
              </w:rPr>
            </w:pPr>
          </w:p>
        </w:tc>
        <w:tc>
          <w:tcPr>
            <w:tcW w:w="520" w:type="dxa"/>
            <w:vAlign w:val="bottom"/>
          </w:tcPr>
          <w:p>
            <w:pPr>
              <w:spacing w:after="0"/>
              <w:rPr>
                <w:color w:val="auto"/>
                <w:sz w:val="11"/>
                <w:szCs w:val="11"/>
              </w:rPr>
            </w:pPr>
          </w:p>
        </w:tc>
        <w:tc>
          <w:tcPr>
            <w:tcW w:w="980" w:type="dxa"/>
            <w:vAlign w:val="bottom"/>
          </w:tcPr>
          <w:p>
            <w:pPr>
              <w:spacing w:after="0"/>
              <w:rPr>
                <w:color w:val="auto"/>
                <w:sz w:val="11"/>
                <w:szCs w:val="11"/>
              </w:rPr>
            </w:pPr>
          </w:p>
        </w:tc>
        <w:tc>
          <w:tcPr>
            <w:tcW w:w="2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159"/>
        </w:trPr>
        <w:tc>
          <w:tcPr>
            <w:tcW w:w="6600" w:type="dxa"/>
            <w:shd w:val="clear" w:color="auto" w:fill="CCEEFF"/>
            <w:vAlign w:val="bottom"/>
          </w:tcPr>
          <w:p>
            <w:pPr>
              <w:spacing w:after="0"/>
              <w:ind w:left="140"/>
              <w:rPr>
                <w:color w:val="auto"/>
                <w:sz w:val="20"/>
                <w:szCs w:val="20"/>
              </w:rPr>
            </w:pPr>
            <w:r>
              <w:rPr>
                <w:rFonts w:ascii="Calibri" w:eastAsia="Calibri" w:hAnsi="Calibri" w:cs="Calibri"/>
                <w:color w:val="auto"/>
                <w:sz w:val="12"/>
                <w:szCs w:val="12"/>
              </w:rPr>
              <w:t>Operatng cash fows from operatng leases</w:t>
            </w:r>
          </w:p>
        </w:tc>
        <w:tc>
          <w:tcPr>
            <w:tcW w:w="1120" w:type="dxa"/>
            <w:shd w:val="clear" w:color="auto" w:fill="CCEEFF"/>
            <w:vAlign w:val="bottom"/>
          </w:tcPr>
          <w:p>
            <w:pPr>
              <w:spacing w:after="0"/>
              <w:ind w:right="787"/>
              <w:jc w:val="right"/>
              <w:rPr>
                <w:color w:val="auto"/>
                <w:sz w:val="20"/>
                <w:szCs w:val="20"/>
              </w:rPr>
            </w:pPr>
            <w:r>
              <w:rPr>
                <w:rFonts w:ascii="Calibri" w:eastAsia="Calibri" w:hAnsi="Calibri" w:cs="Calibri"/>
                <w:color w:val="auto"/>
                <w:sz w:val="12"/>
                <w:szCs w:val="12"/>
              </w:rPr>
              <w:t>$</w:t>
            </w:r>
          </w:p>
        </w:tc>
        <w:tc>
          <w:tcPr>
            <w:tcW w:w="5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204</w:t>
            </w:r>
          </w:p>
        </w:tc>
        <w:tc>
          <w:tcPr>
            <w:tcW w:w="340" w:type="dxa"/>
            <w:shd w:val="clear" w:color="auto" w:fill="CCEEFF"/>
            <w:vAlign w:val="bottom"/>
          </w:tcPr>
          <w:p>
            <w:pPr>
              <w:spacing w:after="0"/>
              <w:ind w:right="140"/>
              <w:jc w:val="right"/>
              <w:rPr>
                <w:color w:val="auto"/>
                <w:sz w:val="20"/>
                <w:szCs w:val="20"/>
              </w:rPr>
            </w:pPr>
            <w:r>
              <w:rPr>
                <w:rFonts w:ascii="Calibri" w:eastAsia="Calibri" w:hAnsi="Calibri" w:cs="Calibri"/>
                <w:color w:val="auto"/>
                <w:sz w:val="12"/>
                <w:szCs w:val="12"/>
              </w:rPr>
              <w:t>$</w:t>
            </w:r>
          </w:p>
        </w:tc>
        <w:tc>
          <w:tcPr>
            <w:tcW w:w="118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214</w:t>
            </w:r>
          </w:p>
        </w:tc>
        <w:tc>
          <w:tcPr>
            <w:tcW w:w="520" w:type="dxa"/>
            <w:shd w:val="clear" w:color="auto" w:fill="CCEEFF"/>
            <w:vAlign w:val="bottom"/>
          </w:tcPr>
          <w:p>
            <w:pPr>
              <w:spacing w:after="0"/>
              <w:ind w:right="320"/>
              <w:jc w:val="right"/>
              <w:rPr>
                <w:color w:val="auto"/>
                <w:sz w:val="20"/>
                <w:szCs w:val="20"/>
              </w:rPr>
            </w:pPr>
            <w:r>
              <w:rPr>
                <w:rFonts w:ascii="Calibri" w:eastAsia="Calibri" w:hAnsi="Calibri" w:cs="Calibri"/>
                <w:color w:val="auto"/>
                <w:sz w:val="12"/>
                <w:szCs w:val="12"/>
              </w:rPr>
              <w:t>$</w:t>
            </w:r>
          </w:p>
        </w:tc>
        <w:tc>
          <w:tcPr>
            <w:tcW w:w="9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212</w:t>
            </w:r>
          </w:p>
        </w:tc>
        <w:tc>
          <w:tcPr>
            <w:tcW w:w="20" w:type="dxa"/>
            <w:shd w:val="clear" w:color="auto" w:fill="CCEEFF"/>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7"/>
        </w:trPr>
        <w:tc>
          <w:tcPr>
            <w:tcW w:w="66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Right-of-use assets obtained in exchange for new operatng lease liabilites</w:t>
            </w:r>
          </w:p>
        </w:tc>
        <w:tc>
          <w:tcPr>
            <w:tcW w:w="1120" w:type="dxa"/>
            <w:tcBorders>
              <w:bottom w:val="single" w:sz="8" w:space="0" w:color="auto"/>
            </w:tcBorders>
            <w:vAlign w:val="bottom"/>
          </w:tcPr>
          <w:p>
            <w:pPr>
              <w:spacing w:after="0"/>
              <w:rPr>
                <w:color w:val="auto"/>
                <w:sz w:val="12"/>
                <w:szCs w:val="12"/>
              </w:rPr>
            </w:pPr>
          </w:p>
        </w:tc>
        <w:tc>
          <w:tcPr>
            <w:tcW w:w="5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159</w:t>
            </w:r>
          </w:p>
        </w:tc>
        <w:tc>
          <w:tcPr>
            <w:tcW w:w="340" w:type="dxa"/>
            <w:tcBorders>
              <w:bottom w:val="single" w:sz="8" w:space="0" w:color="auto"/>
            </w:tcBorders>
            <w:vAlign w:val="bottom"/>
          </w:tcPr>
          <w:p>
            <w:pPr>
              <w:spacing w:after="0"/>
              <w:rPr>
                <w:color w:val="auto"/>
                <w:sz w:val="12"/>
                <w:szCs w:val="12"/>
              </w:rPr>
            </w:pPr>
          </w:p>
        </w:tc>
        <w:tc>
          <w:tcPr>
            <w:tcW w:w="118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173</w:t>
            </w:r>
          </w:p>
        </w:tc>
        <w:tc>
          <w:tcPr>
            <w:tcW w:w="52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235</w:t>
            </w:r>
          </w:p>
        </w:tc>
        <w:tc>
          <w:tcPr>
            <w:tcW w:w="20" w:type="dxa"/>
            <w:tcBorders>
              <w:bottom w:val="single" w:sz="8" w:space="0" w:color="auto"/>
            </w:tcBorders>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275"/>
        </w:trPr>
        <w:tc>
          <w:tcPr>
            <w:tcW w:w="6600" w:type="dxa"/>
            <w:vAlign w:val="bottom"/>
          </w:tcPr>
          <w:p>
            <w:pPr>
              <w:spacing w:after="0"/>
              <w:ind w:left="280"/>
              <w:rPr>
                <w:color w:val="auto"/>
                <w:sz w:val="20"/>
                <w:szCs w:val="20"/>
              </w:rPr>
            </w:pPr>
            <w:r>
              <w:rPr>
                <w:rFonts w:ascii="Calibri" w:eastAsia="Calibri" w:hAnsi="Calibri" w:cs="Calibri"/>
                <w:color w:val="auto"/>
                <w:sz w:val="12"/>
                <w:szCs w:val="12"/>
              </w:rPr>
              <w:t>Finance lease cash fows were insignifcant in 2024, 2023 and 2022.</w:t>
            </w:r>
          </w:p>
        </w:tc>
        <w:tc>
          <w:tcPr>
            <w:tcW w:w="1120" w:type="dxa"/>
            <w:vAlign w:val="bottom"/>
          </w:tcPr>
          <w:p>
            <w:pPr>
              <w:spacing w:after="0"/>
              <w:rPr>
                <w:color w:val="auto"/>
                <w:sz w:val="23"/>
                <w:szCs w:val="23"/>
              </w:rPr>
            </w:pPr>
          </w:p>
        </w:tc>
        <w:tc>
          <w:tcPr>
            <w:tcW w:w="540" w:type="dxa"/>
            <w:vAlign w:val="bottom"/>
          </w:tcPr>
          <w:p>
            <w:pPr>
              <w:spacing w:after="0"/>
              <w:rPr>
                <w:color w:val="auto"/>
                <w:sz w:val="23"/>
                <w:szCs w:val="23"/>
              </w:rPr>
            </w:pPr>
          </w:p>
        </w:tc>
        <w:tc>
          <w:tcPr>
            <w:tcW w:w="340" w:type="dxa"/>
            <w:vAlign w:val="bottom"/>
          </w:tcPr>
          <w:p>
            <w:pPr>
              <w:spacing w:after="0"/>
              <w:rPr>
                <w:color w:val="auto"/>
                <w:sz w:val="23"/>
                <w:szCs w:val="23"/>
              </w:rPr>
            </w:pPr>
          </w:p>
        </w:tc>
        <w:tc>
          <w:tcPr>
            <w:tcW w:w="1180" w:type="dxa"/>
            <w:vAlign w:val="bottom"/>
          </w:tcPr>
          <w:p>
            <w:pPr>
              <w:spacing w:after="0"/>
              <w:rPr>
                <w:color w:val="auto"/>
                <w:sz w:val="23"/>
                <w:szCs w:val="23"/>
              </w:rPr>
            </w:pPr>
          </w:p>
        </w:tc>
        <w:tc>
          <w:tcPr>
            <w:tcW w:w="520" w:type="dxa"/>
            <w:vAlign w:val="bottom"/>
          </w:tcPr>
          <w:p>
            <w:pPr>
              <w:spacing w:after="0"/>
              <w:rPr>
                <w:color w:val="auto"/>
                <w:sz w:val="23"/>
                <w:szCs w:val="23"/>
              </w:rPr>
            </w:pPr>
          </w:p>
        </w:tc>
        <w:tc>
          <w:tcPr>
            <w:tcW w:w="980" w:type="dxa"/>
            <w:vAlign w:val="bottom"/>
          </w:tcPr>
          <w:p>
            <w:pPr>
              <w:spacing w:after="0"/>
              <w:rPr>
                <w:color w:val="auto"/>
                <w:sz w:val="23"/>
                <w:szCs w:val="23"/>
              </w:rPr>
            </w:pPr>
          </w:p>
        </w:tc>
        <w:tc>
          <w:tcPr>
            <w:tcW w:w="20" w:type="dxa"/>
            <w:vAlign w:val="bottom"/>
          </w:tcPr>
          <w:p>
            <w:pPr>
              <w:spacing w:after="0"/>
              <w:rPr>
                <w:color w:val="auto"/>
                <w:sz w:val="23"/>
                <w:szCs w:val="23"/>
              </w:rPr>
            </w:pPr>
          </w:p>
        </w:tc>
        <w:tc>
          <w:tcPr>
            <w:tcW w:w="1" w:type="dxa"/>
            <w:vAlign w:val="bottom"/>
          </w:tcPr>
          <w:p>
            <w:pPr>
              <w:spacing w:after="0"/>
              <w:rPr>
                <w:color w:val="auto"/>
                <w:sz w:val="1"/>
                <w:szCs w:val="1"/>
              </w:rPr>
            </w:pPr>
          </w:p>
        </w:tc>
      </w:tr>
      <w:tr>
        <w:tblPrEx>
          <w:tblInd w:w="0" w:type="dxa"/>
          <w:tblLayout w:type="fixed"/>
        </w:tblPrEx>
        <w:trPr>
          <w:trHeight w:val="243"/>
        </w:trPr>
        <w:tc>
          <w:tcPr>
            <w:tcW w:w="6600" w:type="dxa"/>
            <w:vAlign w:val="bottom"/>
          </w:tcPr>
          <w:p>
            <w:pPr>
              <w:spacing w:after="0"/>
              <w:ind w:left="280"/>
              <w:rPr>
                <w:color w:val="auto"/>
                <w:sz w:val="20"/>
                <w:szCs w:val="20"/>
              </w:rPr>
            </w:pPr>
            <w:r>
              <w:rPr>
                <w:rFonts w:ascii="Calibri" w:eastAsia="Calibri" w:hAnsi="Calibri" w:cs="Calibri"/>
                <w:color w:val="auto"/>
                <w:sz w:val="12"/>
                <w:szCs w:val="12"/>
              </w:rPr>
              <w:t>The following table summarizes the future maturites of AbbVie's operatng and fnance lease liabilites as of December 31, 2024:</w:t>
            </w:r>
          </w:p>
        </w:tc>
        <w:tc>
          <w:tcPr>
            <w:tcW w:w="1120" w:type="dxa"/>
            <w:vAlign w:val="bottom"/>
          </w:tcPr>
          <w:p>
            <w:pPr>
              <w:spacing w:after="0"/>
              <w:rPr>
                <w:color w:val="auto"/>
                <w:sz w:val="21"/>
                <w:szCs w:val="21"/>
              </w:rPr>
            </w:pPr>
          </w:p>
        </w:tc>
        <w:tc>
          <w:tcPr>
            <w:tcW w:w="540" w:type="dxa"/>
            <w:vAlign w:val="bottom"/>
          </w:tcPr>
          <w:p>
            <w:pPr>
              <w:spacing w:after="0"/>
              <w:rPr>
                <w:color w:val="auto"/>
                <w:sz w:val="21"/>
                <w:szCs w:val="21"/>
              </w:rPr>
            </w:pPr>
          </w:p>
        </w:tc>
        <w:tc>
          <w:tcPr>
            <w:tcW w:w="340" w:type="dxa"/>
            <w:vAlign w:val="bottom"/>
          </w:tcPr>
          <w:p>
            <w:pPr>
              <w:spacing w:after="0"/>
              <w:rPr>
                <w:color w:val="auto"/>
                <w:sz w:val="21"/>
                <w:szCs w:val="21"/>
              </w:rPr>
            </w:pPr>
          </w:p>
        </w:tc>
        <w:tc>
          <w:tcPr>
            <w:tcW w:w="1180" w:type="dxa"/>
            <w:vAlign w:val="bottom"/>
          </w:tcPr>
          <w:p>
            <w:pPr>
              <w:spacing w:after="0"/>
              <w:rPr>
                <w:color w:val="auto"/>
                <w:sz w:val="21"/>
                <w:szCs w:val="21"/>
              </w:rPr>
            </w:pPr>
          </w:p>
        </w:tc>
        <w:tc>
          <w:tcPr>
            <w:tcW w:w="520" w:type="dxa"/>
            <w:vAlign w:val="bottom"/>
          </w:tcPr>
          <w:p>
            <w:pPr>
              <w:spacing w:after="0"/>
              <w:rPr>
                <w:color w:val="auto"/>
                <w:sz w:val="21"/>
                <w:szCs w:val="21"/>
              </w:rPr>
            </w:pPr>
          </w:p>
        </w:tc>
        <w:tc>
          <w:tcPr>
            <w:tcW w:w="980" w:type="dxa"/>
            <w:vAlign w:val="bottom"/>
          </w:tcPr>
          <w:p>
            <w:pPr>
              <w:spacing w:after="0"/>
              <w:rPr>
                <w:color w:val="auto"/>
                <w:sz w:val="21"/>
                <w:szCs w:val="21"/>
              </w:rPr>
            </w:pPr>
          </w:p>
        </w:tc>
        <w:tc>
          <w:tcPr>
            <w:tcW w:w="20" w:type="dxa"/>
            <w:vAlign w:val="bottom"/>
          </w:tcPr>
          <w:p>
            <w:pPr>
              <w:spacing w:after="0"/>
              <w:rPr>
                <w:color w:val="auto"/>
                <w:sz w:val="21"/>
                <w:szCs w:val="21"/>
              </w:rPr>
            </w:pPr>
          </w:p>
        </w:tc>
        <w:tc>
          <w:tcPr>
            <w:tcW w:w="1" w:type="dxa"/>
            <w:vAlign w:val="bottom"/>
          </w:tcPr>
          <w:p>
            <w:pPr>
              <w:spacing w:after="0"/>
              <w:rPr>
                <w:color w:val="auto"/>
                <w:sz w:val="1"/>
                <w:szCs w:val="1"/>
              </w:rPr>
            </w:pPr>
          </w:p>
        </w:tc>
      </w:tr>
      <w:tr>
        <w:tblPrEx>
          <w:tblInd w:w="0" w:type="dxa"/>
          <w:tblLayout w:type="fixed"/>
        </w:tblPrEx>
        <w:trPr>
          <w:trHeight w:val="125"/>
        </w:trPr>
        <w:tc>
          <w:tcPr>
            <w:tcW w:w="6600" w:type="dxa"/>
            <w:vMerge w:val="restart"/>
            <w:vAlign w:val="bottom"/>
          </w:tcPr>
          <w:p>
            <w:pPr>
              <w:spacing w:after="0"/>
              <w:rPr>
                <w:color w:val="auto"/>
                <w:sz w:val="20"/>
                <w:szCs w:val="20"/>
              </w:rPr>
            </w:pPr>
            <w:r>
              <w:rPr>
                <w:rFonts w:ascii="Calibri" w:eastAsia="Calibri" w:hAnsi="Calibri" w:cs="Calibri"/>
                <w:b/>
                <w:bCs/>
                <w:color w:val="auto"/>
                <w:sz w:val="10"/>
                <w:szCs w:val="10"/>
              </w:rPr>
              <w:t>(in millions)</w:t>
            </w:r>
          </w:p>
        </w:tc>
        <w:tc>
          <w:tcPr>
            <w:tcW w:w="1120" w:type="dxa"/>
            <w:vAlign w:val="bottom"/>
          </w:tcPr>
          <w:p>
            <w:pPr>
              <w:spacing w:after="0"/>
              <w:jc w:val="right"/>
              <w:rPr>
                <w:color w:val="auto"/>
                <w:sz w:val="20"/>
                <w:szCs w:val="20"/>
              </w:rPr>
            </w:pPr>
            <w:r>
              <w:rPr>
                <w:rFonts w:ascii="Calibri" w:eastAsia="Calibri" w:hAnsi="Calibri" w:cs="Calibri"/>
                <w:b/>
                <w:bCs/>
                <w:color w:val="auto"/>
                <w:sz w:val="10"/>
                <w:szCs w:val="10"/>
              </w:rPr>
              <w:t>Operatng</w:t>
            </w:r>
          </w:p>
        </w:tc>
        <w:tc>
          <w:tcPr>
            <w:tcW w:w="54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180" w:type="dxa"/>
            <w:vAlign w:val="bottom"/>
          </w:tcPr>
          <w:p>
            <w:pPr>
              <w:spacing w:after="0"/>
              <w:ind w:right="542"/>
              <w:jc w:val="right"/>
              <w:rPr>
                <w:color w:val="auto"/>
                <w:sz w:val="20"/>
                <w:szCs w:val="20"/>
              </w:rPr>
            </w:pPr>
            <w:r>
              <w:rPr>
                <w:rFonts w:ascii="Calibri" w:eastAsia="Calibri" w:hAnsi="Calibri" w:cs="Calibri"/>
                <w:b/>
                <w:bCs/>
                <w:color w:val="auto"/>
                <w:sz w:val="10"/>
                <w:szCs w:val="10"/>
              </w:rPr>
              <w:t>Finance</w:t>
            </w:r>
          </w:p>
        </w:tc>
        <w:tc>
          <w:tcPr>
            <w:tcW w:w="520" w:type="dxa"/>
            <w:vAlign w:val="bottom"/>
          </w:tcPr>
          <w:p>
            <w:pPr>
              <w:spacing w:after="0"/>
              <w:rPr>
                <w:color w:val="auto"/>
                <w:sz w:val="10"/>
                <w:szCs w:val="10"/>
              </w:rPr>
            </w:pPr>
          </w:p>
        </w:tc>
        <w:tc>
          <w:tcPr>
            <w:tcW w:w="1000" w:type="dxa"/>
            <w:gridSpan w:val="2"/>
            <w:vMerge w:val="restart"/>
            <w:vAlign w:val="bottom"/>
          </w:tcPr>
          <w:p>
            <w:pPr>
              <w:spacing w:after="0"/>
              <w:ind w:left="120"/>
              <w:rPr>
                <w:color w:val="auto"/>
                <w:sz w:val="20"/>
                <w:szCs w:val="20"/>
              </w:rPr>
            </w:pPr>
            <w:r>
              <w:rPr>
                <w:rFonts w:ascii="Calibri" w:eastAsia="Calibri" w:hAnsi="Calibri" w:cs="Calibri"/>
                <w:b/>
                <w:bCs/>
                <w:color w:val="auto"/>
                <w:sz w:val="10"/>
                <w:szCs w:val="10"/>
              </w:rPr>
              <w:t>Total</w:t>
            </w:r>
            <w:r>
              <w:rPr>
                <w:rFonts w:ascii="Calibri" w:eastAsia="Calibri" w:hAnsi="Calibri" w:cs="Calibri"/>
                <w:b/>
                <w:bCs/>
                <w:color w:val="auto"/>
                <w:sz w:val="12"/>
                <w:szCs w:val="12"/>
                <w:vertAlign w:val="superscript"/>
              </w:rPr>
              <w:t>(a)</w:t>
            </w:r>
          </w:p>
        </w:tc>
        <w:tc>
          <w:tcPr>
            <w:tcW w:w="1" w:type="dxa"/>
            <w:vAlign w:val="bottom"/>
          </w:tcPr>
          <w:p>
            <w:pPr>
              <w:spacing w:after="0"/>
              <w:rPr>
                <w:color w:val="auto"/>
                <w:sz w:val="1"/>
                <w:szCs w:val="1"/>
              </w:rPr>
            </w:pPr>
          </w:p>
        </w:tc>
      </w:tr>
      <w:tr>
        <w:tblPrEx>
          <w:tblInd w:w="0" w:type="dxa"/>
          <w:tblLayout w:type="fixed"/>
        </w:tblPrEx>
        <w:trPr>
          <w:trHeight w:val="132"/>
        </w:trPr>
        <w:tc>
          <w:tcPr>
            <w:tcW w:w="6600" w:type="dxa"/>
            <w:vMerge/>
            <w:vAlign w:val="bottom"/>
          </w:tcPr>
          <w:p>
            <w:pPr>
              <w:spacing w:after="0"/>
              <w:rPr>
                <w:color w:val="auto"/>
                <w:sz w:val="11"/>
                <w:szCs w:val="11"/>
              </w:rPr>
            </w:pPr>
          </w:p>
        </w:tc>
        <w:tc>
          <w:tcPr>
            <w:tcW w:w="1120" w:type="dxa"/>
            <w:vAlign w:val="bottom"/>
          </w:tcPr>
          <w:p>
            <w:pPr>
              <w:spacing w:after="0" w:line="112" w:lineRule="exact"/>
              <w:ind w:right="27"/>
              <w:jc w:val="right"/>
              <w:rPr>
                <w:color w:val="auto"/>
                <w:sz w:val="20"/>
                <w:szCs w:val="20"/>
              </w:rPr>
            </w:pPr>
            <w:r>
              <w:rPr>
                <w:rFonts w:ascii="Calibri" w:eastAsia="Calibri" w:hAnsi="Calibri" w:cs="Calibri"/>
                <w:b/>
                <w:bCs/>
                <w:color w:val="auto"/>
                <w:sz w:val="10"/>
                <w:szCs w:val="10"/>
              </w:rPr>
              <w:t>leases</w:t>
            </w:r>
          </w:p>
        </w:tc>
        <w:tc>
          <w:tcPr>
            <w:tcW w:w="540" w:type="dxa"/>
            <w:vAlign w:val="bottom"/>
          </w:tcPr>
          <w:p>
            <w:pPr>
              <w:spacing w:after="0"/>
              <w:rPr>
                <w:color w:val="auto"/>
                <w:sz w:val="11"/>
                <w:szCs w:val="11"/>
              </w:rPr>
            </w:pPr>
          </w:p>
        </w:tc>
        <w:tc>
          <w:tcPr>
            <w:tcW w:w="340" w:type="dxa"/>
            <w:vAlign w:val="bottom"/>
          </w:tcPr>
          <w:p>
            <w:pPr>
              <w:spacing w:after="0"/>
              <w:rPr>
                <w:color w:val="auto"/>
                <w:sz w:val="11"/>
                <w:szCs w:val="11"/>
              </w:rPr>
            </w:pPr>
          </w:p>
        </w:tc>
        <w:tc>
          <w:tcPr>
            <w:tcW w:w="1180" w:type="dxa"/>
            <w:vAlign w:val="bottom"/>
          </w:tcPr>
          <w:p>
            <w:pPr>
              <w:spacing w:after="0" w:line="112" w:lineRule="exact"/>
              <w:ind w:right="562"/>
              <w:jc w:val="right"/>
              <w:rPr>
                <w:color w:val="auto"/>
                <w:sz w:val="20"/>
                <w:szCs w:val="20"/>
              </w:rPr>
            </w:pPr>
            <w:r>
              <w:rPr>
                <w:rFonts w:ascii="Calibri" w:eastAsia="Calibri" w:hAnsi="Calibri" w:cs="Calibri"/>
                <w:b/>
                <w:bCs/>
                <w:color w:val="auto"/>
                <w:sz w:val="10"/>
                <w:szCs w:val="10"/>
              </w:rPr>
              <w:t>leases</w:t>
            </w:r>
          </w:p>
        </w:tc>
        <w:tc>
          <w:tcPr>
            <w:tcW w:w="520" w:type="dxa"/>
            <w:vAlign w:val="bottom"/>
          </w:tcPr>
          <w:p>
            <w:pPr>
              <w:spacing w:after="0"/>
              <w:rPr>
                <w:color w:val="auto"/>
                <w:sz w:val="11"/>
                <w:szCs w:val="11"/>
              </w:rPr>
            </w:pPr>
          </w:p>
        </w:tc>
        <w:tc>
          <w:tcPr>
            <w:tcW w:w="1000" w:type="dxa"/>
            <w:gridSpan w:val="2"/>
            <w:vMerge/>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145"/>
        </w:trPr>
        <w:tc>
          <w:tcPr>
            <w:tcW w:w="6600" w:type="dxa"/>
            <w:tcBorders>
              <w:top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2025</w:t>
            </w:r>
          </w:p>
        </w:tc>
        <w:tc>
          <w:tcPr>
            <w:tcW w:w="1120" w:type="dxa"/>
            <w:tcBorders>
              <w:top w:val="single" w:sz="8" w:space="0" w:color="auto"/>
            </w:tcBorders>
            <w:shd w:val="clear" w:color="auto" w:fill="CCEEFF"/>
            <w:vAlign w:val="bottom"/>
          </w:tcPr>
          <w:p>
            <w:pPr>
              <w:spacing w:after="0" w:line="142" w:lineRule="exact"/>
              <w:ind w:right="807"/>
              <w:jc w:val="right"/>
              <w:rPr>
                <w:color w:val="auto"/>
                <w:sz w:val="20"/>
                <w:szCs w:val="20"/>
              </w:rPr>
            </w:pPr>
            <w:r>
              <w:rPr>
                <w:rFonts w:ascii="Calibri" w:eastAsia="Calibri" w:hAnsi="Calibri" w:cs="Calibri"/>
                <w:color w:val="auto"/>
                <w:sz w:val="12"/>
                <w:szCs w:val="12"/>
              </w:rPr>
              <w:t>$</w:t>
            </w:r>
          </w:p>
        </w:tc>
        <w:tc>
          <w:tcPr>
            <w:tcW w:w="540" w:type="dxa"/>
            <w:tcBorders>
              <w:top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204</w:t>
            </w:r>
          </w:p>
        </w:tc>
        <w:tc>
          <w:tcPr>
            <w:tcW w:w="340" w:type="dxa"/>
            <w:tcBorders>
              <w:top w:val="single" w:sz="8" w:space="0" w:color="auto"/>
            </w:tcBorders>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180" w:type="dxa"/>
            <w:tcBorders>
              <w:top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18</w:t>
            </w:r>
          </w:p>
        </w:tc>
        <w:tc>
          <w:tcPr>
            <w:tcW w:w="520" w:type="dxa"/>
            <w:tcBorders>
              <w:top w:val="single" w:sz="8" w:space="0" w:color="auto"/>
            </w:tcBorders>
            <w:shd w:val="clear" w:color="auto" w:fill="CCEEFF"/>
            <w:vAlign w:val="bottom"/>
          </w:tcPr>
          <w:p>
            <w:pPr>
              <w:spacing w:after="0" w:line="142" w:lineRule="exact"/>
              <w:ind w:right="320"/>
              <w:jc w:val="right"/>
              <w:rPr>
                <w:color w:val="auto"/>
                <w:sz w:val="20"/>
                <w:szCs w:val="20"/>
              </w:rPr>
            </w:pPr>
            <w:r>
              <w:rPr>
                <w:rFonts w:ascii="Calibri" w:eastAsia="Calibri" w:hAnsi="Calibri" w:cs="Calibri"/>
                <w:color w:val="auto"/>
                <w:sz w:val="12"/>
                <w:szCs w:val="12"/>
              </w:rPr>
              <w:t>$</w:t>
            </w:r>
          </w:p>
        </w:tc>
        <w:tc>
          <w:tcPr>
            <w:tcW w:w="980" w:type="dxa"/>
            <w:tcBorders>
              <w:top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222</w:t>
            </w:r>
          </w:p>
        </w:tc>
        <w:tc>
          <w:tcPr>
            <w:tcW w:w="2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47"/>
        </w:trPr>
        <w:tc>
          <w:tcPr>
            <w:tcW w:w="6600" w:type="dxa"/>
            <w:vAlign w:val="bottom"/>
          </w:tcPr>
          <w:p>
            <w:pPr>
              <w:spacing w:after="0" w:line="142" w:lineRule="exact"/>
              <w:rPr>
                <w:color w:val="auto"/>
                <w:sz w:val="20"/>
                <w:szCs w:val="20"/>
              </w:rPr>
            </w:pPr>
            <w:r>
              <w:rPr>
                <w:rFonts w:ascii="Calibri" w:eastAsia="Calibri" w:hAnsi="Calibri" w:cs="Calibri"/>
                <w:color w:val="auto"/>
                <w:sz w:val="12"/>
                <w:szCs w:val="12"/>
              </w:rPr>
              <w:t>2026</w:t>
            </w:r>
          </w:p>
        </w:tc>
        <w:tc>
          <w:tcPr>
            <w:tcW w:w="1120" w:type="dxa"/>
            <w:vAlign w:val="bottom"/>
          </w:tcPr>
          <w:p>
            <w:pPr>
              <w:spacing w:after="0"/>
              <w:rPr>
                <w:color w:val="auto"/>
                <w:sz w:val="12"/>
                <w:szCs w:val="12"/>
              </w:rPr>
            </w:pPr>
          </w:p>
        </w:tc>
        <w:tc>
          <w:tcPr>
            <w:tcW w:w="54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182</w:t>
            </w:r>
          </w:p>
        </w:tc>
        <w:tc>
          <w:tcPr>
            <w:tcW w:w="340" w:type="dxa"/>
            <w:vAlign w:val="bottom"/>
          </w:tcPr>
          <w:p>
            <w:pPr>
              <w:spacing w:after="0"/>
              <w:rPr>
                <w:color w:val="auto"/>
                <w:sz w:val="12"/>
                <w:szCs w:val="12"/>
              </w:rPr>
            </w:pPr>
          </w:p>
        </w:tc>
        <w:tc>
          <w:tcPr>
            <w:tcW w:w="118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15</w:t>
            </w:r>
          </w:p>
        </w:tc>
        <w:tc>
          <w:tcPr>
            <w:tcW w:w="520" w:type="dxa"/>
            <w:vAlign w:val="bottom"/>
          </w:tcPr>
          <w:p>
            <w:pPr>
              <w:spacing w:after="0"/>
              <w:rPr>
                <w:color w:val="auto"/>
                <w:sz w:val="12"/>
                <w:szCs w:val="12"/>
              </w:rPr>
            </w:pPr>
          </w:p>
        </w:tc>
        <w:tc>
          <w:tcPr>
            <w:tcW w:w="98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197</w:t>
            </w:r>
          </w:p>
        </w:tc>
        <w:tc>
          <w:tcPr>
            <w:tcW w:w="2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59"/>
        </w:trPr>
        <w:tc>
          <w:tcPr>
            <w:tcW w:w="6600" w:type="dxa"/>
            <w:shd w:val="clear" w:color="auto" w:fill="CCEEFF"/>
            <w:vAlign w:val="bottom"/>
          </w:tcPr>
          <w:p>
            <w:pPr>
              <w:spacing w:after="0"/>
              <w:rPr>
                <w:color w:val="auto"/>
                <w:sz w:val="20"/>
                <w:szCs w:val="20"/>
              </w:rPr>
            </w:pPr>
            <w:r>
              <w:rPr>
                <w:rFonts w:ascii="Calibri" w:eastAsia="Calibri" w:hAnsi="Calibri" w:cs="Calibri"/>
                <w:color w:val="auto"/>
                <w:sz w:val="12"/>
                <w:szCs w:val="12"/>
              </w:rPr>
              <w:t>2027</w:t>
            </w:r>
          </w:p>
        </w:tc>
        <w:tc>
          <w:tcPr>
            <w:tcW w:w="1120" w:type="dxa"/>
            <w:shd w:val="clear" w:color="auto" w:fill="CCEEFF"/>
            <w:vAlign w:val="bottom"/>
          </w:tcPr>
          <w:p>
            <w:pPr>
              <w:spacing w:after="0"/>
              <w:rPr>
                <w:color w:val="auto"/>
                <w:sz w:val="13"/>
                <w:szCs w:val="13"/>
              </w:rPr>
            </w:pPr>
          </w:p>
        </w:tc>
        <w:tc>
          <w:tcPr>
            <w:tcW w:w="54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145</w:t>
            </w:r>
          </w:p>
        </w:tc>
        <w:tc>
          <w:tcPr>
            <w:tcW w:w="3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4</w:t>
            </w:r>
          </w:p>
        </w:tc>
        <w:tc>
          <w:tcPr>
            <w:tcW w:w="520" w:type="dxa"/>
            <w:shd w:val="clear" w:color="auto" w:fill="CCEEFF"/>
            <w:vAlign w:val="bottom"/>
          </w:tcPr>
          <w:p>
            <w:pPr>
              <w:spacing w:after="0"/>
              <w:rPr>
                <w:color w:val="auto"/>
                <w:sz w:val="13"/>
                <w:szCs w:val="13"/>
              </w:rPr>
            </w:pPr>
          </w:p>
        </w:tc>
        <w:tc>
          <w:tcPr>
            <w:tcW w:w="98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149</w:t>
            </w:r>
          </w:p>
        </w:tc>
        <w:tc>
          <w:tcPr>
            <w:tcW w:w="20" w:type="dxa"/>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7"/>
        </w:trPr>
        <w:tc>
          <w:tcPr>
            <w:tcW w:w="6600" w:type="dxa"/>
            <w:vAlign w:val="bottom"/>
          </w:tcPr>
          <w:p>
            <w:pPr>
              <w:spacing w:after="0" w:line="142" w:lineRule="exact"/>
              <w:rPr>
                <w:color w:val="auto"/>
                <w:sz w:val="20"/>
                <w:szCs w:val="20"/>
              </w:rPr>
            </w:pPr>
            <w:r>
              <w:rPr>
                <w:rFonts w:ascii="Calibri" w:eastAsia="Calibri" w:hAnsi="Calibri" w:cs="Calibri"/>
                <w:color w:val="auto"/>
                <w:sz w:val="12"/>
                <w:szCs w:val="12"/>
              </w:rPr>
              <w:t>2028</w:t>
            </w:r>
          </w:p>
        </w:tc>
        <w:tc>
          <w:tcPr>
            <w:tcW w:w="1120" w:type="dxa"/>
            <w:vAlign w:val="bottom"/>
          </w:tcPr>
          <w:p>
            <w:pPr>
              <w:spacing w:after="0"/>
              <w:rPr>
                <w:color w:val="auto"/>
                <w:sz w:val="12"/>
                <w:szCs w:val="12"/>
              </w:rPr>
            </w:pPr>
          </w:p>
        </w:tc>
        <w:tc>
          <w:tcPr>
            <w:tcW w:w="54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118</w:t>
            </w:r>
          </w:p>
        </w:tc>
        <w:tc>
          <w:tcPr>
            <w:tcW w:w="340" w:type="dxa"/>
            <w:vAlign w:val="bottom"/>
          </w:tcPr>
          <w:p>
            <w:pPr>
              <w:spacing w:after="0"/>
              <w:rPr>
                <w:color w:val="auto"/>
                <w:sz w:val="12"/>
                <w:szCs w:val="12"/>
              </w:rPr>
            </w:pPr>
          </w:p>
        </w:tc>
        <w:tc>
          <w:tcPr>
            <w:tcW w:w="118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2</w:t>
            </w:r>
          </w:p>
        </w:tc>
        <w:tc>
          <w:tcPr>
            <w:tcW w:w="520" w:type="dxa"/>
            <w:vAlign w:val="bottom"/>
          </w:tcPr>
          <w:p>
            <w:pPr>
              <w:spacing w:after="0"/>
              <w:rPr>
                <w:color w:val="auto"/>
                <w:sz w:val="12"/>
                <w:szCs w:val="12"/>
              </w:rPr>
            </w:pPr>
          </w:p>
        </w:tc>
        <w:tc>
          <w:tcPr>
            <w:tcW w:w="98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120</w:t>
            </w:r>
          </w:p>
        </w:tc>
        <w:tc>
          <w:tcPr>
            <w:tcW w:w="2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59"/>
        </w:trPr>
        <w:tc>
          <w:tcPr>
            <w:tcW w:w="6600" w:type="dxa"/>
            <w:shd w:val="clear" w:color="auto" w:fill="CCEEFF"/>
            <w:vAlign w:val="bottom"/>
          </w:tcPr>
          <w:p>
            <w:pPr>
              <w:spacing w:after="0"/>
              <w:rPr>
                <w:color w:val="auto"/>
                <w:sz w:val="20"/>
                <w:szCs w:val="20"/>
              </w:rPr>
            </w:pPr>
            <w:r>
              <w:rPr>
                <w:rFonts w:ascii="Calibri" w:eastAsia="Calibri" w:hAnsi="Calibri" w:cs="Calibri"/>
                <w:color w:val="auto"/>
                <w:sz w:val="12"/>
                <w:szCs w:val="12"/>
              </w:rPr>
              <w:t>2029</w:t>
            </w:r>
          </w:p>
        </w:tc>
        <w:tc>
          <w:tcPr>
            <w:tcW w:w="1120" w:type="dxa"/>
            <w:shd w:val="clear" w:color="auto" w:fill="CCEEFF"/>
            <w:vAlign w:val="bottom"/>
          </w:tcPr>
          <w:p>
            <w:pPr>
              <w:spacing w:after="0"/>
              <w:rPr>
                <w:color w:val="auto"/>
                <w:sz w:val="13"/>
                <w:szCs w:val="13"/>
              </w:rPr>
            </w:pPr>
          </w:p>
        </w:tc>
        <w:tc>
          <w:tcPr>
            <w:tcW w:w="54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102</w:t>
            </w:r>
          </w:p>
        </w:tc>
        <w:tc>
          <w:tcPr>
            <w:tcW w:w="3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1</w:t>
            </w:r>
          </w:p>
        </w:tc>
        <w:tc>
          <w:tcPr>
            <w:tcW w:w="520" w:type="dxa"/>
            <w:shd w:val="clear" w:color="auto" w:fill="CCEEFF"/>
            <w:vAlign w:val="bottom"/>
          </w:tcPr>
          <w:p>
            <w:pPr>
              <w:spacing w:after="0"/>
              <w:rPr>
                <w:color w:val="auto"/>
                <w:sz w:val="13"/>
                <w:szCs w:val="13"/>
              </w:rPr>
            </w:pPr>
          </w:p>
        </w:tc>
        <w:tc>
          <w:tcPr>
            <w:tcW w:w="98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103</w:t>
            </w:r>
          </w:p>
        </w:tc>
        <w:tc>
          <w:tcPr>
            <w:tcW w:w="20" w:type="dxa"/>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7"/>
        </w:trPr>
        <w:tc>
          <w:tcPr>
            <w:tcW w:w="66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Thereafer</w:t>
            </w:r>
          </w:p>
        </w:tc>
        <w:tc>
          <w:tcPr>
            <w:tcW w:w="1120" w:type="dxa"/>
            <w:tcBorders>
              <w:bottom w:val="single" w:sz="8" w:space="0" w:color="auto"/>
            </w:tcBorders>
            <w:vAlign w:val="bottom"/>
          </w:tcPr>
          <w:p>
            <w:pPr>
              <w:spacing w:after="0"/>
              <w:rPr>
                <w:color w:val="auto"/>
                <w:sz w:val="12"/>
                <w:szCs w:val="12"/>
              </w:rPr>
            </w:pPr>
          </w:p>
        </w:tc>
        <w:tc>
          <w:tcPr>
            <w:tcW w:w="54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223</w:t>
            </w:r>
          </w:p>
        </w:tc>
        <w:tc>
          <w:tcPr>
            <w:tcW w:w="340" w:type="dxa"/>
            <w:tcBorders>
              <w:bottom w:val="single" w:sz="8" w:space="0" w:color="auto"/>
            </w:tcBorders>
            <w:vAlign w:val="bottom"/>
          </w:tcPr>
          <w:p>
            <w:pPr>
              <w:spacing w:after="0"/>
              <w:rPr>
                <w:color w:val="auto"/>
                <w:sz w:val="12"/>
                <w:szCs w:val="12"/>
              </w:rPr>
            </w:pPr>
          </w:p>
        </w:tc>
        <w:tc>
          <w:tcPr>
            <w:tcW w:w="118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2</w:t>
            </w:r>
          </w:p>
        </w:tc>
        <w:tc>
          <w:tcPr>
            <w:tcW w:w="52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225</w:t>
            </w:r>
          </w:p>
        </w:tc>
        <w:tc>
          <w:tcPr>
            <w:tcW w:w="2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48"/>
        </w:trPr>
        <w:tc>
          <w:tcPr>
            <w:tcW w:w="66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lease payments</w:t>
            </w:r>
          </w:p>
        </w:tc>
        <w:tc>
          <w:tcPr>
            <w:tcW w:w="1120" w:type="dxa"/>
            <w:shd w:val="clear" w:color="auto" w:fill="CCEEFF"/>
            <w:vAlign w:val="bottom"/>
          </w:tcPr>
          <w:p>
            <w:pPr>
              <w:spacing w:after="0"/>
              <w:rPr>
                <w:color w:val="auto"/>
                <w:sz w:val="12"/>
                <w:szCs w:val="12"/>
              </w:rPr>
            </w:pPr>
          </w:p>
        </w:tc>
        <w:tc>
          <w:tcPr>
            <w:tcW w:w="54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974</w:t>
            </w:r>
          </w:p>
        </w:tc>
        <w:tc>
          <w:tcPr>
            <w:tcW w:w="340" w:type="dxa"/>
            <w:shd w:val="clear" w:color="auto" w:fill="CCEEFF"/>
            <w:vAlign w:val="bottom"/>
          </w:tcPr>
          <w:p>
            <w:pPr>
              <w:spacing w:after="0"/>
              <w:rPr>
                <w:color w:val="auto"/>
                <w:sz w:val="12"/>
                <w:szCs w:val="12"/>
              </w:rPr>
            </w:pPr>
          </w:p>
        </w:tc>
        <w:tc>
          <w:tcPr>
            <w:tcW w:w="118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42</w:t>
            </w:r>
          </w:p>
        </w:tc>
        <w:tc>
          <w:tcPr>
            <w:tcW w:w="520" w:type="dxa"/>
            <w:shd w:val="clear" w:color="auto" w:fill="CCEEFF"/>
            <w:vAlign w:val="bottom"/>
          </w:tcPr>
          <w:p>
            <w:pPr>
              <w:spacing w:after="0"/>
              <w:rPr>
                <w:color w:val="auto"/>
                <w:sz w:val="12"/>
                <w:szCs w:val="12"/>
              </w:rPr>
            </w:pPr>
          </w:p>
        </w:tc>
        <w:tc>
          <w:tcPr>
            <w:tcW w:w="98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1,016</w:t>
            </w:r>
          </w:p>
        </w:tc>
        <w:tc>
          <w:tcPr>
            <w:tcW w:w="2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47"/>
        </w:trPr>
        <w:tc>
          <w:tcPr>
            <w:tcW w:w="66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Less: Interest</w:t>
            </w:r>
          </w:p>
        </w:tc>
        <w:tc>
          <w:tcPr>
            <w:tcW w:w="1120" w:type="dxa"/>
            <w:tcBorders>
              <w:bottom w:val="single" w:sz="8" w:space="0" w:color="auto"/>
            </w:tcBorders>
            <w:vAlign w:val="bottom"/>
          </w:tcPr>
          <w:p>
            <w:pPr>
              <w:spacing w:after="0"/>
              <w:rPr>
                <w:color w:val="auto"/>
                <w:sz w:val="12"/>
                <w:szCs w:val="12"/>
              </w:rPr>
            </w:pPr>
          </w:p>
        </w:tc>
        <w:tc>
          <w:tcPr>
            <w:tcW w:w="54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99</w:t>
            </w:r>
          </w:p>
        </w:tc>
        <w:tc>
          <w:tcPr>
            <w:tcW w:w="340" w:type="dxa"/>
            <w:tcBorders>
              <w:bottom w:val="single" w:sz="8" w:space="0" w:color="auto"/>
            </w:tcBorders>
            <w:vAlign w:val="bottom"/>
          </w:tcPr>
          <w:p>
            <w:pPr>
              <w:spacing w:after="0"/>
              <w:rPr>
                <w:color w:val="auto"/>
                <w:sz w:val="12"/>
                <w:szCs w:val="12"/>
              </w:rPr>
            </w:pPr>
          </w:p>
        </w:tc>
        <w:tc>
          <w:tcPr>
            <w:tcW w:w="118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2</w:t>
            </w:r>
          </w:p>
        </w:tc>
        <w:tc>
          <w:tcPr>
            <w:tcW w:w="52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101</w:t>
            </w:r>
          </w:p>
        </w:tc>
        <w:tc>
          <w:tcPr>
            <w:tcW w:w="2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64"/>
        </w:trPr>
        <w:tc>
          <w:tcPr>
            <w:tcW w:w="660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Present value of lease liabilites</w:t>
            </w:r>
          </w:p>
        </w:tc>
        <w:tc>
          <w:tcPr>
            <w:tcW w:w="1120" w:type="dxa"/>
            <w:tcBorders>
              <w:bottom w:val="single" w:sz="8" w:space="0" w:color="auto"/>
            </w:tcBorders>
            <w:shd w:val="clear" w:color="auto" w:fill="CCEEFF"/>
            <w:vAlign w:val="bottom"/>
          </w:tcPr>
          <w:p>
            <w:pPr>
              <w:spacing w:after="0" w:line="142" w:lineRule="exact"/>
              <w:ind w:right="807"/>
              <w:jc w:val="right"/>
              <w:rPr>
                <w:color w:val="auto"/>
                <w:sz w:val="20"/>
                <w:szCs w:val="20"/>
              </w:rPr>
            </w:pPr>
            <w:r>
              <w:rPr>
                <w:rFonts w:ascii="Calibri" w:eastAsia="Calibri" w:hAnsi="Calibri" w:cs="Calibri"/>
                <w:color w:val="auto"/>
                <w:sz w:val="12"/>
                <w:szCs w:val="12"/>
              </w:rPr>
              <w:t>$</w:t>
            </w:r>
          </w:p>
        </w:tc>
        <w:tc>
          <w:tcPr>
            <w:tcW w:w="54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875</w:t>
            </w:r>
          </w:p>
        </w:tc>
        <w:tc>
          <w:tcPr>
            <w:tcW w:w="340" w:type="dxa"/>
            <w:tcBorders>
              <w:bottom w:val="single" w:sz="8" w:space="0" w:color="auto"/>
            </w:tcBorders>
            <w:shd w:val="clear" w:color="auto" w:fill="CCEEFF"/>
            <w:vAlign w:val="bottom"/>
          </w:tcPr>
          <w:p>
            <w:pPr>
              <w:spacing w:after="0" w:line="142" w:lineRule="exact"/>
              <w:ind w:right="160"/>
              <w:jc w:val="right"/>
              <w:rPr>
                <w:color w:val="auto"/>
                <w:sz w:val="20"/>
                <w:szCs w:val="20"/>
              </w:rPr>
            </w:pPr>
            <w:r>
              <w:rPr>
                <w:rFonts w:ascii="Calibri" w:eastAsia="Calibri" w:hAnsi="Calibri" w:cs="Calibri"/>
                <w:color w:val="auto"/>
                <w:sz w:val="12"/>
                <w:szCs w:val="12"/>
              </w:rPr>
              <w:t>$</w:t>
            </w:r>
          </w:p>
        </w:tc>
        <w:tc>
          <w:tcPr>
            <w:tcW w:w="1180" w:type="dxa"/>
            <w:tcBorders>
              <w:bottom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40</w:t>
            </w:r>
          </w:p>
        </w:tc>
        <w:tc>
          <w:tcPr>
            <w:tcW w:w="520" w:type="dxa"/>
            <w:tcBorders>
              <w:bottom w:val="single" w:sz="8" w:space="0" w:color="auto"/>
            </w:tcBorders>
            <w:shd w:val="clear" w:color="auto" w:fill="CCEEFF"/>
            <w:vAlign w:val="bottom"/>
          </w:tcPr>
          <w:p>
            <w:pPr>
              <w:spacing w:after="0" w:line="142" w:lineRule="exact"/>
              <w:ind w:right="320"/>
              <w:jc w:val="right"/>
              <w:rPr>
                <w:color w:val="auto"/>
                <w:sz w:val="20"/>
                <w:szCs w:val="20"/>
              </w:rPr>
            </w:pPr>
            <w:r>
              <w:rPr>
                <w:rFonts w:ascii="Calibri" w:eastAsia="Calibri" w:hAnsi="Calibri" w:cs="Calibri"/>
                <w:color w:val="auto"/>
                <w:sz w:val="12"/>
                <w:szCs w:val="12"/>
              </w:rPr>
              <w:t>$</w:t>
            </w:r>
          </w:p>
        </w:tc>
        <w:tc>
          <w:tcPr>
            <w:tcW w:w="98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915</w:t>
            </w:r>
          </w:p>
        </w:tc>
        <w:tc>
          <w:tcPr>
            <w:tcW w:w="20" w:type="dxa"/>
            <w:vAlign w:val="bottom"/>
          </w:tcPr>
          <w:p>
            <w:pPr>
              <w:spacing w:after="0"/>
              <w:rPr>
                <w:color w:val="auto"/>
                <w:sz w:val="14"/>
                <w:szCs w:val="14"/>
              </w:rPr>
            </w:pPr>
          </w:p>
        </w:tc>
        <w:tc>
          <w:tcPr>
            <w:tcW w:w="1" w:type="dxa"/>
            <w:vAlign w:val="bottom"/>
          </w:tcPr>
          <w:p>
            <w:pPr>
              <w:spacing w:after="0"/>
              <w:rPr>
                <w:color w:val="auto"/>
                <w:sz w:val="1"/>
                <w:szCs w:val="1"/>
              </w:rPr>
            </w:pPr>
          </w:p>
        </w:tc>
      </w:tr>
      <w:tr>
        <w:tblPrEx>
          <w:tblInd w:w="0" w:type="dxa"/>
          <w:tblLayout w:type="fixed"/>
        </w:tblPrEx>
        <w:trPr>
          <w:trHeight w:val="280"/>
        </w:trPr>
        <w:tc>
          <w:tcPr>
            <w:tcW w:w="6600" w:type="dxa"/>
            <w:vAlign w:val="bottom"/>
          </w:tcPr>
          <w:p>
            <w:pPr>
              <w:spacing w:after="0"/>
              <w:rPr>
                <w:color w:val="auto"/>
                <w:sz w:val="20"/>
                <w:szCs w:val="20"/>
              </w:rPr>
            </w:pPr>
            <w:r>
              <w:rPr>
                <w:rFonts w:ascii="Calibri" w:eastAsia="Calibri" w:hAnsi="Calibri" w:cs="Calibri"/>
                <w:color w:val="auto"/>
                <w:sz w:val="12"/>
                <w:szCs w:val="12"/>
              </w:rPr>
              <w:t>(a)   Lease payments recognized as part of lease liabilites for optonal renewal periods are insignifcant.</w:t>
            </w:r>
          </w:p>
        </w:tc>
        <w:tc>
          <w:tcPr>
            <w:tcW w:w="1120" w:type="dxa"/>
            <w:vAlign w:val="bottom"/>
          </w:tcPr>
          <w:p>
            <w:pPr>
              <w:spacing w:after="0"/>
              <w:rPr>
                <w:color w:val="auto"/>
                <w:sz w:val="24"/>
                <w:szCs w:val="24"/>
              </w:rPr>
            </w:pPr>
          </w:p>
        </w:tc>
        <w:tc>
          <w:tcPr>
            <w:tcW w:w="540" w:type="dxa"/>
            <w:vAlign w:val="bottom"/>
          </w:tcPr>
          <w:p>
            <w:pPr>
              <w:spacing w:after="0"/>
              <w:rPr>
                <w:color w:val="auto"/>
                <w:sz w:val="24"/>
                <w:szCs w:val="24"/>
              </w:rPr>
            </w:pPr>
          </w:p>
        </w:tc>
        <w:tc>
          <w:tcPr>
            <w:tcW w:w="340" w:type="dxa"/>
            <w:vAlign w:val="bottom"/>
          </w:tcPr>
          <w:p>
            <w:pPr>
              <w:spacing w:after="0"/>
              <w:rPr>
                <w:color w:val="auto"/>
                <w:sz w:val="24"/>
                <w:szCs w:val="24"/>
              </w:rPr>
            </w:pPr>
          </w:p>
        </w:tc>
        <w:tc>
          <w:tcPr>
            <w:tcW w:w="1180" w:type="dxa"/>
            <w:vAlign w:val="bottom"/>
          </w:tcPr>
          <w:p>
            <w:pPr>
              <w:spacing w:after="0"/>
              <w:rPr>
                <w:color w:val="auto"/>
                <w:sz w:val="24"/>
                <w:szCs w:val="24"/>
              </w:rPr>
            </w:pPr>
          </w:p>
        </w:tc>
        <w:tc>
          <w:tcPr>
            <w:tcW w:w="520" w:type="dxa"/>
            <w:vAlign w:val="bottom"/>
          </w:tcPr>
          <w:p>
            <w:pPr>
              <w:spacing w:after="0"/>
              <w:rPr>
                <w:color w:val="auto"/>
                <w:sz w:val="24"/>
                <w:szCs w:val="24"/>
              </w:rPr>
            </w:pPr>
          </w:p>
        </w:tc>
        <w:tc>
          <w:tcPr>
            <w:tcW w:w="980" w:type="dxa"/>
            <w:vAlign w:val="bottom"/>
          </w:tcPr>
          <w:p>
            <w:pPr>
              <w:spacing w:after="0"/>
              <w:rPr>
                <w:color w:val="auto"/>
                <w:sz w:val="24"/>
                <w:szCs w:val="24"/>
              </w:rPr>
            </w:pPr>
          </w:p>
        </w:tc>
        <w:tc>
          <w:tcPr>
            <w:tcW w:w="20" w:type="dxa"/>
            <w:vAlign w:val="bottom"/>
          </w:tcPr>
          <w:p>
            <w:pPr>
              <w:spacing w:after="0"/>
              <w:rPr>
                <w:color w:val="auto"/>
                <w:sz w:val="24"/>
                <w:szCs w:val="24"/>
              </w:rPr>
            </w:pPr>
          </w:p>
        </w:tc>
        <w:tc>
          <w:tcPr>
            <w:tcW w:w="1" w:type="dxa"/>
            <w:vAlign w:val="bottom"/>
          </w:tcPr>
          <w:p>
            <w:pPr>
              <w:spacing w:after="0"/>
              <w:rPr>
                <w:color w:val="auto"/>
                <w:sz w:val="1"/>
                <w:szCs w:val="1"/>
              </w:rPr>
            </w:pPr>
          </w:p>
        </w:tc>
      </w:tr>
      <w:tr>
        <w:tblPrEx>
          <w:tblInd w:w="0" w:type="dxa"/>
          <w:tblLayout w:type="fixed"/>
        </w:tblPrEx>
        <w:trPr>
          <w:trHeight w:val="576"/>
        </w:trPr>
        <w:tc>
          <w:tcPr>
            <w:tcW w:w="6600" w:type="dxa"/>
            <w:vAlign w:val="bottom"/>
          </w:tcPr>
          <w:p>
            <w:pPr>
              <w:spacing w:after="0"/>
              <w:rPr>
                <w:color w:val="auto"/>
                <w:sz w:val="24"/>
                <w:szCs w:val="24"/>
              </w:rPr>
            </w:pPr>
          </w:p>
        </w:tc>
        <w:tc>
          <w:tcPr>
            <w:tcW w:w="1120" w:type="dxa"/>
            <w:vAlign w:val="bottom"/>
          </w:tcPr>
          <w:p>
            <w:pPr>
              <w:spacing w:after="0"/>
              <w:rPr>
                <w:color w:val="auto"/>
                <w:sz w:val="24"/>
                <w:szCs w:val="24"/>
              </w:rPr>
            </w:pPr>
          </w:p>
        </w:tc>
        <w:tc>
          <w:tcPr>
            <w:tcW w:w="540" w:type="dxa"/>
            <w:vAlign w:val="bottom"/>
          </w:tcPr>
          <w:p>
            <w:pPr>
              <w:spacing w:after="0"/>
              <w:rPr>
                <w:color w:val="auto"/>
                <w:sz w:val="24"/>
                <w:szCs w:val="24"/>
              </w:rPr>
            </w:pPr>
          </w:p>
        </w:tc>
        <w:tc>
          <w:tcPr>
            <w:tcW w:w="340" w:type="dxa"/>
            <w:vAlign w:val="bottom"/>
          </w:tcPr>
          <w:p>
            <w:pPr>
              <w:spacing w:after="0"/>
              <w:rPr>
                <w:color w:val="auto"/>
                <w:sz w:val="24"/>
                <w:szCs w:val="24"/>
              </w:rPr>
            </w:pPr>
          </w:p>
        </w:tc>
        <w:tc>
          <w:tcPr>
            <w:tcW w:w="1700" w:type="dxa"/>
            <w:gridSpan w:val="2"/>
            <w:vAlign w:val="bottom"/>
          </w:tcPr>
          <w:p>
            <w:pPr>
              <w:spacing w:after="0"/>
              <w:ind w:right="60"/>
              <w:jc w:val="right"/>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1000" w:type="dxa"/>
            <w:gridSpan w:val="2"/>
            <w:vAlign w:val="bottom"/>
          </w:tcPr>
          <w:p>
            <w:pPr>
              <w:spacing w:after="0"/>
              <w:ind w:right="20"/>
              <w:jc w:val="right"/>
              <w:rPr>
                <w:color w:val="auto"/>
                <w:sz w:val="20"/>
                <w:szCs w:val="20"/>
              </w:rPr>
            </w:pPr>
            <w:r>
              <w:rPr>
                <w:rFonts w:ascii="Calibri" w:eastAsia="Calibri" w:hAnsi="Calibri" w:cs="Calibri"/>
                <w:b/>
                <w:bCs/>
                <w:i/>
                <w:iCs/>
                <w:color w:val="auto"/>
                <w:sz w:val="12"/>
                <w:szCs w:val="12"/>
              </w:rPr>
              <w:t>74</w:t>
            </w:r>
          </w:p>
        </w:tc>
        <w:tc>
          <w:tcPr>
            <w:tcW w:w="1" w:type="dxa"/>
            <w:vAlign w:val="bottom"/>
          </w:tcPr>
          <w:p>
            <w:pPr>
              <w:spacing w:after="0"/>
              <w:rPr>
                <w:color w:val="auto"/>
                <w:sz w:val="1"/>
                <w:szCs w:val="1"/>
              </w:rPr>
            </w:pPr>
          </w:p>
        </w:tc>
      </w:tr>
      <w:tr>
        <w:tblPrEx>
          <w:tblInd w:w="0" w:type="dxa"/>
          <w:tblLayout w:type="fixed"/>
        </w:tblPrEx>
        <w:trPr>
          <w:trHeight w:val="152"/>
        </w:trPr>
        <w:tc>
          <w:tcPr>
            <w:tcW w:w="6600" w:type="dxa"/>
            <w:tcBorders>
              <w:bottom w:val="single" w:sz="8" w:space="0" w:color="9A9A9A"/>
            </w:tcBorders>
            <w:vAlign w:val="bottom"/>
          </w:tcPr>
          <w:p>
            <w:pPr>
              <w:spacing w:after="0"/>
              <w:rPr>
                <w:color w:val="auto"/>
                <w:sz w:val="13"/>
                <w:szCs w:val="13"/>
              </w:rPr>
            </w:pPr>
          </w:p>
        </w:tc>
        <w:tc>
          <w:tcPr>
            <w:tcW w:w="1120" w:type="dxa"/>
            <w:tcBorders>
              <w:bottom w:val="single" w:sz="8" w:space="0" w:color="9A9A9A"/>
            </w:tcBorders>
            <w:vAlign w:val="bottom"/>
          </w:tcPr>
          <w:p>
            <w:pPr>
              <w:spacing w:after="0"/>
              <w:rPr>
                <w:color w:val="auto"/>
                <w:sz w:val="13"/>
                <w:szCs w:val="13"/>
              </w:rPr>
            </w:pPr>
          </w:p>
        </w:tc>
        <w:tc>
          <w:tcPr>
            <w:tcW w:w="540" w:type="dxa"/>
            <w:tcBorders>
              <w:bottom w:val="single" w:sz="8" w:space="0" w:color="9A9A9A"/>
            </w:tcBorders>
            <w:vAlign w:val="bottom"/>
          </w:tcPr>
          <w:p>
            <w:pPr>
              <w:spacing w:after="0"/>
              <w:rPr>
                <w:color w:val="auto"/>
                <w:sz w:val="13"/>
                <w:szCs w:val="13"/>
              </w:rPr>
            </w:pPr>
          </w:p>
        </w:tc>
        <w:tc>
          <w:tcPr>
            <w:tcW w:w="340" w:type="dxa"/>
            <w:tcBorders>
              <w:bottom w:val="single" w:sz="8" w:space="0" w:color="9A9A9A"/>
            </w:tcBorders>
            <w:vAlign w:val="bottom"/>
          </w:tcPr>
          <w:p>
            <w:pPr>
              <w:spacing w:after="0"/>
              <w:rPr>
                <w:color w:val="auto"/>
                <w:sz w:val="13"/>
                <w:szCs w:val="13"/>
              </w:rPr>
            </w:pPr>
          </w:p>
        </w:tc>
        <w:tc>
          <w:tcPr>
            <w:tcW w:w="1180" w:type="dxa"/>
            <w:tcBorders>
              <w:bottom w:val="single" w:sz="8" w:space="0" w:color="9A9A9A"/>
            </w:tcBorders>
            <w:vAlign w:val="bottom"/>
          </w:tcPr>
          <w:p>
            <w:pPr>
              <w:spacing w:after="0"/>
              <w:rPr>
                <w:color w:val="auto"/>
                <w:sz w:val="13"/>
                <w:szCs w:val="13"/>
              </w:rPr>
            </w:pPr>
          </w:p>
        </w:tc>
        <w:tc>
          <w:tcPr>
            <w:tcW w:w="520" w:type="dxa"/>
            <w:tcBorders>
              <w:bottom w:val="single" w:sz="8" w:space="0" w:color="9A9A9A"/>
            </w:tcBorders>
            <w:vAlign w:val="bottom"/>
          </w:tcPr>
          <w:p>
            <w:pPr>
              <w:spacing w:after="0"/>
              <w:rPr>
                <w:color w:val="auto"/>
                <w:sz w:val="13"/>
                <w:szCs w:val="13"/>
              </w:rPr>
            </w:pPr>
          </w:p>
        </w:tc>
        <w:tc>
          <w:tcPr>
            <w:tcW w:w="980" w:type="dxa"/>
            <w:tcBorders>
              <w:bottom w:val="single" w:sz="8" w:space="0" w:color="9A9A9A"/>
            </w:tcBorders>
            <w:vAlign w:val="bottom"/>
          </w:tcPr>
          <w:p>
            <w:pPr>
              <w:spacing w:after="0"/>
              <w:rPr>
                <w:color w:val="auto"/>
                <w:sz w:val="13"/>
                <w:szCs w:val="13"/>
              </w:rPr>
            </w:pPr>
          </w:p>
        </w:tc>
        <w:tc>
          <w:tcPr>
            <w:tcW w:w="20" w:type="dxa"/>
            <w:tcBorders>
              <w:bottom w:val="single" w:sz="8" w:space="0" w:color="9A9A9A"/>
            </w:tcBorders>
            <w:vAlign w:val="bottom"/>
          </w:tcPr>
          <w:p>
            <w:pPr>
              <w:spacing w:after="0"/>
              <w:rPr>
                <w:color w:val="auto"/>
                <w:sz w:val="13"/>
                <w:szCs w:val="13"/>
              </w:rPr>
            </w:pPr>
          </w:p>
        </w:tc>
        <w:tc>
          <w:tcPr>
            <w:tcW w:w="1" w:type="dxa"/>
            <w:vAlign w:val="bottom"/>
          </w:tcPr>
          <w:p>
            <w:pPr>
              <w:spacing w:after="0"/>
              <w:rPr>
                <w:color w:val="auto"/>
                <w:sz w:val="1"/>
                <w:szCs w:val="1"/>
              </w:rPr>
            </w:pPr>
          </w:p>
        </w:tc>
      </w:tr>
    </w:tbl>
    <w:p>
      <w:pPr>
        <w:spacing w:after="0" w:line="20" w:lineRule="exact"/>
        <w:rPr>
          <w:color w:val="auto"/>
          <w:sz w:val="20"/>
          <w:szCs w:val="20"/>
        </w:rPr>
      </w:pPr>
      <w:r>
        <w:rPr>
          <w:color w:val="auto"/>
          <w:sz w:val="20"/>
          <w:szCs w:val="20"/>
        </w:rPr>
        <w:drawing>
          <wp:anchor simplePos="0" relativeHeight="251848704" behindDoc="1" locked="0" layoutInCell="0" allowOverlap="1">
            <wp:simplePos x="0" y="0"/>
            <wp:positionH relativeFrom="column">
              <wp:posOffset>7154545</wp:posOffset>
            </wp:positionH>
            <wp:positionV relativeFrom="paragraph">
              <wp:posOffset>-23495</wp:posOffset>
            </wp:positionV>
            <wp:extent cx="31115" cy="3683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49728" behindDoc="1" locked="0" layoutInCell="0" allowOverlap="1">
            <wp:simplePos x="0" y="0"/>
            <wp:positionH relativeFrom="column">
              <wp:posOffset>-17145</wp:posOffset>
            </wp:positionH>
            <wp:positionV relativeFrom="paragraph">
              <wp:posOffset>-23495</wp:posOffset>
            </wp:positionV>
            <wp:extent cx="31115" cy="3683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50752" behindDoc="1" locked="0" layoutInCell="0" allowOverlap="1">
            <wp:simplePos x="0" y="0"/>
            <wp:positionH relativeFrom="column">
              <wp:posOffset>6475730</wp:posOffset>
            </wp:positionH>
            <wp:positionV relativeFrom="paragraph">
              <wp:posOffset>-222250</wp:posOffset>
            </wp:positionV>
            <wp:extent cx="400050" cy="7429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76" w:name="page77"/>
    <w:bookmarkEnd w:id="76"/>
    <w:p>
      <w:pPr>
        <w:spacing w:after="0"/>
        <w:rPr>
          <w:color w:val="auto"/>
          <w:sz w:val="20"/>
          <w:szCs w:val="20"/>
        </w:rPr>
      </w:pPr>
      <w:r>
        <w:rPr>
          <w:rFonts w:ascii="Calibri" w:eastAsia="Calibri" w:hAnsi="Calibri" w:cs="Calibri"/>
          <w:b/>
          <w:bCs/>
          <w:color w:val="444867"/>
          <w:sz w:val="14"/>
          <w:szCs w:val="14"/>
        </w:rPr>
        <w:t>Note 10 Debt, Credit Facilites and Commitments and Contngencies</w:t>
      </w:r>
    </w:p>
    <w:p>
      <w:pPr>
        <w:spacing w:after="0" w:line="20" w:lineRule="exact"/>
        <w:rPr>
          <w:color w:val="auto"/>
          <w:sz w:val="20"/>
          <w:szCs w:val="20"/>
        </w:rPr>
      </w:pPr>
      <w:r>
        <w:rPr>
          <w:color w:val="auto"/>
          <w:sz w:val="20"/>
          <w:szCs w:val="20"/>
        </w:rPr>
        <w:drawing>
          <wp:anchor simplePos="0" relativeHeight="251851776" behindDoc="1" locked="0" layoutInCell="0" allowOverlap="1">
            <wp:simplePos x="0" y="0"/>
            <wp:positionH relativeFrom="column">
              <wp:posOffset>-4445</wp:posOffset>
            </wp:positionH>
            <wp:positionV relativeFrom="paragraph">
              <wp:posOffset>24130</wp:posOffset>
            </wp:positionV>
            <wp:extent cx="7166610" cy="5715"/>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61" w:lineRule="exact"/>
        <w:rPr>
          <w:color w:val="auto"/>
          <w:sz w:val="20"/>
          <w:szCs w:val="20"/>
        </w:rPr>
      </w:pPr>
    </w:p>
    <w:p>
      <w:pPr>
        <w:spacing w:after="0"/>
        <w:rPr>
          <w:color w:val="auto"/>
          <w:sz w:val="20"/>
          <w:szCs w:val="20"/>
        </w:rPr>
      </w:pPr>
      <w:r>
        <w:rPr>
          <w:rFonts w:ascii="Calibri" w:eastAsia="Calibri" w:hAnsi="Calibri" w:cs="Calibri"/>
          <w:color w:val="auto"/>
          <w:sz w:val="12"/>
          <w:szCs w:val="12"/>
        </w:rPr>
        <w:t>The following table summarizes long-term debt:</w:t>
      </w:r>
    </w:p>
    <w:tbl>
      <w:tblPr>
        <w:tblInd w:w="0" w:type="dxa"/>
        <w:tblLayout w:type="fixed"/>
        <w:tblCellMar>
          <w:top w:w="0" w:type="dxa"/>
          <w:left w:w="0" w:type="dxa"/>
          <w:bottom w:w="0" w:type="dxa"/>
          <w:right w:w="0" w:type="dxa"/>
        </w:tblCellMar>
      </w:tblPr>
      <w:tblGrid>
        <w:gridCol w:w="4040"/>
        <w:gridCol w:w="2680"/>
        <w:gridCol w:w="380"/>
        <w:gridCol w:w="1340"/>
        <w:gridCol w:w="1780"/>
        <w:gridCol w:w="1080"/>
      </w:tblGrid>
      <w:tr>
        <w:tblPrEx>
          <w:tblInd w:w="0" w:type="dxa"/>
          <w:tblLayout w:type="fixed"/>
        </w:tblPrEx>
        <w:trPr>
          <w:trHeight w:val="116"/>
        </w:trPr>
        <w:tc>
          <w:tcPr>
            <w:tcW w:w="4040" w:type="dxa"/>
            <w:vAlign w:val="bottom"/>
          </w:tcPr>
          <w:p>
            <w:pPr>
              <w:spacing w:after="0"/>
              <w:rPr>
                <w:color w:val="auto"/>
                <w:sz w:val="10"/>
                <w:szCs w:val="10"/>
              </w:rPr>
            </w:pPr>
          </w:p>
        </w:tc>
        <w:tc>
          <w:tcPr>
            <w:tcW w:w="2680" w:type="dxa"/>
            <w:vAlign w:val="bottom"/>
          </w:tcPr>
          <w:p>
            <w:pPr>
              <w:spacing w:after="0" w:line="116" w:lineRule="exact"/>
              <w:ind w:right="461"/>
              <w:jc w:val="right"/>
              <w:rPr>
                <w:color w:val="auto"/>
                <w:sz w:val="20"/>
                <w:szCs w:val="20"/>
              </w:rPr>
            </w:pPr>
            <w:r>
              <w:rPr>
                <w:rFonts w:ascii="Calibri" w:eastAsia="Calibri" w:hAnsi="Calibri" w:cs="Calibri"/>
                <w:b/>
                <w:bCs/>
                <w:color w:val="auto"/>
                <w:sz w:val="10"/>
                <w:szCs w:val="10"/>
              </w:rPr>
              <w:t>2024 Efectve</w:t>
            </w:r>
          </w:p>
        </w:tc>
        <w:tc>
          <w:tcPr>
            <w:tcW w:w="380" w:type="dxa"/>
            <w:vAlign w:val="bottom"/>
          </w:tcPr>
          <w:p>
            <w:pPr>
              <w:spacing w:after="0"/>
              <w:rPr>
                <w:color w:val="auto"/>
                <w:sz w:val="10"/>
                <w:szCs w:val="10"/>
              </w:rPr>
            </w:pPr>
          </w:p>
        </w:tc>
        <w:tc>
          <w:tcPr>
            <w:tcW w:w="1340" w:type="dxa"/>
            <w:vAlign w:val="bottom"/>
          </w:tcPr>
          <w:p>
            <w:pPr>
              <w:spacing w:after="0"/>
              <w:rPr>
                <w:color w:val="auto"/>
                <w:sz w:val="10"/>
                <w:szCs w:val="10"/>
              </w:rPr>
            </w:pPr>
          </w:p>
        </w:tc>
        <w:tc>
          <w:tcPr>
            <w:tcW w:w="1780" w:type="dxa"/>
            <w:vAlign w:val="bottom"/>
          </w:tcPr>
          <w:p>
            <w:pPr>
              <w:spacing w:after="0" w:line="116" w:lineRule="exact"/>
              <w:ind w:right="861"/>
              <w:jc w:val="right"/>
              <w:rPr>
                <w:color w:val="auto"/>
                <w:sz w:val="20"/>
                <w:szCs w:val="20"/>
              </w:rPr>
            </w:pPr>
            <w:r>
              <w:rPr>
                <w:rFonts w:ascii="Calibri" w:eastAsia="Calibri" w:hAnsi="Calibri" w:cs="Calibri"/>
                <w:b/>
                <w:bCs/>
                <w:color w:val="auto"/>
                <w:sz w:val="10"/>
                <w:szCs w:val="10"/>
              </w:rPr>
              <w:t>2023 Efectve</w:t>
            </w:r>
          </w:p>
        </w:tc>
        <w:tc>
          <w:tcPr>
            <w:tcW w:w="1080" w:type="dxa"/>
            <w:vAlign w:val="bottom"/>
          </w:tcPr>
          <w:p>
            <w:pPr>
              <w:spacing w:after="0"/>
              <w:rPr>
                <w:color w:val="auto"/>
                <w:sz w:val="10"/>
                <w:szCs w:val="10"/>
              </w:rPr>
            </w:pPr>
          </w:p>
        </w:tc>
      </w:tr>
      <w:tr>
        <w:tblPrEx>
          <w:tblInd w:w="0" w:type="dxa"/>
          <w:tblLayout w:type="fixed"/>
        </w:tblPrEx>
        <w:trPr>
          <w:trHeight w:val="112"/>
        </w:trPr>
        <w:tc>
          <w:tcPr>
            <w:tcW w:w="4040" w:type="dxa"/>
            <w:vAlign w:val="bottom"/>
          </w:tcPr>
          <w:p>
            <w:pPr>
              <w:spacing w:after="0" w:line="112" w:lineRule="exact"/>
              <w:rPr>
                <w:color w:val="auto"/>
                <w:sz w:val="20"/>
                <w:szCs w:val="20"/>
              </w:rPr>
            </w:pPr>
            <w:r>
              <w:rPr>
                <w:rFonts w:ascii="Calibri" w:eastAsia="Calibri" w:hAnsi="Calibri" w:cs="Calibri"/>
                <w:b/>
                <w:bCs/>
                <w:color w:val="auto"/>
                <w:sz w:val="10"/>
                <w:szCs w:val="10"/>
              </w:rPr>
              <w:t>as of December 31 (dollars in millions)</w:t>
            </w:r>
          </w:p>
        </w:tc>
        <w:tc>
          <w:tcPr>
            <w:tcW w:w="2680" w:type="dxa"/>
            <w:vAlign w:val="bottom"/>
          </w:tcPr>
          <w:p>
            <w:pPr>
              <w:spacing w:after="0" w:line="112" w:lineRule="exact"/>
              <w:ind w:right="421"/>
              <w:jc w:val="right"/>
              <w:rPr>
                <w:color w:val="auto"/>
                <w:sz w:val="20"/>
                <w:szCs w:val="20"/>
              </w:rPr>
            </w:pPr>
            <w:r>
              <w:rPr>
                <w:rFonts w:ascii="Calibri" w:eastAsia="Calibri" w:hAnsi="Calibri" w:cs="Calibri"/>
                <w:b/>
                <w:bCs/>
                <w:color w:val="auto"/>
                <w:sz w:val="10"/>
                <w:szCs w:val="10"/>
              </w:rPr>
              <w:t>interest rate (a)</w:t>
            </w:r>
          </w:p>
        </w:tc>
        <w:tc>
          <w:tcPr>
            <w:tcW w:w="380" w:type="dxa"/>
            <w:vAlign w:val="bottom"/>
          </w:tcPr>
          <w:p>
            <w:pPr>
              <w:spacing w:after="0"/>
              <w:rPr>
                <w:color w:val="auto"/>
                <w:sz w:val="9"/>
                <w:szCs w:val="9"/>
              </w:rPr>
            </w:pPr>
          </w:p>
        </w:tc>
        <w:tc>
          <w:tcPr>
            <w:tcW w:w="1340" w:type="dxa"/>
            <w:vAlign w:val="bottom"/>
          </w:tcPr>
          <w:p>
            <w:pPr>
              <w:spacing w:after="0" w:line="112" w:lineRule="exact"/>
              <w:ind w:right="820"/>
              <w:jc w:val="right"/>
              <w:rPr>
                <w:color w:val="auto"/>
                <w:sz w:val="20"/>
                <w:szCs w:val="20"/>
              </w:rPr>
            </w:pPr>
            <w:r>
              <w:rPr>
                <w:rFonts w:ascii="Calibri" w:eastAsia="Calibri" w:hAnsi="Calibri" w:cs="Calibri"/>
                <w:b/>
                <w:bCs/>
                <w:color w:val="auto"/>
                <w:sz w:val="10"/>
                <w:szCs w:val="10"/>
              </w:rPr>
              <w:t>2024</w:t>
            </w:r>
          </w:p>
        </w:tc>
        <w:tc>
          <w:tcPr>
            <w:tcW w:w="1780" w:type="dxa"/>
            <w:vAlign w:val="bottom"/>
          </w:tcPr>
          <w:p>
            <w:pPr>
              <w:spacing w:after="0" w:line="112" w:lineRule="exact"/>
              <w:ind w:right="821"/>
              <w:jc w:val="right"/>
              <w:rPr>
                <w:color w:val="auto"/>
                <w:sz w:val="20"/>
                <w:szCs w:val="20"/>
              </w:rPr>
            </w:pPr>
            <w:r>
              <w:rPr>
                <w:rFonts w:ascii="Calibri" w:eastAsia="Calibri" w:hAnsi="Calibri" w:cs="Calibri"/>
                <w:b/>
                <w:bCs/>
                <w:color w:val="auto"/>
                <w:sz w:val="10"/>
                <w:szCs w:val="10"/>
              </w:rPr>
              <w:t>interest rate (a)</w:t>
            </w:r>
          </w:p>
        </w:tc>
        <w:tc>
          <w:tcPr>
            <w:tcW w:w="1080" w:type="dxa"/>
            <w:vAlign w:val="bottom"/>
          </w:tcPr>
          <w:p>
            <w:pPr>
              <w:spacing w:after="0" w:line="112" w:lineRule="exact"/>
              <w:ind w:right="560"/>
              <w:jc w:val="right"/>
              <w:rPr>
                <w:color w:val="auto"/>
                <w:sz w:val="20"/>
                <w:szCs w:val="20"/>
              </w:rPr>
            </w:pPr>
            <w:r>
              <w:rPr>
                <w:rFonts w:ascii="Calibri" w:eastAsia="Calibri" w:hAnsi="Calibri" w:cs="Calibri"/>
                <w:b/>
                <w:bCs/>
                <w:color w:val="auto"/>
                <w:sz w:val="10"/>
                <w:szCs w:val="10"/>
              </w:rPr>
              <w:t>2023</w:t>
            </w:r>
          </w:p>
        </w:tc>
      </w:tr>
      <w:tr>
        <w:tblPrEx>
          <w:tblInd w:w="0" w:type="dxa"/>
          <w:tblLayout w:type="fixed"/>
        </w:tblPrEx>
        <w:trPr>
          <w:trHeight w:val="32"/>
        </w:trPr>
        <w:tc>
          <w:tcPr>
            <w:tcW w:w="4040" w:type="dxa"/>
            <w:tcBorders>
              <w:bottom w:val="single" w:sz="8" w:space="0" w:color="auto"/>
            </w:tcBorders>
            <w:vAlign w:val="bottom"/>
          </w:tcPr>
          <w:p>
            <w:pPr>
              <w:spacing w:after="0"/>
              <w:rPr>
                <w:color w:val="auto"/>
                <w:sz w:val="2"/>
                <w:szCs w:val="2"/>
              </w:rPr>
            </w:pPr>
          </w:p>
        </w:tc>
        <w:tc>
          <w:tcPr>
            <w:tcW w:w="268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340" w:type="dxa"/>
            <w:tcBorders>
              <w:bottom w:val="single" w:sz="8" w:space="0" w:color="auto"/>
            </w:tcBorders>
            <w:vAlign w:val="bottom"/>
          </w:tcPr>
          <w:p>
            <w:pPr>
              <w:spacing w:after="0"/>
              <w:rPr>
                <w:color w:val="auto"/>
                <w:sz w:val="2"/>
                <w:szCs w:val="2"/>
              </w:rPr>
            </w:pPr>
          </w:p>
        </w:tc>
        <w:tc>
          <w:tcPr>
            <w:tcW w:w="178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4040" w:type="dxa"/>
            <w:vAlign w:val="bottom"/>
          </w:tcPr>
          <w:p>
            <w:pPr>
              <w:spacing w:after="0" w:line="137" w:lineRule="exact"/>
              <w:rPr>
                <w:color w:val="auto"/>
                <w:sz w:val="20"/>
                <w:szCs w:val="20"/>
              </w:rPr>
            </w:pPr>
            <w:r>
              <w:rPr>
                <w:rFonts w:ascii="Calibri" w:eastAsia="Calibri" w:hAnsi="Calibri" w:cs="Calibri"/>
                <w:color w:val="auto"/>
                <w:sz w:val="12"/>
                <w:szCs w:val="12"/>
              </w:rPr>
              <w:t>1.25-3.85% aggregate notes due 2024</w:t>
            </w:r>
          </w:p>
        </w:tc>
        <w:tc>
          <w:tcPr>
            <w:tcW w:w="2680" w:type="dxa"/>
            <w:vAlign w:val="bottom"/>
          </w:tcPr>
          <w:p>
            <w:pPr>
              <w:spacing w:after="0" w:line="137" w:lineRule="exact"/>
              <w:ind w:right="1"/>
              <w:jc w:val="right"/>
              <w:rPr>
                <w:color w:val="auto"/>
                <w:sz w:val="20"/>
                <w:szCs w:val="20"/>
              </w:rPr>
            </w:pPr>
            <w:r>
              <w:rPr>
                <w:rFonts w:ascii="Calibri" w:eastAsia="Calibri" w:hAnsi="Calibri" w:cs="Calibri"/>
                <w:color w:val="auto"/>
                <w:sz w:val="12"/>
                <w:szCs w:val="12"/>
              </w:rPr>
              <w:t>0.65-2.69%</w:t>
            </w:r>
          </w:p>
        </w:tc>
        <w:tc>
          <w:tcPr>
            <w:tcW w:w="380" w:type="dxa"/>
            <w:vAlign w:val="bottom"/>
          </w:tcPr>
          <w:p>
            <w:pPr>
              <w:spacing w:after="0" w:line="137" w:lineRule="exact"/>
              <w:ind w:right="200"/>
              <w:jc w:val="right"/>
              <w:rPr>
                <w:color w:val="auto"/>
                <w:sz w:val="20"/>
                <w:szCs w:val="20"/>
              </w:rPr>
            </w:pPr>
            <w:r>
              <w:rPr>
                <w:rFonts w:ascii="Calibri" w:eastAsia="Calibri" w:hAnsi="Calibri" w:cs="Calibri"/>
                <w:color w:val="auto"/>
                <w:sz w:val="12"/>
                <w:szCs w:val="12"/>
              </w:rPr>
              <w:t>$</w:t>
            </w:r>
          </w:p>
        </w:tc>
        <w:tc>
          <w:tcPr>
            <w:tcW w:w="1340" w:type="dxa"/>
            <w:vAlign w:val="bottom"/>
          </w:tcPr>
          <w:p>
            <w:pPr>
              <w:spacing w:after="0" w:line="137" w:lineRule="exact"/>
              <w:ind w:right="240"/>
              <w:jc w:val="right"/>
              <w:rPr>
                <w:color w:val="auto"/>
                <w:sz w:val="20"/>
                <w:szCs w:val="20"/>
              </w:rPr>
            </w:pPr>
            <w:r>
              <w:rPr>
                <w:rFonts w:ascii="Calibri" w:eastAsia="Calibri" w:hAnsi="Calibri" w:cs="Calibri"/>
                <w:color w:val="auto"/>
                <w:sz w:val="12"/>
                <w:szCs w:val="12"/>
              </w:rPr>
              <w:t>—</w:t>
            </w:r>
          </w:p>
        </w:tc>
        <w:tc>
          <w:tcPr>
            <w:tcW w:w="1780" w:type="dxa"/>
            <w:vAlign w:val="bottom"/>
          </w:tcPr>
          <w:p>
            <w:pPr>
              <w:spacing w:after="0" w:line="137" w:lineRule="exact"/>
              <w:ind w:right="221"/>
              <w:jc w:val="right"/>
              <w:rPr>
                <w:color w:val="auto"/>
                <w:sz w:val="20"/>
                <w:szCs w:val="20"/>
              </w:rPr>
            </w:pPr>
            <w:r>
              <w:rPr>
                <w:rFonts w:ascii="Calibri" w:eastAsia="Calibri" w:hAnsi="Calibri" w:cs="Calibri"/>
                <w:color w:val="auto"/>
                <w:sz w:val="12"/>
                <w:szCs w:val="12"/>
              </w:rPr>
              <w:t>0.65-2.69%  $</w:t>
            </w:r>
          </w:p>
        </w:tc>
        <w:tc>
          <w:tcPr>
            <w:tcW w:w="1080" w:type="dxa"/>
            <w:vAlign w:val="bottom"/>
          </w:tcPr>
          <w:p>
            <w:pPr>
              <w:spacing w:after="0" w:line="137" w:lineRule="exact"/>
              <w:jc w:val="right"/>
              <w:rPr>
                <w:color w:val="auto"/>
                <w:sz w:val="20"/>
                <w:szCs w:val="20"/>
              </w:rPr>
            </w:pPr>
            <w:r>
              <w:rPr>
                <w:rFonts w:ascii="Calibri" w:eastAsia="Calibri" w:hAnsi="Calibri" w:cs="Calibri"/>
                <w:color w:val="auto"/>
                <w:sz w:val="12"/>
                <w:szCs w:val="12"/>
              </w:rPr>
              <w:t>7,169</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Floatng rate term loans due 2025</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6.22 %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5.95 %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2,000</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3.60% senior notes due 2025</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3.66 %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3,750</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3.66 %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3,750</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3.80% senior notes due 2025</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2.09 %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3,021</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2.09 %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3,021</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2.95% senior notes due 2026</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3.02 %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4,000</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3.02 %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4,000</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3.20% senior notes due 2026</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3.28 %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2,000</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3.28 %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2,000</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4.549% term loan due 2027</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4.61 %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2,000</w:t>
            </w:r>
          </w:p>
        </w:tc>
        <w:tc>
          <w:tcPr>
            <w:tcW w:w="1780" w:type="dxa"/>
            <w:vAlign w:val="bottom"/>
          </w:tcPr>
          <w:p>
            <w:pPr>
              <w:spacing w:after="0" w:line="142" w:lineRule="exact"/>
              <w:ind w:right="501"/>
              <w:jc w:val="right"/>
              <w:rPr>
                <w:color w:val="auto"/>
                <w:sz w:val="20"/>
                <w:szCs w:val="20"/>
              </w:rPr>
            </w:pPr>
            <w:r>
              <w:rPr>
                <w:rFonts w:ascii="Calibri" w:eastAsia="Calibri" w:hAnsi="Calibri" w:cs="Calibri"/>
                <w:color w:val="auto"/>
                <w:sz w:val="12"/>
                <w:szCs w:val="12"/>
              </w:rPr>
              <w:t>—</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0.75% senior euro notes due 2027 (€750 principal)</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0.86 %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778</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0.86 %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833</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4.80% senior notes due 2027</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4.93 %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2,250</w:t>
            </w:r>
          </w:p>
        </w:tc>
        <w:tc>
          <w:tcPr>
            <w:tcW w:w="1780" w:type="dxa"/>
            <w:vAlign w:val="bottom"/>
          </w:tcPr>
          <w:p>
            <w:pPr>
              <w:spacing w:after="0" w:line="142" w:lineRule="exact"/>
              <w:ind w:right="501"/>
              <w:jc w:val="right"/>
              <w:rPr>
                <w:color w:val="auto"/>
                <w:sz w:val="20"/>
                <w:szCs w:val="20"/>
              </w:rPr>
            </w:pPr>
            <w:r>
              <w:rPr>
                <w:rFonts w:ascii="Calibri" w:eastAsia="Calibri" w:hAnsi="Calibri" w:cs="Calibri"/>
                <w:color w:val="auto"/>
                <w:sz w:val="12"/>
                <w:szCs w:val="12"/>
              </w:rPr>
              <w:t>—</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4.25% senior notes due 2028</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4.38 %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1,750</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4.38 %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1,750</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2.125% senior euro notes due 2028 (€750 principal)</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2.18 %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778</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2.18 %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833</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2.625% senior euro notes due 2028 (€500 principal)</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1.20 %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519</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1.20 %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555</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3.20% senior notes due 2029</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3.25 %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5,500</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3.25 %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5,500</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2.125% senior euro notes due 2029 (€550 principal)</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1.19 %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570</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1.19 %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611</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4.80% senior notes due 2029</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4.91 %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2,500</w:t>
            </w:r>
          </w:p>
        </w:tc>
        <w:tc>
          <w:tcPr>
            <w:tcW w:w="1780" w:type="dxa"/>
            <w:vAlign w:val="bottom"/>
          </w:tcPr>
          <w:p>
            <w:pPr>
              <w:spacing w:after="0" w:line="142" w:lineRule="exact"/>
              <w:ind w:right="501"/>
              <w:jc w:val="right"/>
              <w:rPr>
                <w:color w:val="auto"/>
                <w:sz w:val="20"/>
                <w:szCs w:val="20"/>
              </w:rPr>
            </w:pPr>
            <w:r>
              <w:rPr>
                <w:rFonts w:ascii="Calibri" w:eastAsia="Calibri" w:hAnsi="Calibri" w:cs="Calibri"/>
                <w:color w:val="auto"/>
                <w:sz w:val="12"/>
                <w:szCs w:val="12"/>
              </w:rPr>
              <w:t>—</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1.25% senior euro notes due 2031 (€650 principal)</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1.30 %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674</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1.30 %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722</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4.95% senior notes due 2031</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5.02 %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2,000</w:t>
            </w:r>
          </w:p>
        </w:tc>
        <w:tc>
          <w:tcPr>
            <w:tcW w:w="1780" w:type="dxa"/>
            <w:vAlign w:val="bottom"/>
          </w:tcPr>
          <w:p>
            <w:pPr>
              <w:spacing w:after="0" w:line="142" w:lineRule="exact"/>
              <w:ind w:right="501"/>
              <w:jc w:val="right"/>
              <w:rPr>
                <w:color w:val="auto"/>
                <w:sz w:val="20"/>
                <w:szCs w:val="20"/>
              </w:rPr>
            </w:pPr>
            <w:r>
              <w:rPr>
                <w:rFonts w:ascii="Calibri" w:eastAsia="Calibri" w:hAnsi="Calibri" w:cs="Calibri"/>
                <w:color w:val="auto"/>
                <w:sz w:val="12"/>
                <w:szCs w:val="12"/>
              </w:rPr>
              <w:t>—</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5.05% senior notes due 2034</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5.13 %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3,000</w:t>
            </w:r>
          </w:p>
        </w:tc>
        <w:tc>
          <w:tcPr>
            <w:tcW w:w="1780" w:type="dxa"/>
            <w:shd w:val="clear" w:color="auto" w:fill="CCEEFF"/>
            <w:vAlign w:val="bottom"/>
          </w:tcPr>
          <w:p>
            <w:pPr>
              <w:spacing w:after="0"/>
              <w:ind w:right="501"/>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4.55% senior notes due 2035</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3.52 %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1,789</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3.52 %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1,789</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4.50% senior notes due 2035</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4.58 %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2,500</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4.58 %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2,500</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4.30% senior notes due 2036</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4.37 %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1,000</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4.37 %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1,000</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4.05% senior notes due 2039</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4.11 %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4,000</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4.11 %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4,000</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4.40% senior notes due 2042</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4.46 %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2,600</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4.46 %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2,600</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4.625% senior notes due 2042</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4.00 %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457</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4.00 %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457</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4.85% senior notes due 2044</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4.11 %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1,074</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4.11 %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1,074</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5.35% senior notes due 2044</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5.39 %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750</w:t>
            </w:r>
          </w:p>
        </w:tc>
        <w:tc>
          <w:tcPr>
            <w:tcW w:w="1780" w:type="dxa"/>
            <w:shd w:val="clear" w:color="auto" w:fill="CCEEFF"/>
            <w:vAlign w:val="bottom"/>
          </w:tcPr>
          <w:p>
            <w:pPr>
              <w:spacing w:after="0"/>
              <w:ind w:right="501"/>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4.70% senior notes due 2045</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4.73 %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2,700</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4.73 %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2,700</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4.75% senior notes due 2045</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4.20 %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881</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4.20 %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881</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4.45% senior notes due 2046</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4.50 %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2,000</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4.50 %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2,000</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4.875% senior notes due 2048</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4.94 %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1,750</w:t>
            </w:r>
          </w:p>
        </w:tc>
        <w:tc>
          <w:tcPr>
            <w:tcW w:w="1780" w:type="dxa"/>
            <w:shd w:val="clear" w:color="auto" w:fill="CCEEFF"/>
            <w:vAlign w:val="bottom"/>
          </w:tcPr>
          <w:p>
            <w:pPr>
              <w:spacing w:after="0"/>
              <w:ind w:right="381"/>
              <w:jc w:val="right"/>
              <w:rPr>
                <w:color w:val="auto"/>
                <w:sz w:val="20"/>
                <w:szCs w:val="20"/>
              </w:rPr>
            </w:pPr>
            <w:r>
              <w:rPr>
                <w:rFonts w:ascii="Calibri" w:eastAsia="Calibri" w:hAnsi="Calibri" w:cs="Calibri"/>
                <w:color w:val="auto"/>
                <w:sz w:val="12"/>
                <w:szCs w:val="12"/>
              </w:rPr>
              <w:t>4.94 %</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1,750</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4.25% senior notes due 2049</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4.29 %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5,750</w:t>
            </w:r>
          </w:p>
        </w:tc>
        <w:tc>
          <w:tcPr>
            <w:tcW w:w="1780" w:type="dxa"/>
            <w:vAlign w:val="bottom"/>
          </w:tcPr>
          <w:p>
            <w:pPr>
              <w:spacing w:after="0" w:line="142" w:lineRule="exact"/>
              <w:ind w:right="381"/>
              <w:jc w:val="right"/>
              <w:rPr>
                <w:color w:val="auto"/>
                <w:sz w:val="20"/>
                <w:szCs w:val="20"/>
              </w:rPr>
            </w:pPr>
            <w:r>
              <w:rPr>
                <w:rFonts w:ascii="Calibri" w:eastAsia="Calibri" w:hAnsi="Calibri" w:cs="Calibri"/>
                <w:color w:val="auto"/>
                <w:sz w:val="12"/>
                <w:szCs w:val="12"/>
              </w:rPr>
              <w:t>4.29 %</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5,750</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5.40% senior notes due 2054</w:t>
            </w:r>
          </w:p>
        </w:tc>
        <w:tc>
          <w:tcPr>
            <w:tcW w:w="268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5.44 %</w:t>
            </w: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3,000</w:t>
            </w:r>
          </w:p>
        </w:tc>
        <w:tc>
          <w:tcPr>
            <w:tcW w:w="1780" w:type="dxa"/>
            <w:shd w:val="clear" w:color="auto" w:fill="CCEEFF"/>
            <w:vAlign w:val="bottom"/>
          </w:tcPr>
          <w:p>
            <w:pPr>
              <w:spacing w:after="0"/>
              <w:ind w:right="501"/>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5.50% senior notes due 2064</w:t>
            </w:r>
          </w:p>
        </w:tc>
        <w:tc>
          <w:tcPr>
            <w:tcW w:w="26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5.53 %</w:t>
            </w: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1,500</w:t>
            </w:r>
          </w:p>
        </w:tc>
        <w:tc>
          <w:tcPr>
            <w:tcW w:w="1780" w:type="dxa"/>
            <w:vAlign w:val="bottom"/>
          </w:tcPr>
          <w:p>
            <w:pPr>
              <w:spacing w:after="0" w:line="142" w:lineRule="exact"/>
              <w:ind w:right="501"/>
              <w:jc w:val="right"/>
              <w:rPr>
                <w:color w:val="auto"/>
                <w:sz w:val="20"/>
                <w:szCs w:val="20"/>
              </w:rPr>
            </w:pPr>
            <w:r>
              <w:rPr>
                <w:rFonts w:ascii="Calibri" w:eastAsia="Calibri" w:hAnsi="Calibri" w:cs="Calibri"/>
                <w:color w:val="auto"/>
                <w:sz w:val="12"/>
                <w:szCs w:val="12"/>
              </w:rPr>
              <w:t>—</w:t>
            </w: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Fair value hedges</w:t>
            </w:r>
          </w:p>
        </w:tc>
        <w:tc>
          <w:tcPr>
            <w:tcW w:w="2680" w:type="dxa"/>
            <w:shd w:val="clear" w:color="auto" w:fill="CCEEFF"/>
            <w:vAlign w:val="bottom"/>
          </w:tcPr>
          <w:p>
            <w:pPr>
              <w:spacing w:after="0"/>
              <w:rPr>
                <w:color w:val="auto"/>
                <w:sz w:val="13"/>
                <w:szCs w:val="13"/>
              </w:rPr>
            </w:pP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(224)</w:t>
            </w:r>
          </w:p>
        </w:tc>
        <w:tc>
          <w:tcPr>
            <w:tcW w:w="178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(266)</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Unamortzed bond discounts</w:t>
            </w:r>
          </w:p>
        </w:tc>
        <w:tc>
          <w:tcPr>
            <w:tcW w:w="2680" w:type="dxa"/>
            <w:vAlign w:val="bottom"/>
          </w:tcPr>
          <w:p>
            <w:pPr>
              <w:spacing w:after="0"/>
              <w:rPr>
                <w:color w:val="auto"/>
                <w:sz w:val="12"/>
                <w:szCs w:val="12"/>
              </w:rPr>
            </w:pPr>
          </w:p>
        </w:tc>
        <w:tc>
          <w:tcPr>
            <w:tcW w:w="380" w:type="dxa"/>
            <w:vAlign w:val="bottom"/>
          </w:tcPr>
          <w:p>
            <w:pPr>
              <w:spacing w:after="0"/>
              <w:rPr>
                <w:color w:val="auto"/>
                <w:sz w:val="12"/>
                <w:szCs w:val="12"/>
              </w:rPr>
            </w:pPr>
          </w:p>
        </w:tc>
        <w:tc>
          <w:tcPr>
            <w:tcW w:w="1340" w:type="dxa"/>
            <w:vAlign w:val="bottom"/>
          </w:tcPr>
          <w:p>
            <w:pPr>
              <w:spacing w:after="0" w:line="142" w:lineRule="exact"/>
              <w:ind w:right="220"/>
              <w:jc w:val="right"/>
              <w:rPr>
                <w:color w:val="auto"/>
                <w:sz w:val="20"/>
                <w:szCs w:val="20"/>
              </w:rPr>
            </w:pPr>
            <w:r>
              <w:rPr>
                <w:rFonts w:ascii="Calibri" w:eastAsia="Calibri" w:hAnsi="Calibri" w:cs="Calibri"/>
                <w:color w:val="auto"/>
                <w:sz w:val="12"/>
                <w:szCs w:val="12"/>
              </w:rPr>
              <w:t>(130)</w:t>
            </w:r>
          </w:p>
        </w:tc>
        <w:tc>
          <w:tcPr>
            <w:tcW w:w="178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(106)</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Unamortzed deferred fnancing costs</w:t>
            </w:r>
          </w:p>
        </w:tc>
        <w:tc>
          <w:tcPr>
            <w:tcW w:w="2680" w:type="dxa"/>
            <w:shd w:val="clear" w:color="auto" w:fill="CCEEFF"/>
            <w:vAlign w:val="bottom"/>
          </w:tcPr>
          <w:p>
            <w:pPr>
              <w:spacing w:after="0"/>
              <w:rPr>
                <w:color w:val="auto"/>
                <w:sz w:val="13"/>
                <w:szCs w:val="13"/>
              </w:rPr>
            </w:pP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(266)</w:t>
            </w:r>
          </w:p>
        </w:tc>
        <w:tc>
          <w:tcPr>
            <w:tcW w:w="178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(198)</w:t>
            </w:r>
          </w:p>
        </w:tc>
      </w:tr>
      <w:tr>
        <w:tblPrEx>
          <w:tblInd w:w="0" w:type="dxa"/>
          <w:tblLayout w:type="fixed"/>
        </w:tblPrEx>
        <w:trPr>
          <w:trHeight w:val="147"/>
        </w:trPr>
        <w:tc>
          <w:tcPr>
            <w:tcW w:w="4040" w:type="dxa"/>
            <w:vAlign w:val="bottom"/>
          </w:tcPr>
          <w:p>
            <w:pPr>
              <w:spacing w:after="0" w:line="142" w:lineRule="exact"/>
              <w:rPr>
                <w:color w:val="auto"/>
                <w:sz w:val="20"/>
                <w:szCs w:val="20"/>
              </w:rPr>
            </w:pPr>
            <w:r>
              <w:rPr>
                <w:rFonts w:ascii="Calibri" w:eastAsia="Calibri" w:hAnsi="Calibri" w:cs="Calibri"/>
                <w:color w:val="auto"/>
                <w:sz w:val="12"/>
                <w:szCs w:val="12"/>
              </w:rPr>
              <w:t>Unamortzed bond premiums</w:t>
            </w:r>
          </w:p>
        </w:tc>
        <w:tc>
          <w:tcPr>
            <w:tcW w:w="2680" w:type="dxa"/>
            <w:vAlign w:val="bottom"/>
          </w:tcPr>
          <w:p>
            <w:pPr>
              <w:spacing w:after="0"/>
              <w:rPr>
                <w:color w:val="auto"/>
                <w:sz w:val="12"/>
                <w:szCs w:val="12"/>
              </w:rPr>
            </w:pPr>
          </w:p>
        </w:tc>
        <w:tc>
          <w:tcPr>
            <w:tcW w:w="380" w:type="dxa"/>
            <w:vAlign w:val="bottom"/>
          </w:tcPr>
          <w:p>
            <w:pPr>
              <w:spacing w:after="0"/>
              <w:rPr>
                <w:color w:val="auto"/>
                <w:sz w:val="12"/>
                <w:szCs w:val="12"/>
              </w:rPr>
            </w:pPr>
          </w:p>
        </w:tc>
        <w:tc>
          <w:tcPr>
            <w:tcW w:w="134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555</w:t>
            </w:r>
          </w:p>
        </w:tc>
        <w:tc>
          <w:tcPr>
            <w:tcW w:w="178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668</w:t>
            </w:r>
          </w:p>
        </w:tc>
      </w:tr>
      <w:tr>
        <w:tblPrEx>
          <w:tblInd w:w="0" w:type="dxa"/>
          <w:tblLayout w:type="fixed"/>
        </w:tblPrEx>
        <w:trPr>
          <w:trHeight w:val="159"/>
        </w:trPr>
        <w:tc>
          <w:tcPr>
            <w:tcW w:w="4040" w:type="dxa"/>
            <w:shd w:val="clear" w:color="auto" w:fill="CCEEFF"/>
            <w:vAlign w:val="bottom"/>
          </w:tcPr>
          <w:p>
            <w:pPr>
              <w:spacing w:after="0"/>
              <w:rPr>
                <w:color w:val="auto"/>
                <w:sz w:val="20"/>
                <w:szCs w:val="20"/>
              </w:rPr>
            </w:pPr>
            <w:r>
              <w:rPr>
                <w:rFonts w:ascii="Calibri" w:eastAsia="Calibri" w:hAnsi="Calibri" w:cs="Calibri"/>
                <w:color w:val="auto"/>
                <w:sz w:val="12"/>
                <w:szCs w:val="12"/>
              </w:rPr>
              <w:t>Financing liability</w:t>
            </w:r>
          </w:p>
        </w:tc>
        <w:tc>
          <w:tcPr>
            <w:tcW w:w="2680" w:type="dxa"/>
            <w:shd w:val="clear" w:color="auto" w:fill="CCEEFF"/>
            <w:vAlign w:val="bottom"/>
          </w:tcPr>
          <w:p>
            <w:pPr>
              <w:spacing w:after="0"/>
              <w:rPr>
                <w:color w:val="auto"/>
                <w:sz w:val="13"/>
                <w:szCs w:val="13"/>
              </w:rPr>
            </w:pPr>
          </w:p>
        </w:tc>
        <w:tc>
          <w:tcPr>
            <w:tcW w:w="380" w:type="dxa"/>
            <w:shd w:val="clear" w:color="auto" w:fill="CCEEFF"/>
            <w:vAlign w:val="bottom"/>
          </w:tcPr>
          <w:p>
            <w:pPr>
              <w:spacing w:after="0"/>
              <w:rPr>
                <w:color w:val="auto"/>
                <w:sz w:val="13"/>
                <w:szCs w:val="13"/>
              </w:rPr>
            </w:pPr>
          </w:p>
        </w:tc>
        <w:tc>
          <w:tcPr>
            <w:tcW w:w="134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328</w:t>
            </w:r>
          </w:p>
        </w:tc>
        <w:tc>
          <w:tcPr>
            <w:tcW w:w="178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4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Other</w:t>
            </w:r>
          </w:p>
        </w:tc>
        <w:tc>
          <w:tcPr>
            <w:tcW w:w="2680" w:type="dxa"/>
            <w:tcBorders>
              <w:bottom w:val="single" w:sz="8" w:space="0" w:color="auto"/>
            </w:tcBorders>
            <w:vAlign w:val="bottom"/>
          </w:tcPr>
          <w:p>
            <w:pPr>
              <w:spacing w:after="0"/>
              <w:rPr>
                <w:color w:val="auto"/>
                <w:sz w:val="12"/>
                <w:szCs w:val="12"/>
              </w:rPr>
            </w:pPr>
          </w:p>
        </w:tc>
        <w:tc>
          <w:tcPr>
            <w:tcW w:w="380" w:type="dxa"/>
            <w:tcBorders>
              <w:bottom w:val="single" w:sz="8" w:space="0" w:color="auto"/>
            </w:tcBorders>
            <w:vAlign w:val="bottom"/>
          </w:tcPr>
          <w:p>
            <w:pPr>
              <w:spacing w:after="0"/>
              <w:rPr>
                <w:color w:val="auto"/>
                <w:sz w:val="12"/>
                <w:szCs w:val="12"/>
              </w:rPr>
            </w:pPr>
          </w:p>
        </w:tc>
        <w:tc>
          <w:tcPr>
            <w:tcW w:w="1340" w:type="dxa"/>
            <w:tcBorders>
              <w:bottom w:val="single" w:sz="8" w:space="0" w:color="auto"/>
            </w:tcBorders>
            <w:vAlign w:val="bottom"/>
          </w:tcPr>
          <w:p>
            <w:pPr>
              <w:spacing w:after="0" w:line="142" w:lineRule="exact"/>
              <w:ind w:right="240"/>
              <w:jc w:val="right"/>
              <w:rPr>
                <w:color w:val="auto"/>
                <w:sz w:val="20"/>
                <w:szCs w:val="20"/>
              </w:rPr>
            </w:pPr>
            <w:r>
              <w:rPr>
                <w:rFonts w:ascii="Calibri" w:eastAsia="Calibri" w:hAnsi="Calibri" w:cs="Calibri"/>
                <w:color w:val="auto"/>
                <w:sz w:val="12"/>
                <w:szCs w:val="12"/>
              </w:rPr>
              <w:t>40</w:t>
            </w:r>
          </w:p>
        </w:tc>
        <w:tc>
          <w:tcPr>
            <w:tcW w:w="178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42</w:t>
            </w:r>
          </w:p>
        </w:tc>
      </w:tr>
      <w:tr>
        <w:tblPrEx>
          <w:tblInd w:w="0" w:type="dxa"/>
          <w:tblLayout w:type="fixed"/>
        </w:tblPrEx>
        <w:trPr>
          <w:trHeight w:val="148"/>
        </w:trPr>
        <w:tc>
          <w:tcPr>
            <w:tcW w:w="40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long-term debt and fnance lease obligatons</w:t>
            </w:r>
          </w:p>
        </w:tc>
        <w:tc>
          <w:tcPr>
            <w:tcW w:w="2680" w:type="dxa"/>
            <w:shd w:val="clear" w:color="auto" w:fill="CCEEFF"/>
            <w:vAlign w:val="bottom"/>
          </w:tcPr>
          <w:p>
            <w:pPr>
              <w:spacing w:after="0"/>
              <w:rPr>
                <w:color w:val="auto"/>
                <w:sz w:val="12"/>
                <w:szCs w:val="12"/>
              </w:rPr>
            </w:pPr>
          </w:p>
        </w:tc>
        <w:tc>
          <w:tcPr>
            <w:tcW w:w="380" w:type="dxa"/>
            <w:shd w:val="clear" w:color="auto" w:fill="CCEEFF"/>
            <w:vAlign w:val="bottom"/>
          </w:tcPr>
          <w:p>
            <w:pPr>
              <w:spacing w:after="0"/>
              <w:rPr>
                <w:color w:val="auto"/>
                <w:sz w:val="12"/>
                <w:szCs w:val="12"/>
              </w:rPr>
            </w:pPr>
          </w:p>
        </w:tc>
        <w:tc>
          <w:tcPr>
            <w:tcW w:w="1340" w:type="dxa"/>
            <w:shd w:val="clear" w:color="auto" w:fill="CCEEFF"/>
            <w:vAlign w:val="bottom"/>
          </w:tcPr>
          <w:p>
            <w:pPr>
              <w:spacing w:after="0" w:line="142" w:lineRule="exact"/>
              <w:ind w:right="240"/>
              <w:jc w:val="right"/>
              <w:rPr>
                <w:color w:val="auto"/>
                <w:sz w:val="20"/>
                <w:szCs w:val="20"/>
              </w:rPr>
            </w:pPr>
            <w:r>
              <w:rPr>
                <w:rFonts w:ascii="Calibri" w:eastAsia="Calibri" w:hAnsi="Calibri" w:cs="Calibri"/>
                <w:color w:val="auto"/>
                <w:sz w:val="12"/>
                <w:szCs w:val="12"/>
              </w:rPr>
              <w:t>67,144</w:t>
            </w:r>
          </w:p>
        </w:tc>
        <w:tc>
          <w:tcPr>
            <w:tcW w:w="1780" w:type="dxa"/>
            <w:shd w:val="clear" w:color="auto" w:fill="CCEEFF"/>
            <w:vAlign w:val="bottom"/>
          </w:tcPr>
          <w:p>
            <w:pPr>
              <w:spacing w:after="0"/>
              <w:rPr>
                <w:color w:val="auto"/>
                <w:sz w:val="12"/>
                <w:szCs w:val="12"/>
              </w:rPr>
            </w:pP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59,385</w:t>
            </w:r>
          </w:p>
        </w:tc>
      </w:tr>
      <w:tr>
        <w:tblPrEx>
          <w:tblInd w:w="0" w:type="dxa"/>
          <w:tblLayout w:type="fixed"/>
        </w:tblPrEx>
        <w:trPr>
          <w:trHeight w:val="147"/>
        </w:trPr>
        <w:tc>
          <w:tcPr>
            <w:tcW w:w="4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Current porton</w:t>
            </w:r>
          </w:p>
        </w:tc>
        <w:tc>
          <w:tcPr>
            <w:tcW w:w="2680" w:type="dxa"/>
            <w:tcBorders>
              <w:bottom w:val="single" w:sz="8" w:space="0" w:color="auto"/>
            </w:tcBorders>
            <w:vAlign w:val="bottom"/>
          </w:tcPr>
          <w:p>
            <w:pPr>
              <w:spacing w:after="0"/>
              <w:rPr>
                <w:color w:val="auto"/>
                <w:sz w:val="12"/>
                <w:szCs w:val="12"/>
              </w:rPr>
            </w:pPr>
          </w:p>
        </w:tc>
        <w:tc>
          <w:tcPr>
            <w:tcW w:w="380" w:type="dxa"/>
            <w:tcBorders>
              <w:bottom w:val="single" w:sz="8" w:space="0" w:color="auto"/>
            </w:tcBorders>
            <w:vAlign w:val="bottom"/>
          </w:tcPr>
          <w:p>
            <w:pPr>
              <w:spacing w:after="0"/>
              <w:rPr>
                <w:color w:val="auto"/>
                <w:sz w:val="12"/>
                <w:szCs w:val="12"/>
              </w:rPr>
            </w:pPr>
          </w:p>
        </w:tc>
        <w:tc>
          <w:tcPr>
            <w:tcW w:w="1340" w:type="dxa"/>
            <w:tcBorders>
              <w:bottom w:val="single" w:sz="8" w:space="0" w:color="auto"/>
            </w:tcBorders>
            <w:vAlign w:val="bottom"/>
          </w:tcPr>
          <w:p>
            <w:pPr>
              <w:spacing w:after="0" w:line="142" w:lineRule="exact"/>
              <w:ind w:right="240"/>
              <w:jc w:val="right"/>
              <w:rPr>
                <w:color w:val="auto"/>
                <w:sz w:val="20"/>
                <w:szCs w:val="20"/>
              </w:rPr>
            </w:pPr>
            <w:r>
              <w:rPr>
                <w:rFonts w:ascii="Calibri" w:eastAsia="Calibri" w:hAnsi="Calibri" w:cs="Calibri"/>
                <w:color w:val="auto"/>
                <w:sz w:val="12"/>
                <w:szCs w:val="12"/>
              </w:rPr>
              <w:t>6,804</w:t>
            </w:r>
          </w:p>
        </w:tc>
        <w:tc>
          <w:tcPr>
            <w:tcW w:w="178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7,191</w:t>
            </w:r>
          </w:p>
        </w:tc>
      </w:tr>
      <w:tr>
        <w:tblPrEx>
          <w:tblInd w:w="0" w:type="dxa"/>
          <w:tblLayout w:type="fixed"/>
        </w:tblPrEx>
        <w:trPr>
          <w:trHeight w:val="164"/>
        </w:trPr>
        <w:tc>
          <w:tcPr>
            <w:tcW w:w="40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Noncurrent porton</w:t>
            </w:r>
          </w:p>
        </w:tc>
        <w:tc>
          <w:tcPr>
            <w:tcW w:w="2680" w:type="dxa"/>
            <w:tcBorders>
              <w:bottom w:val="single" w:sz="8" w:space="0" w:color="auto"/>
            </w:tcBorders>
            <w:shd w:val="clear" w:color="auto" w:fill="CCEEFF"/>
            <w:vAlign w:val="bottom"/>
          </w:tcPr>
          <w:p>
            <w:pPr>
              <w:spacing w:after="0"/>
              <w:rPr>
                <w:color w:val="auto"/>
                <w:sz w:val="14"/>
                <w:szCs w:val="14"/>
              </w:rPr>
            </w:pP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340" w:type="dxa"/>
            <w:tcBorders>
              <w:bottom w:val="single" w:sz="8" w:space="0" w:color="auto"/>
            </w:tcBorders>
            <w:shd w:val="clear" w:color="auto" w:fill="CCEEFF"/>
            <w:vAlign w:val="bottom"/>
          </w:tcPr>
          <w:p>
            <w:pPr>
              <w:spacing w:after="0" w:line="142" w:lineRule="exact"/>
              <w:ind w:right="240"/>
              <w:jc w:val="right"/>
              <w:rPr>
                <w:color w:val="auto"/>
                <w:sz w:val="20"/>
                <w:szCs w:val="20"/>
              </w:rPr>
            </w:pPr>
            <w:r>
              <w:rPr>
                <w:rFonts w:ascii="Calibri" w:eastAsia="Calibri" w:hAnsi="Calibri" w:cs="Calibri"/>
                <w:color w:val="auto"/>
                <w:sz w:val="12"/>
                <w:szCs w:val="12"/>
              </w:rPr>
              <w:t>60,340</w:t>
            </w:r>
          </w:p>
        </w:tc>
        <w:tc>
          <w:tcPr>
            <w:tcW w:w="1780" w:type="dxa"/>
            <w:tcBorders>
              <w:bottom w:val="single" w:sz="8" w:space="0" w:color="auto"/>
            </w:tcBorders>
            <w:shd w:val="clear" w:color="auto" w:fill="CCEEFF"/>
            <w:vAlign w:val="bottom"/>
          </w:tcPr>
          <w:p>
            <w:pPr>
              <w:spacing w:after="0" w:line="142" w:lineRule="exact"/>
              <w:ind w:right="221"/>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52,194</w:t>
            </w:r>
          </w:p>
        </w:tc>
      </w:tr>
    </w:tbl>
    <w:p>
      <w:pPr>
        <w:spacing w:after="0" w:line="98" w:lineRule="exact"/>
        <w:rPr>
          <w:color w:val="auto"/>
          <w:sz w:val="20"/>
          <w:szCs w:val="20"/>
        </w:rPr>
      </w:pPr>
    </w:p>
    <w:p>
      <w:pPr>
        <w:tabs>
          <w:tab w:val="left" w:pos="260"/>
        </w:tabs>
        <w:spacing w:after="0"/>
        <w:rPr>
          <w:color w:val="auto"/>
          <w:sz w:val="20"/>
          <w:szCs w:val="20"/>
        </w:rPr>
      </w:pPr>
      <w:r>
        <w:rPr>
          <w:rFonts w:ascii="Calibri" w:eastAsia="Calibri" w:hAnsi="Calibri" w:cs="Calibri"/>
          <w:color w:val="auto"/>
          <w:sz w:val="12"/>
          <w:szCs w:val="12"/>
        </w:rPr>
        <w:t>(a)</w:t>
        <w:tab/>
        <w:t>Excludes the efect of any related interest rate swaps.</w:t>
      </w:r>
    </w:p>
    <w:p>
      <w:pPr>
        <w:spacing w:after="0" w:line="200" w:lineRule="exact"/>
        <w:rPr>
          <w:color w:val="auto"/>
          <w:sz w:val="20"/>
          <w:szCs w:val="20"/>
        </w:rPr>
      </w:pPr>
    </w:p>
    <w:p>
      <w:pPr>
        <w:spacing w:after="0" w:line="337"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75</w:t>
      </w:r>
      <w:r>
        <w:rPr>
          <w:color w:val="auto"/>
          <w:sz w:val="20"/>
          <w:szCs w:val="20"/>
        </w:rPr>
        <w:tab/>
      </w:r>
      <w:r>
        <w:rPr>
          <w:color w:val="auto"/>
          <w:sz w:val="1"/>
          <w:szCs w:val="1"/>
        </w:rPr>
        <w:drawing>
          <wp:inline distT="0" distB="0" distL="0" distR="0">
            <wp:extent cx="400050" cy="7429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52800" behindDoc="1" locked="0" layoutInCell="0" allowOverlap="1">
            <wp:simplePos x="0" y="0"/>
            <wp:positionH relativeFrom="column">
              <wp:posOffset>-17145</wp:posOffset>
            </wp:positionH>
            <wp:positionV relativeFrom="paragraph">
              <wp:posOffset>133985</wp:posOffset>
            </wp:positionV>
            <wp:extent cx="7203440" cy="3683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804" w:right="299" w:bottom="1440" w:left="300" w:header="0" w:footer="0" w:gutter="0"/>
          <w:cols w:num="1" w:space="720" w:equalWidth="0">
            <w:col w:w="11300" w:space="0"/>
          </w:cols>
        </w:sectPr>
      </w:pPr>
    </w:p>
    <w:bookmarkStart w:id="77" w:name="page78"/>
    <w:bookmarkEnd w:id="77"/>
    <w:p>
      <w:pPr>
        <w:spacing w:after="0" w:line="234" w:lineRule="auto"/>
        <w:ind w:right="180" w:firstLine="297"/>
        <w:rPr>
          <w:color w:val="auto"/>
          <w:sz w:val="20"/>
          <w:szCs w:val="20"/>
        </w:rPr>
      </w:pPr>
      <w:r>
        <w:rPr>
          <w:rFonts w:ascii="Calibri" w:eastAsia="Calibri" w:hAnsi="Calibri" w:cs="Calibri"/>
          <w:color w:val="auto"/>
          <w:sz w:val="12"/>
          <w:szCs w:val="12"/>
        </w:rPr>
        <w:t>Senior notes and foatng rate term loans are redeemable prior to maturity at a redempton price equal to the principal amount plus a make-whole premium and AbbVie may redeem these debt securites at par generally between one and six months prior to maturity. At December 31, 2024, the company was in compliance with its senior note covenants and term loan covenants.</w:t>
      </w:r>
    </w:p>
    <w:p>
      <w:pPr>
        <w:spacing w:after="0" w:line="79"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Maturites of Long-Term Debt</w:t>
      </w:r>
    </w:p>
    <w:p>
      <w:pPr>
        <w:spacing w:after="0" w:line="115" w:lineRule="exact"/>
        <w:rPr>
          <w:color w:val="auto"/>
          <w:sz w:val="20"/>
          <w:szCs w:val="20"/>
        </w:rPr>
      </w:pPr>
    </w:p>
    <w:p>
      <w:pPr>
        <w:spacing w:after="0"/>
        <w:rPr>
          <w:color w:val="auto"/>
          <w:sz w:val="20"/>
          <w:szCs w:val="20"/>
        </w:rPr>
      </w:pPr>
      <w:r>
        <w:rPr>
          <w:rFonts w:ascii="Calibri" w:eastAsia="Calibri" w:hAnsi="Calibri" w:cs="Calibri"/>
          <w:b/>
          <w:bCs/>
          <w:color w:val="auto"/>
          <w:sz w:val="10"/>
          <w:szCs w:val="10"/>
        </w:rPr>
        <w:t>as of and for the years ending December 31 (in millions)</w:t>
      </w:r>
    </w:p>
    <w:p>
      <w:pPr>
        <w:spacing w:after="0" w:line="12" w:lineRule="exact"/>
        <w:rPr>
          <w:color w:val="auto"/>
          <w:sz w:val="20"/>
          <w:szCs w:val="20"/>
        </w:rPr>
      </w:pPr>
    </w:p>
    <w:tbl>
      <w:tblPr>
        <w:tblInd w:w="0" w:type="dxa"/>
        <w:tblLayout w:type="fixed"/>
        <w:tblCellMar>
          <w:top w:w="0" w:type="dxa"/>
          <w:left w:w="0" w:type="dxa"/>
          <w:bottom w:w="0" w:type="dxa"/>
          <w:right w:w="0" w:type="dxa"/>
        </w:tblCellMar>
      </w:tblPr>
      <w:tblGrid>
        <w:gridCol w:w="8240"/>
        <w:gridCol w:w="2360"/>
        <w:gridCol w:w="640"/>
      </w:tblGrid>
      <w:tr>
        <w:tblPrEx>
          <w:tblInd w:w="0" w:type="dxa"/>
          <w:tblLayout w:type="fixed"/>
        </w:tblPrEx>
        <w:trPr>
          <w:trHeight w:val="162"/>
        </w:trPr>
        <w:tc>
          <w:tcPr>
            <w:tcW w:w="8240" w:type="dxa"/>
            <w:tcBorders>
              <w:top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2025</w:t>
            </w:r>
          </w:p>
        </w:tc>
        <w:tc>
          <w:tcPr>
            <w:tcW w:w="2360" w:type="dxa"/>
            <w:tcBorders>
              <w:top w:val="single" w:sz="8" w:space="0" w:color="auto"/>
            </w:tcBorders>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640" w:type="dxa"/>
            <w:tcBorders>
              <w:top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6,771</w:t>
            </w:r>
          </w:p>
        </w:tc>
      </w:tr>
      <w:tr>
        <w:tblPrEx>
          <w:tblInd w:w="0" w:type="dxa"/>
          <w:tblLayout w:type="fixed"/>
        </w:tblPrEx>
        <w:trPr>
          <w:trHeight w:val="147"/>
        </w:trPr>
        <w:tc>
          <w:tcPr>
            <w:tcW w:w="8240" w:type="dxa"/>
            <w:vAlign w:val="bottom"/>
          </w:tcPr>
          <w:p>
            <w:pPr>
              <w:spacing w:after="0" w:line="142" w:lineRule="exact"/>
              <w:rPr>
                <w:color w:val="auto"/>
                <w:sz w:val="20"/>
                <w:szCs w:val="20"/>
              </w:rPr>
            </w:pPr>
            <w:r>
              <w:rPr>
                <w:rFonts w:ascii="Calibri" w:eastAsia="Calibri" w:hAnsi="Calibri" w:cs="Calibri"/>
                <w:color w:val="auto"/>
                <w:sz w:val="12"/>
                <w:szCs w:val="12"/>
              </w:rPr>
              <w:t>2026</w:t>
            </w:r>
          </w:p>
        </w:tc>
        <w:tc>
          <w:tcPr>
            <w:tcW w:w="2360" w:type="dxa"/>
            <w:vAlign w:val="bottom"/>
          </w:tcPr>
          <w:p>
            <w:pPr>
              <w:spacing w:after="0"/>
              <w:rPr>
                <w:color w:val="auto"/>
                <w:sz w:val="12"/>
                <w:szCs w:val="12"/>
              </w:rPr>
            </w:pPr>
          </w:p>
        </w:tc>
        <w:tc>
          <w:tcPr>
            <w:tcW w:w="640" w:type="dxa"/>
            <w:vAlign w:val="bottom"/>
          </w:tcPr>
          <w:p>
            <w:pPr>
              <w:spacing w:after="0" w:line="142" w:lineRule="exact"/>
              <w:jc w:val="right"/>
              <w:rPr>
                <w:color w:val="auto"/>
                <w:sz w:val="20"/>
                <w:szCs w:val="20"/>
              </w:rPr>
            </w:pPr>
            <w:r>
              <w:rPr>
                <w:rFonts w:ascii="Calibri" w:eastAsia="Calibri" w:hAnsi="Calibri" w:cs="Calibri"/>
                <w:color w:val="auto"/>
                <w:sz w:val="12"/>
                <w:szCs w:val="12"/>
              </w:rPr>
              <w:t>6,000</w:t>
            </w:r>
          </w:p>
        </w:tc>
      </w:tr>
      <w:tr>
        <w:tblPrEx>
          <w:tblInd w:w="0" w:type="dxa"/>
          <w:tblLayout w:type="fixed"/>
        </w:tblPrEx>
        <w:trPr>
          <w:trHeight w:val="159"/>
        </w:trPr>
        <w:tc>
          <w:tcPr>
            <w:tcW w:w="8240" w:type="dxa"/>
            <w:shd w:val="clear" w:color="auto" w:fill="CCEEFF"/>
            <w:vAlign w:val="bottom"/>
          </w:tcPr>
          <w:p>
            <w:pPr>
              <w:spacing w:after="0"/>
              <w:rPr>
                <w:color w:val="auto"/>
                <w:sz w:val="20"/>
                <w:szCs w:val="20"/>
              </w:rPr>
            </w:pPr>
            <w:r>
              <w:rPr>
                <w:rFonts w:ascii="Calibri" w:eastAsia="Calibri" w:hAnsi="Calibri" w:cs="Calibri"/>
                <w:color w:val="auto"/>
                <w:sz w:val="12"/>
                <w:szCs w:val="12"/>
              </w:rPr>
              <w:t>2027</w:t>
            </w:r>
          </w:p>
        </w:tc>
        <w:tc>
          <w:tcPr>
            <w:tcW w:w="2360" w:type="dxa"/>
            <w:shd w:val="clear" w:color="auto" w:fill="CCEEFF"/>
            <w:vAlign w:val="bottom"/>
          </w:tcPr>
          <w:p>
            <w:pPr>
              <w:spacing w:after="0"/>
              <w:rPr>
                <w:color w:val="auto"/>
                <w:sz w:val="13"/>
                <w:szCs w:val="13"/>
              </w:rPr>
            </w:pPr>
          </w:p>
        </w:tc>
        <w:tc>
          <w:tcPr>
            <w:tcW w:w="6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5,028</w:t>
            </w:r>
          </w:p>
        </w:tc>
      </w:tr>
      <w:tr>
        <w:tblPrEx>
          <w:tblInd w:w="0" w:type="dxa"/>
          <w:tblLayout w:type="fixed"/>
        </w:tblPrEx>
        <w:trPr>
          <w:trHeight w:val="147"/>
        </w:trPr>
        <w:tc>
          <w:tcPr>
            <w:tcW w:w="8240" w:type="dxa"/>
            <w:vAlign w:val="bottom"/>
          </w:tcPr>
          <w:p>
            <w:pPr>
              <w:spacing w:after="0" w:line="142" w:lineRule="exact"/>
              <w:rPr>
                <w:color w:val="auto"/>
                <w:sz w:val="20"/>
                <w:szCs w:val="20"/>
              </w:rPr>
            </w:pPr>
            <w:r>
              <w:rPr>
                <w:rFonts w:ascii="Calibri" w:eastAsia="Calibri" w:hAnsi="Calibri" w:cs="Calibri"/>
                <w:color w:val="auto"/>
                <w:sz w:val="12"/>
                <w:szCs w:val="12"/>
              </w:rPr>
              <w:t>2028</w:t>
            </w:r>
          </w:p>
        </w:tc>
        <w:tc>
          <w:tcPr>
            <w:tcW w:w="2360" w:type="dxa"/>
            <w:vAlign w:val="bottom"/>
          </w:tcPr>
          <w:p>
            <w:pPr>
              <w:spacing w:after="0"/>
              <w:rPr>
                <w:color w:val="auto"/>
                <w:sz w:val="12"/>
                <w:szCs w:val="12"/>
              </w:rPr>
            </w:pPr>
          </w:p>
        </w:tc>
        <w:tc>
          <w:tcPr>
            <w:tcW w:w="640" w:type="dxa"/>
            <w:vAlign w:val="bottom"/>
          </w:tcPr>
          <w:p>
            <w:pPr>
              <w:spacing w:after="0" w:line="142" w:lineRule="exact"/>
              <w:jc w:val="right"/>
              <w:rPr>
                <w:color w:val="auto"/>
                <w:sz w:val="20"/>
                <w:szCs w:val="20"/>
              </w:rPr>
            </w:pPr>
            <w:r>
              <w:rPr>
                <w:rFonts w:ascii="Calibri" w:eastAsia="Calibri" w:hAnsi="Calibri" w:cs="Calibri"/>
                <w:color w:val="auto"/>
                <w:sz w:val="12"/>
                <w:szCs w:val="12"/>
              </w:rPr>
              <w:t>3,047</w:t>
            </w:r>
          </w:p>
        </w:tc>
      </w:tr>
      <w:tr>
        <w:tblPrEx>
          <w:tblInd w:w="0" w:type="dxa"/>
          <w:tblLayout w:type="fixed"/>
        </w:tblPrEx>
        <w:trPr>
          <w:trHeight w:val="159"/>
        </w:trPr>
        <w:tc>
          <w:tcPr>
            <w:tcW w:w="8240" w:type="dxa"/>
            <w:shd w:val="clear" w:color="auto" w:fill="CCEEFF"/>
            <w:vAlign w:val="bottom"/>
          </w:tcPr>
          <w:p>
            <w:pPr>
              <w:spacing w:after="0"/>
              <w:rPr>
                <w:color w:val="auto"/>
                <w:sz w:val="20"/>
                <w:szCs w:val="20"/>
              </w:rPr>
            </w:pPr>
            <w:r>
              <w:rPr>
                <w:rFonts w:ascii="Calibri" w:eastAsia="Calibri" w:hAnsi="Calibri" w:cs="Calibri"/>
                <w:color w:val="auto"/>
                <w:sz w:val="12"/>
                <w:szCs w:val="12"/>
              </w:rPr>
              <w:t>2029</w:t>
            </w:r>
          </w:p>
        </w:tc>
        <w:tc>
          <w:tcPr>
            <w:tcW w:w="2360" w:type="dxa"/>
            <w:shd w:val="clear" w:color="auto" w:fill="CCEEFF"/>
            <w:vAlign w:val="bottom"/>
          </w:tcPr>
          <w:p>
            <w:pPr>
              <w:spacing w:after="0"/>
              <w:rPr>
                <w:color w:val="auto"/>
                <w:sz w:val="13"/>
                <w:szCs w:val="13"/>
              </w:rPr>
            </w:pPr>
          </w:p>
        </w:tc>
        <w:tc>
          <w:tcPr>
            <w:tcW w:w="6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8,570</w:t>
            </w:r>
          </w:p>
        </w:tc>
      </w:tr>
      <w:tr>
        <w:tblPrEx>
          <w:tblInd w:w="0" w:type="dxa"/>
          <w:tblLayout w:type="fixed"/>
        </w:tblPrEx>
        <w:trPr>
          <w:trHeight w:val="147"/>
        </w:trPr>
        <w:tc>
          <w:tcPr>
            <w:tcW w:w="82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Thereafer</w:t>
            </w:r>
          </w:p>
        </w:tc>
        <w:tc>
          <w:tcPr>
            <w:tcW w:w="2360" w:type="dxa"/>
            <w:tcBorders>
              <w:bottom w:val="single" w:sz="8" w:space="0" w:color="auto"/>
            </w:tcBorders>
            <w:vAlign w:val="bottom"/>
          </w:tcPr>
          <w:p>
            <w:pPr>
              <w:spacing w:after="0"/>
              <w:rPr>
                <w:color w:val="auto"/>
                <w:sz w:val="12"/>
                <w:szCs w:val="12"/>
              </w:rPr>
            </w:pPr>
          </w:p>
        </w:tc>
        <w:tc>
          <w:tcPr>
            <w:tcW w:w="6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37,425</w:t>
            </w:r>
          </w:p>
        </w:tc>
      </w:tr>
      <w:tr>
        <w:tblPrEx>
          <w:tblInd w:w="0" w:type="dxa"/>
          <w:tblLayout w:type="fixed"/>
        </w:tblPrEx>
        <w:trPr>
          <w:trHeight w:val="148"/>
        </w:trPr>
        <w:tc>
          <w:tcPr>
            <w:tcW w:w="82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obligatons and commitments</w:t>
            </w:r>
          </w:p>
        </w:tc>
        <w:tc>
          <w:tcPr>
            <w:tcW w:w="2360" w:type="dxa"/>
            <w:shd w:val="clear" w:color="auto" w:fill="CCEEFF"/>
            <w:vAlign w:val="bottom"/>
          </w:tcPr>
          <w:p>
            <w:pPr>
              <w:spacing w:after="0"/>
              <w:rPr>
                <w:color w:val="auto"/>
                <w:sz w:val="12"/>
                <w:szCs w:val="12"/>
              </w:rPr>
            </w:pPr>
          </w:p>
        </w:tc>
        <w:tc>
          <w:tcPr>
            <w:tcW w:w="64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66,841</w:t>
            </w:r>
          </w:p>
        </w:tc>
      </w:tr>
      <w:tr>
        <w:tblPrEx>
          <w:tblInd w:w="0" w:type="dxa"/>
          <w:tblLayout w:type="fixed"/>
        </w:tblPrEx>
        <w:trPr>
          <w:trHeight w:val="147"/>
        </w:trPr>
        <w:tc>
          <w:tcPr>
            <w:tcW w:w="82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Fair value hedges, unamortzed bond premiums/discounts, deferred fnancing costs, fnance lease obligatons and fnancing liability</w:t>
            </w:r>
          </w:p>
        </w:tc>
        <w:tc>
          <w:tcPr>
            <w:tcW w:w="2360" w:type="dxa"/>
            <w:tcBorders>
              <w:bottom w:val="single" w:sz="8" w:space="0" w:color="auto"/>
            </w:tcBorders>
            <w:vAlign w:val="bottom"/>
          </w:tcPr>
          <w:p>
            <w:pPr>
              <w:spacing w:after="0"/>
              <w:rPr>
                <w:color w:val="auto"/>
                <w:sz w:val="12"/>
                <w:szCs w:val="12"/>
              </w:rPr>
            </w:pPr>
          </w:p>
        </w:tc>
        <w:tc>
          <w:tcPr>
            <w:tcW w:w="6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303</w:t>
            </w:r>
          </w:p>
        </w:tc>
      </w:tr>
      <w:tr>
        <w:tblPrEx>
          <w:tblInd w:w="0" w:type="dxa"/>
          <w:tblLayout w:type="fixed"/>
        </w:tblPrEx>
        <w:trPr>
          <w:trHeight w:val="164"/>
        </w:trPr>
        <w:tc>
          <w:tcPr>
            <w:tcW w:w="82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long-term debt and fnance lease obligatons</w:t>
            </w:r>
          </w:p>
        </w:tc>
        <w:tc>
          <w:tcPr>
            <w:tcW w:w="236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6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67,144</w:t>
            </w:r>
          </w:p>
        </w:tc>
      </w:tr>
    </w:tbl>
    <w:p>
      <w:pPr>
        <w:spacing w:after="0" w:line="125"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Financing Related to ImmunoGen and Cerevel Therapeutcs Acquisitons</w:t>
      </w:r>
    </w:p>
    <w:p>
      <w:pPr>
        <w:spacing w:after="0" w:line="101" w:lineRule="exact"/>
        <w:rPr>
          <w:color w:val="auto"/>
          <w:sz w:val="20"/>
          <w:szCs w:val="20"/>
        </w:rPr>
      </w:pPr>
    </w:p>
    <w:p>
      <w:pPr>
        <w:spacing w:after="0" w:line="235" w:lineRule="auto"/>
        <w:ind w:right="120" w:firstLine="297"/>
        <w:rPr>
          <w:color w:val="auto"/>
          <w:sz w:val="20"/>
          <w:szCs w:val="20"/>
        </w:rPr>
      </w:pPr>
      <w:r>
        <w:rPr>
          <w:rFonts w:ascii="Calibri" w:eastAsia="Calibri" w:hAnsi="Calibri" w:cs="Calibri"/>
          <w:color w:val="auto"/>
          <w:sz w:val="12"/>
          <w:szCs w:val="12"/>
        </w:rPr>
        <w:t>In connecton with the acquisitons of ImmunoGen and Cerevel Therapeutcs, in February 2024, the company issued $15.0 billion aggregate principal amount of unsecured senior notes. The notes are unsecured, unsubordinated obligatons of AbbVie and will rank equally in right of payment with all of AbbVie’s existng and future unsecured, unsubordinated indebtedness, liabilites and other obligatons. AbbVie may redeem the fxed-rate senior notes prior to maturity at a redempton price equal to the greater of the principal amount or the sum of present values of the remaining scheduled payments of principal and interest on the fxed-rate senior notes to be redeemed plus a make-whole premium. AbbVie may also redeem the fxed-rate senior notes at par between one and six months prior to maturity. In connecton with the ofering, debt issuance costs incurred totaled $99 million and debt discounts totaled $37 million, which are being amortzed over the respectve terms of the notes to interest expense, net in the consolidated statements of earnings.</w:t>
      </w:r>
    </w:p>
    <w:p>
      <w:pPr>
        <w:spacing w:after="0" w:line="93" w:lineRule="exact"/>
        <w:rPr>
          <w:color w:val="auto"/>
          <w:sz w:val="20"/>
          <w:szCs w:val="20"/>
        </w:rPr>
      </w:pPr>
    </w:p>
    <w:p>
      <w:pPr>
        <w:spacing w:after="0" w:line="234" w:lineRule="auto"/>
        <w:ind w:right="180" w:firstLine="297"/>
        <w:rPr>
          <w:color w:val="auto"/>
          <w:sz w:val="20"/>
          <w:szCs w:val="20"/>
        </w:rPr>
      </w:pPr>
      <w:r>
        <w:rPr>
          <w:rFonts w:ascii="Calibri" w:eastAsia="Calibri" w:hAnsi="Calibri" w:cs="Calibri"/>
          <w:color w:val="auto"/>
          <w:sz w:val="12"/>
          <w:szCs w:val="12"/>
        </w:rPr>
        <w:t>AbbVie used the net proceeds received from the issuance of the notes to fnance the acquisiton of ImmunoGen, repay its term-loan, repay commercial paper borrowings, pay fees and expenses in respect of the foregoing, fnance general corporate purposes and, together with cash on hand, fund AbbVie’s acquisiton of Cerevel Therapeutcs. See Note 5 for additonal informaton.</w:t>
      </w:r>
    </w:p>
    <w:p>
      <w:pPr>
        <w:spacing w:after="0" w:line="101" w:lineRule="exact"/>
        <w:rPr>
          <w:color w:val="auto"/>
          <w:sz w:val="20"/>
          <w:szCs w:val="20"/>
        </w:rPr>
      </w:pPr>
    </w:p>
    <w:p>
      <w:pPr>
        <w:spacing w:after="0" w:line="235" w:lineRule="auto"/>
        <w:ind w:right="100" w:firstLine="297"/>
        <w:rPr>
          <w:color w:val="auto"/>
          <w:sz w:val="20"/>
          <w:szCs w:val="20"/>
        </w:rPr>
      </w:pPr>
      <w:r>
        <w:rPr>
          <w:rFonts w:ascii="Calibri" w:eastAsia="Calibri" w:hAnsi="Calibri" w:cs="Calibri"/>
          <w:color w:val="auto"/>
          <w:sz w:val="12"/>
          <w:szCs w:val="12"/>
        </w:rPr>
        <w:t>In December 2023, AbbVie entered into a $9.0 billion 364-day bridge credit agreement and $5.0 billion 364-day term loan credit agreement. In February 2024, AbbVie borrowed and repaid $5.0 billion under the term loan credit agreement. Interest charged on this borrowing was based on Secured Overnight Financing Rate Reference Rate (SOFR) +0.975% with an efectve interest rate of 6.29%. Subsequent to the $15.0 billion issuance of senior notes, AbbVie terminated both the bridge and term loan credit agreements in the frst quarter of 2024. In February 2024, concurrent with the ImmunoGen acquisiton, the company assumed and repaid an ImmunoGen senior secured term loan at a fair value of $99 million.</w:t>
      </w:r>
    </w:p>
    <w:p>
      <w:pPr>
        <w:spacing w:after="0" w:line="101"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In connecton with the acquisiton of Cerevel Therapeutcs, the company assumed $345 million aggregate principal of 2.5% convertble senior notes due 2027. Upon acquisiton, the convertble senior notes became callable and note holders could redeem the convertble senior notes for cash at a premium. As of the acquisiton date, the convertble senior notes were recognized as current porton of long-term debt on the consolidated balance sheets at an aggregate fair value of $400 million. Following the acquisiton date, the company repaid the convertble senior notes and there were no amounts outstanding as of December 31, 2024.</w:t>
      </w:r>
    </w:p>
    <w:p>
      <w:pPr>
        <w:spacing w:after="0" w:line="94"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The company also assumed funding agreements entered into by Cerevel Therapeutcs prior to the acquisiton. Under the agreements, Cerevel Therapeutcs received funding to support development of tavapadon and agreed to repay regulatory milestones, sales milestones and royaltes contngent upon approval of tavapadon by the U.S. Food and Drug Administraton (FDA). In additon, upon acquisiton the company has the opton to satsfy payment obligatons early by making a payment equal to the amount of funding provided to Cerevel Therapeutcs plus a variable premium. In all circumstances, total repayments under the funding agreements will not exceed $531 million in aggregate. The funding agreements were accounted for as fnancing arrangements and the fair value of the related fnancing liability was $246 million as of the acquisiton date. In conjuncton with the funding agreements, AbbVie also assumed security agreements entered into by</w:t>
      </w:r>
    </w:p>
    <w:p>
      <w:pPr>
        <w:spacing w:after="0" w:line="20" w:lineRule="exact"/>
        <w:rPr>
          <w:color w:val="auto"/>
          <w:sz w:val="20"/>
          <w:szCs w:val="20"/>
        </w:rPr>
      </w:pPr>
      <w:r>
        <w:rPr>
          <w:color w:val="auto"/>
          <w:sz w:val="20"/>
          <w:szCs w:val="20"/>
        </w:rPr>
        <w:drawing>
          <wp:anchor simplePos="0" relativeHeight="251853824" behindDoc="1" locked="0" layoutInCell="0" allowOverlap="1">
            <wp:simplePos x="0" y="0"/>
            <wp:positionH relativeFrom="column">
              <wp:posOffset>6475730</wp:posOffset>
            </wp:positionH>
            <wp:positionV relativeFrom="paragraph">
              <wp:posOffset>251460</wp:posOffset>
            </wp:positionV>
            <wp:extent cx="400050" cy="74295"/>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76</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54848" behindDoc="1" locked="0" layoutInCell="0" allowOverlap="1">
            <wp:simplePos x="0" y="0"/>
            <wp:positionH relativeFrom="column">
              <wp:posOffset>7154545</wp:posOffset>
            </wp:positionH>
            <wp:positionV relativeFrom="paragraph">
              <wp:posOffset>-23495</wp:posOffset>
            </wp:positionV>
            <wp:extent cx="31115" cy="3683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55872" behindDoc="1" locked="0" layoutInCell="0" allowOverlap="1">
            <wp:simplePos x="0" y="0"/>
            <wp:positionH relativeFrom="column">
              <wp:posOffset>-17145</wp:posOffset>
            </wp:positionH>
            <wp:positionV relativeFrom="paragraph">
              <wp:posOffset>-23495</wp:posOffset>
            </wp:positionV>
            <wp:extent cx="31115" cy="3683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935" w:right="299" w:bottom="1440" w:left="300" w:header="0" w:footer="0" w:gutter="0"/>
          <w:cols w:num="1" w:space="720" w:equalWidth="0">
            <w:col w:w="11300" w:space="0"/>
          </w:cols>
        </w:sectPr>
      </w:pPr>
    </w:p>
    <w:bookmarkStart w:id="78" w:name="page79"/>
    <w:bookmarkEnd w:id="78"/>
    <w:p>
      <w:pPr>
        <w:spacing w:after="0"/>
        <w:rPr>
          <w:color w:val="auto"/>
          <w:sz w:val="20"/>
          <w:szCs w:val="20"/>
        </w:rPr>
      </w:pPr>
      <w:r>
        <w:rPr>
          <w:rFonts w:ascii="Calibri" w:eastAsia="Calibri" w:hAnsi="Calibri" w:cs="Calibri"/>
          <w:color w:val="auto"/>
          <w:sz w:val="11"/>
          <w:szCs w:val="11"/>
        </w:rPr>
        <w:t>Cerevel Therapeutcs prior to the acquisiton pursuant to which Cerevel Therapeutcs granted the funding investors a security interest in the assets material to the development and commercializaton of tavapadon in the United States.</w:t>
      </w:r>
    </w:p>
    <w:p>
      <w:pPr>
        <w:spacing w:after="0" w:line="95"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Repayment and Issuance of Long-Term Debt</w:t>
      </w:r>
    </w:p>
    <w:p>
      <w:pPr>
        <w:spacing w:after="0" w:line="101"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In 2024, the company repaid $3.8 billion aggregate principal amount of 2.60% senior notes, €1.5 billion aggregate principal amount of 1.38% senior euro notes, €700 million aggregate principal amount of 1.25% senior euro notes and $1.0 billion aggregate principal amount of 3.85% senior notes. During the quarter ended December 31, 2024, the company refnanced its $2.0 billion foatng rate three-year term loan. As part of the refnancing, the company repaid the existng $2.0 billion term loan due May 2025 and borrowed $2.0 billion under a new term loan due April 2027 at a fxed rate of 4.549%. These term notes rank equally with all other unsecured and unsubordinated indebtedness of the company. AbbVie may redeem the fxed-rate term notes between ffeen and twenty-one months at a redempton price equal to the notonal amount plus one percent make whole amount and can be redeemed at par afer twenty-one months. All other signifcant terms of the loan remained unchanged afer the refnancing.</w:t>
      </w:r>
    </w:p>
    <w:p>
      <w:pPr>
        <w:spacing w:after="0" w:line="102"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In 2023, the company repaid a $1.0 billion foatng rate three-year term loan, $350 million aggregate principal amount of 2.80% senior notes and $1.0 billion aggregate principal amount of 2.85% senior notes at maturity. During the quarter ended December 31, 2023, the company also repaid €500 million aggregate principal amount of 1.50% senior euro notes and $1.3 billion aggregate principal amount of 3.75% senior notes at maturity.</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Short-Term Borrowings</w:t>
      </w:r>
    </w:p>
    <w:p>
      <w:pPr>
        <w:spacing w:after="0" w:line="101" w:lineRule="exact"/>
        <w:rPr>
          <w:color w:val="auto"/>
          <w:sz w:val="20"/>
          <w:szCs w:val="20"/>
        </w:rPr>
      </w:pPr>
    </w:p>
    <w:p>
      <w:pPr>
        <w:spacing w:after="0" w:line="234" w:lineRule="auto"/>
        <w:ind w:right="260" w:firstLine="297"/>
        <w:rPr>
          <w:color w:val="auto"/>
          <w:sz w:val="20"/>
          <w:szCs w:val="20"/>
        </w:rPr>
      </w:pPr>
      <w:r>
        <w:rPr>
          <w:rFonts w:ascii="Calibri" w:eastAsia="Calibri" w:hAnsi="Calibri" w:cs="Calibri"/>
          <w:color w:val="auto"/>
          <w:sz w:val="12"/>
          <w:szCs w:val="12"/>
        </w:rPr>
        <w:t>During the twelve months ended December 31, 2024, AbbVie issued and redeemed $7.7 billion of commercial paper. Subsequent to December 31, 2024, AbbVie issued commercial paper borrowings of which $3.3 billion were outstanding as of date of fling of this Annual Report on Form 10-K. There were no commercial paper borrowings outstanding as of December 31, 2024 and December 31, 2023. The weighted average interest rate on commercial paper borrowings was 4.91% for the twelve months ended December 31, 2024.</w:t>
      </w:r>
    </w:p>
    <w:p>
      <w:pPr>
        <w:spacing w:after="0" w:line="103" w:lineRule="exact"/>
        <w:rPr>
          <w:color w:val="auto"/>
          <w:sz w:val="20"/>
          <w:szCs w:val="20"/>
        </w:rPr>
      </w:pPr>
    </w:p>
    <w:p>
      <w:pPr>
        <w:spacing w:after="0" w:line="264" w:lineRule="auto"/>
        <w:ind w:right="100" w:firstLine="297"/>
        <w:jc w:val="both"/>
        <w:rPr>
          <w:color w:val="auto"/>
          <w:sz w:val="20"/>
          <w:szCs w:val="20"/>
        </w:rPr>
      </w:pPr>
      <w:r>
        <w:rPr>
          <w:rFonts w:ascii="Calibri" w:eastAsia="Calibri" w:hAnsi="Calibri" w:cs="Calibri"/>
          <w:color w:val="auto"/>
          <w:sz w:val="11"/>
          <w:szCs w:val="11"/>
        </w:rPr>
        <w:t>AbbVie currently has an existng $5.0 billion fve-year revolving credit facility that matures in March 2028. Subsequent to December 31, 2024, in additon to the existng revolving credit facility, AbbVie entered into a new $3.0 billion fve-year revolving credit facility that matures in January 2030. The revolving credit facilites enable the company to borrow funds on an unsecured basis at variable interest rates and contain various covenants. At December 31, 2024, the company was in compliance with all covenants and commitment fees under the credit facility were insignifcant. No amounts were outstanding under the company's credit facilites as of December 31, 2024 and December 31, 2023.</w:t>
      </w:r>
    </w:p>
    <w:p>
      <w:pPr>
        <w:spacing w:after="0" w:line="74"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Contngencies and Guarantees</w:t>
      </w:r>
    </w:p>
    <w:p>
      <w:pPr>
        <w:spacing w:after="0" w:line="101" w:lineRule="exact"/>
        <w:rPr>
          <w:color w:val="auto"/>
          <w:sz w:val="20"/>
          <w:szCs w:val="20"/>
        </w:rPr>
      </w:pPr>
    </w:p>
    <w:p>
      <w:pPr>
        <w:spacing w:after="0" w:line="235" w:lineRule="auto"/>
        <w:ind w:right="200" w:firstLine="297"/>
        <w:rPr>
          <w:color w:val="auto"/>
          <w:sz w:val="20"/>
          <w:szCs w:val="20"/>
        </w:rPr>
      </w:pPr>
      <w:r>
        <w:rPr>
          <w:rFonts w:ascii="Calibri" w:eastAsia="Calibri" w:hAnsi="Calibri" w:cs="Calibri"/>
          <w:color w:val="auto"/>
          <w:sz w:val="12"/>
          <w:szCs w:val="12"/>
        </w:rPr>
        <w:t>In connecton with the separaton, AbbVie has indemnifed Abbot for all liabilites resultng from the operaton of AbbVie's business other than income tax liabilites with respect to periods prior to the distributon date and other liabilites as agreed to by AbbVie and Abbot. AbbVie has no material exposures to of-balance sheet arrangements and no special-purpose enttes. In the ordinary course of business, AbbVie has periodically entered into third-party agreements, such as the assignment of product rights, which have resulted in AbbVie becoming secondarily liable for obligatons for which AbbVie had previously been primarily liable. Based upon past experience, the likelihood of payments under these agreements is remote.</w:t>
      </w:r>
    </w:p>
    <w:p>
      <w:pPr>
        <w:spacing w:after="0" w:line="14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11 Financial Instruments and Fair Value Measures</w:t>
      </w:r>
    </w:p>
    <w:p>
      <w:pPr>
        <w:spacing w:after="0" w:line="20" w:lineRule="exact"/>
        <w:rPr>
          <w:color w:val="auto"/>
          <w:sz w:val="20"/>
          <w:szCs w:val="20"/>
        </w:rPr>
      </w:pPr>
      <w:r>
        <w:rPr>
          <w:color w:val="auto"/>
          <w:sz w:val="20"/>
          <w:szCs w:val="20"/>
        </w:rPr>
        <w:drawing>
          <wp:anchor simplePos="0" relativeHeight="251856896" behindDoc="1" locked="0" layoutInCell="0" allowOverlap="1">
            <wp:simplePos x="0" y="0"/>
            <wp:positionH relativeFrom="column">
              <wp:posOffset>-4445</wp:posOffset>
            </wp:positionH>
            <wp:positionV relativeFrom="paragraph">
              <wp:posOffset>24130</wp:posOffset>
            </wp:positionV>
            <wp:extent cx="7166610" cy="571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Risk Management Policy</w:t>
      </w:r>
    </w:p>
    <w:p>
      <w:pPr>
        <w:spacing w:after="0" w:line="101" w:lineRule="exact"/>
        <w:rPr>
          <w:color w:val="auto"/>
          <w:sz w:val="20"/>
          <w:szCs w:val="20"/>
        </w:rPr>
      </w:pPr>
    </w:p>
    <w:p>
      <w:pPr>
        <w:spacing w:after="0" w:line="261" w:lineRule="auto"/>
        <w:ind w:right="40" w:firstLine="297"/>
        <w:rPr>
          <w:color w:val="auto"/>
          <w:sz w:val="20"/>
          <w:szCs w:val="20"/>
        </w:rPr>
      </w:pPr>
      <w:r>
        <w:rPr>
          <w:rFonts w:ascii="Calibri" w:eastAsia="Calibri" w:hAnsi="Calibri" w:cs="Calibri"/>
          <w:color w:val="auto"/>
          <w:sz w:val="11"/>
          <w:szCs w:val="11"/>
        </w:rPr>
        <w:t>The company is exposed to foreign currency exchange rate and interest rate risks related to its business operatons. AbbVie's hedging policy atempts to manage these risks to an acceptable level based on the company's judgment of the appropriate trade-of between risk, opportunity and costs. The company uses derivatve and nonderivatve instruments to reduce its exposure to foreign currency exchange rates. AbbVie also periodically enters into interest rate swaps in which the company agrees to exchange, at specifed intervals, the diference between fxed and foatng interest amounts calculated by reference to an agreed-upon notonal amount. Derivatve instruments are not used for trading purposes or to manage exposure to changes in interest rates for investment securites, and none of the company's outstanding derivatve instruments contain credit risk related contngent features; collateral is generally not required.</w:t>
      </w:r>
    </w:p>
    <w:p>
      <w:pPr>
        <w:spacing w:after="0" w:line="86"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Financial Instruments</w:t>
      </w:r>
    </w:p>
    <w:p>
      <w:pPr>
        <w:spacing w:after="0" w:line="92" w:lineRule="exact"/>
        <w:rPr>
          <w:color w:val="auto"/>
          <w:sz w:val="20"/>
          <w:szCs w:val="20"/>
        </w:rPr>
      </w:pPr>
    </w:p>
    <w:p>
      <w:pPr>
        <w:spacing w:after="0"/>
        <w:ind w:left="280"/>
        <w:rPr>
          <w:color w:val="auto"/>
          <w:sz w:val="20"/>
          <w:szCs w:val="20"/>
        </w:rPr>
      </w:pPr>
      <w:r>
        <w:rPr>
          <w:rFonts w:ascii="Calibri" w:eastAsia="Calibri" w:hAnsi="Calibri" w:cs="Calibri"/>
          <w:color w:val="auto"/>
          <w:sz w:val="11"/>
          <w:szCs w:val="11"/>
        </w:rPr>
        <w:t>Various AbbVie foreign subsidiaries enter into foreign currency forward exchange contracts to manage exposures to changes in foreign exchange rates for antcipated intercompany transactons denominated in a currency other than</w:t>
      </w:r>
    </w:p>
    <w:p>
      <w:pPr>
        <w:spacing w:after="0" w:line="5" w:lineRule="exact"/>
        <w:rPr>
          <w:color w:val="auto"/>
          <w:sz w:val="20"/>
          <w:szCs w:val="20"/>
        </w:rPr>
      </w:pPr>
    </w:p>
    <w:p>
      <w:pPr>
        <w:spacing w:after="0"/>
        <w:rPr>
          <w:color w:val="auto"/>
          <w:sz w:val="20"/>
          <w:szCs w:val="20"/>
        </w:rPr>
      </w:pPr>
      <w:r>
        <w:rPr>
          <w:rFonts w:ascii="Calibri" w:eastAsia="Calibri" w:hAnsi="Calibri" w:cs="Calibri"/>
          <w:color w:val="auto"/>
          <w:sz w:val="12"/>
          <w:szCs w:val="12"/>
        </w:rPr>
        <w:t>the</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77</w:t>
      </w:r>
      <w:r>
        <w:rPr>
          <w:color w:val="auto"/>
          <w:sz w:val="20"/>
          <w:szCs w:val="20"/>
        </w:rPr>
        <w:tab/>
      </w:r>
      <w:r>
        <w:rPr>
          <w:color w:val="auto"/>
          <w:sz w:val="1"/>
          <w:szCs w:val="1"/>
        </w:rPr>
        <w:drawing>
          <wp:inline distT="0" distB="0" distL="0" distR="0">
            <wp:extent cx="400050" cy="7429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57920" behindDoc="1" locked="0" layoutInCell="0" allowOverlap="1">
            <wp:simplePos x="0" y="0"/>
            <wp:positionH relativeFrom="column">
              <wp:posOffset>-17145</wp:posOffset>
            </wp:positionH>
            <wp:positionV relativeFrom="paragraph">
              <wp:posOffset>133985</wp:posOffset>
            </wp:positionV>
            <wp:extent cx="7203440" cy="3683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79" w:name="page80"/>
    <w:bookmarkEnd w:id="79"/>
    <w:p>
      <w:pPr>
        <w:spacing w:after="0" w:line="234" w:lineRule="auto"/>
        <w:ind w:right="100"/>
        <w:rPr>
          <w:color w:val="auto"/>
          <w:sz w:val="20"/>
          <w:szCs w:val="20"/>
        </w:rPr>
      </w:pPr>
      <w:r>
        <w:rPr>
          <w:rFonts w:ascii="Calibri" w:eastAsia="Calibri" w:hAnsi="Calibri" w:cs="Calibri"/>
          <w:color w:val="auto"/>
          <w:sz w:val="12"/>
          <w:szCs w:val="12"/>
        </w:rPr>
        <w:t>functonal currency of the local entty. These contracts, with notonal amounts totaling $1.9 billion at December 31, 2024 and $1.8 billion at December 31, 2023, are designated as cash fow hedges and are recorded at fair value. The duratons of these forward exchange contracts were generally less than 18 months. Accumulated gains and losses as of December 31, 2024 are reclassifed from AOCI and included in cost of products sold at the tme the products are sold, generally not exceeding six months from the date of setlement.</w:t>
      </w:r>
    </w:p>
    <w:p>
      <w:pPr>
        <w:spacing w:after="0" w:line="94"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In 2019, the company entered into treasury rate lock agreements with notonal amounts totaling $10.0 billion to hedge exposure to variability in future cash fows resultng from changes in interest rates related to the issuance of long-term debt in connecton with the acquisiton of Allergan. The treasury rate lock agreements were designated as cash fow hedges and recorded at fair value. The agreements were net setled upon issuance of the senior notes in 2019 and the resultng net gain was included in AOCI. This gain is reclassifed to interest expense, net over the term of the related debt.</w:t>
      </w:r>
    </w:p>
    <w:p>
      <w:pPr>
        <w:spacing w:after="0" w:line="103" w:lineRule="exact"/>
        <w:rPr>
          <w:color w:val="auto"/>
          <w:sz w:val="20"/>
          <w:szCs w:val="20"/>
        </w:rPr>
      </w:pPr>
    </w:p>
    <w:p>
      <w:pPr>
        <w:spacing w:after="0" w:line="234" w:lineRule="auto"/>
        <w:ind w:right="280" w:firstLine="297"/>
        <w:rPr>
          <w:color w:val="auto"/>
          <w:sz w:val="20"/>
          <w:szCs w:val="20"/>
        </w:rPr>
      </w:pPr>
      <w:r>
        <w:rPr>
          <w:rFonts w:ascii="Calibri" w:eastAsia="Calibri" w:hAnsi="Calibri" w:cs="Calibri"/>
          <w:color w:val="auto"/>
          <w:sz w:val="12"/>
          <w:szCs w:val="12"/>
        </w:rPr>
        <w:t>The company was a party to interest rate swap contracts designated as cash fow hedges that matured in November 2022. The efect of the hedge contracts was to change a foatng-rate interest obligaton to a fxed rate for that porton of the foatng-rate debt. Realized and unrealized gains or losses were included in AOCI and reclassifed to interest expense, net over the lives of the foatng-rate debt.</w:t>
      </w:r>
    </w:p>
    <w:p>
      <w:pPr>
        <w:spacing w:after="0" w:line="101"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In June 2023, the company entered into a cross-currency swap contract that matured in November 2023 with a notonal amount totaling €433 million to hedge the company’s exposure to changes in future cash fows of foreign currency denominated debt related to changes in foreign exchange rates. The cross-currency swap contract was designated as a cash fow hedge and efectvely converted the interest and principal payments of the related foreign currency denominated debt to U.S. dollars. The unrealized gains and losses on the contract were included in AOCI and reclassifed to net foreign exchange loss over the term of the related debt.</w:t>
      </w:r>
    </w:p>
    <w:p>
      <w:pPr>
        <w:spacing w:after="0" w:line="94"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The company also enters into foreign currency forward exchange contracts to manage its exposure to foreign currency denominated debt, trade payables, receivables and intercompany loans. These contracts are not designated as hedges and are recorded at fair value. Resultng gains or losses are refected in net foreign exchange gains or loss in the consolidated statements of earnings and are generally ofset by losses or gains on the foreign currency exposure being managed. These contracts had notonal amounts totaling $5.9 billion at December 31, 2024 and $7.9 billion at December 31, 2023.</w:t>
      </w:r>
    </w:p>
    <w:p>
      <w:pPr>
        <w:spacing w:after="0" w:line="103"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The company also uses foreign currency forward exchange contracts or foreign currency denominated debt to hedge its net investments in certain foreign subsidiaries and afliates. The company had an aggregate principal amount of senior Euro notes designated as net investment hedges of €3.1 billion at December 31, 2024 and €5.4 billion December 31, 2023. In additon, the company had foreign currency forward exchange contracts designated as net investment hedges with notonal amounts totaling €6.2 billion, SEK1.4 billion, CAD500 million and CHF50 million at December 31, 2024 and €4.9 billion, SEK1.4 billion, CAD750 million and CHF50 million at December 31, 2023. The company uses the spot method of assessing hedge efectveness for derivatve instruments designated as net investment hedges. Realized and unrealized gains and losses from these hedges are included in AOCI and the inital fair value of hedge components excluded from the assessment of efectveness is recognized in interest expense, net over the life of the hedging instrument.</w:t>
      </w:r>
    </w:p>
    <w:p>
      <w:pPr>
        <w:spacing w:after="0" w:line="102"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The company is a party to interest rate swap contracts designated as fair value hedges with notonal amounts totaling $3.5 billion at December 31, 2024 and $5.0 billion at December 31, 2023. The efect of the hedge contracts is to change a fxed-rate interest obligaton to a foatng rate for that porton of the debt. AbbVie records the contracts at fair value and adjusts the carrying amount of the fxed-rate debt by an ofsetng amount.</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No amounts are excluded from the assessment of efectveness for cash fow hedges or fair value hedges.</w:t>
      </w:r>
    </w:p>
    <w:p>
      <w:pPr>
        <w:spacing w:after="0" w:line="20" w:lineRule="exact"/>
        <w:rPr>
          <w:color w:val="auto"/>
          <w:sz w:val="20"/>
          <w:szCs w:val="20"/>
        </w:rPr>
      </w:pPr>
      <w:r>
        <w:rPr>
          <w:color w:val="auto"/>
          <w:sz w:val="20"/>
          <w:szCs w:val="20"/>
        </w:rPr>
        <w:drawing>
          <wp:anchor simplePos="0" relativeHeight="251858944" behindDoc="1" locked="0" layoutInCell="0" allowOverlap="1">
            <wp:simplePos x="0" y="0"/>
            <wp:positionH relativeFrom="column">
              <wp:posOffset>6475730</wp:posOffset>
            </wp:positionH>
            <wp:positionV relativeFrom="paragraph">
              <wp:posOffset>250825</wp:posOffset>
            </wp:positionV>
            <wp:extent cx="400050" cy="7429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78</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59968" behindDoc="1" locked="0" layoutInCell="0" allowOverlap="1">
            <wp:simplePos x="0" y="0"/>
            <wp:positionH relativeFrom="column">
              <wp:posOffset>7154545</wp:posOffset>
            </wp:positionH>
            <wp:positionV relativeFrom="paragraph">
              <wp:posOffset>-23495</wp:posOffset>
            </wp:positionV>
            <wp:extent cx="31115" cy="3683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60992" behindDoc="1" locked="0" layoutInCell="0" allowOverlap="1">
            <wp:simplePos x="0" y="0"/>
            <wp:positionH relativeFrom="column">
              <wp:posOffset>-17145</wp:posOffset>
            </wp:positionH>
            <wp:positionV relativeFrom="paragraph">
              <wp:posOffset>-23495</wp:posOffset>
            </wp:positionV>
            <wp:extent cx="31115" cy="3683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80" w:name="page81"/>
    <w:bookmarkEnd w:id="80"/>
    <w:p>
      <w:pPr>
        <w:spacing w:after="0"/>
        <w:ind w:left="280"/>
        <w:rPr>
          <w:color w:val="auto"/>
          <w:sz w:val="20"/>
          <w:szCs w:val="20"/>
        </w:rPr>
      </w:pPr>
      <w:r>
        <w:rPr>
          <w:rFonts w:ascii="Calibri" w:eastAsia="Calibri" w:hAnsi="Calibri" w:cs="Calibri"/>
          <w:color w:val="auto"/>
          <w:sz w:val="12"/>
          <w:szCs w:val="12"/>
        </w:rPr>
        <w:t>The following table summarizes the amounts and locaton of AbbVie's derivatve instruments on the consolidated balance sheets:</w:t>
      </w:r>
    </w:p>
    <w:tbl>
      <w:tblPr>
        <w:tblInd w:w="0" w:type="dxa"/>
        <w:tblLayout w:type="fixed"/>
        <w:tblCellMar>
          <w:top w:w="0" w:type="dxa"/>
          <w:left w:w="0" w:type="dxa"/>
          <w:bottom w:w="0" w:type="dxa"/>
          <w:right w:w="0" w:type="dxa"/>
        </w:tblCellMar>
      </w:tblPr>
      <w:tblGrid>
        <w:gridCol w:w="3340"/>
        <w:gridCol w:w="2180"/>
        <w:gridCol w:w="640"/>
        <w:gridCol w:w="260"/>
        <w:gridCol w:w="820"/>
        <w:gridCol w:w="100"/>
        <w:gridCol w:w="2180"/>
        <w:gridCol w:w="640"/>
        <w:gridCol w:w="260"/>
        <w:gridCol w:w="840"/>
        <w:gridCol w:w="20"/>
      </w:tblGrid>
      <w:tr>
        <w:tblPrEx>
          <w:tblInd w:w="0" w:type="dxa"/>
          <w:tblLayout w:type="fixed"/>
        </w:tblPrEx>
        <w:trPr>
          <w:trHeight w:val="116"/>
        </w:trPr>
        <w:tc>
          <w:tcPr>
            <w:tcW w:w="3340" w:type="dxa"/>
            <w:vAlign w:val="bottom"/>
          </w:tcPr>
          <w:p>
            <w:pPr>
              <w:spacing w:after="0"/>
              <w:rPr>
                <w:color w:val="auto"/>
                <w:sz w:val="10"/>
                <w:szCs w:val="10"/>
              </w:rPr>
            </w:pPr>
          </w:p>
        </w:tc>
        <w:tc>
          <w:tcPr>
            <w:tcW w:w="2180" w:type="dxa"/>
            <w:vAlign w:val="bottom"/>
          </w:tcPr>
          <w:p>
            <w:pPr>
              <w:spacing w:after="0" w:line="116" w:lineRule="exact"/>
              <w:jc w:val="right"/>
              <w:rPr>
                <w:color w:val="auto"/>
                <w:sz w:val="20"/>
                <w:szCs w:val="20"/>
              </w:rPr>
            </w:pPr>
            <w:r>
              <w:rPr>
                <w:rFonts w:ascii="Calibri" w:eastAsia="Calibri" w:hAnsi="Calibri" w:cs="Calibri"/>
                <w:b/>
                <w:bCs/>
                <w:color w:val="auto"/>
                <w:sz w:val="10"/>
                <w:szCs w:val="10"/>
              </w:rPr>
              <w:t>Fair value -</w:t>
            </w:r>
          </w:p>
        </w:tc>
        <w:tc>
          <w:tcPr>
            <w:tcW w:w="640" w:type="dxa"/>
            <w:vAlign w:val="bottom"/>
          </w:tcPr>
          <w:p>
            <w:pPr>
              <w:spacing w:after="0"/>
              <w:rPr>
                <w:color w:val="auto"/>
                <w:sz w:val="10"/>
                <w:szCs w:val="10"/>
              </w:rPr>
            </w:pPr>
          </w:p>
        </w:tc>
        <w:tc>
          <w:tcPr>
            <w:tcW w:w="260" w:type="dxa"/>
            <w:vAlign w:val="bottom"/>
          </w:tcPr>
          <w:p>
            <w:pPr>
              <w:spacing w:after="0"/>
              <w:rPr>
                <w:color w:val="auto"/>
                <w:sz w:val="10"/>
                <w:szCs w:val="10"/>
              </w:rPr>
            </w:pPr>
          </w:p>
        </w:tc>
        <w:tc>
          <w:tcPr>
            <w:tcW w:w="82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2180" w:type="dxa"/>
            <w:vAlign w:val="bottom"/>
          </w:tcPr>
          <w:p>
            <w:pPr>
              <w:spacing w:after="0" w:line="116" w:lineRule="exact"/>
              <w:jc w:val="right"/>
              <w:rPr>
                <w:color w:val="auto"/>
                <w:sz w:val="20"/>
                <w:szCs w:val="20"/>
              </w:rPr>
            </w:pPr>
            <w:r>
              <w:rPr>
                <w:rFonts w:ascii="Calibri" w:eastAsia="Calibri" w:hAnsi="Calibri" w:cs="Calibri"/>
                <w:b/>
                <w:bCs/>
                <w:color w:val="auto"/>
                <w:sz w:val="10"/>
                <w:szCs w:val="10"/>
              </w:rPr>
              <w:t>Fair value -</w:t>
            </w:r>
          </w:p>
        </w:tc>
        <w:tc>
          <w:tcPr>
            <w:tcW w:w="640" w:type="dxa"/>
            <w:vAlign w:val="bottom"/>
          </w:tcPr>
          <w:p>
            <w:pPr>
              <w:spacing w:after="0"/>
              <w:rPr>
                <w:color w:val="auto"/>
                <w:sz w:val="10"/>
                <w:szCs w:val="10"/>
              </w:rPr>
            </w:pPr>
          </w:p>
        </w:tc>
        <w:tc>
          <w:tcPr>
            <w:tcW w:w="260" w:type="dxa"/>
            <w:vAlign w:val="bottom"/>
          </w:tcPr>
          <w:p>
            <w:pPr>
              <w:spacing w:after="0"/>
              <w:rPr>
                <w:color w:val="auto"/>
                <w:sz w:val="10"/>
                <w:szCs w:val="10"/>
              </w:rPr>
            </w:pPr>
          </w:p>
        </w:tc>
        <w:tc>
          <w:tcPr>
            <w:tcW w:w="84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112"/>
        </w:trPr>
        <w:tc>
          <w:tcPr>
            <w:tcW w:w="3340" w:type="dxa"/>
            <w:vAlign w:val="bottom"/>
          </w:tcPr>
          <w:p>
            <w:pPr>
              <w:spacing w:after="0"/>
              <w:rPr>
                <w:color w:val="auto"/>
                <w:sz w:val="9"/>
                <w:szCs w:val="9"/>
              </w:rPr>
            </w:pPr>
          </w:p>
        </w:tc>
        <w:tc>
          <w:tcPr>
            <w:tcW w:w="2820" w:type="dxa"/>
            <w:gridSpan w:val="2"/>
            <w:vAlign w:val="bottom"/>
          </w:tcPr>
          <w:p>
            <w:pPr>
              <w:spacing w:after="0" w:line="112" w:lineRule="exact"/>
              <w:ind w:right="272"/>
              <w:jc w:val="right"/>
              <w:rPr>
                <w:color w:val="auto"/>
                <w:sz w:val="20"/>
                <w:szCs w:val="20"/>
              </w:rPr>
            </w:pPr>
            <w:r>
              <w:rPr>
                <w:rFonts w:ascii="Calibri" w:eastAsia="Calibri" w:hAnsi="Calibri" w:cs="Calibri"/>
                <w:b/>
                <w:bCs/>
                <w:color w:val="auto"/>
                <w:sz w:val="10"/>
                <w:szCs w:val="10"/>
              </w:rPr>
              <w:t>Derivatves in asset positon</w:t>
            </w:r>
          </w:p>
        </w:tc>
        <w:tc>
          <w:tcPr>
            <w:tcW w:w="260" w:type="dxa"/>
            <w:vAlign w:val="bottom"/>
          </w:tcPr>
          <w:p>
            <w:pPr>
              <w:spacing w:after="0"/>
              <w:rPr>
                <w:color w:val="auto"/>
                <w:sz w:val="9"/>
                <w:szCs w:val="9"/>
              </w:rPr>
            </w:pPr>
          </w:p>
        </w:tc>
        <w:tc>
          <w:tcPr>
            <w:tcW w:w="820" w:type="dxa"/>
            <w:vAlign w:val="bottom"/>
          </w:tcPr>
          <w:p>
            <w:pPr>
              <w:spacing w:after="0"/>
              <w:rPr>
                <w:color w:val="auto"/>
                <w:sz w:val="9"/>
                <w:szCs w:val="9"/>
              </w:rPr>
            </w:pPr>
          </w:p>
        </w:tc>
        <w:tc>
          <w:tcPr>
            <w:tcW w:w="100" w:type="dxa"/>
            <w:vAlign w:val="bottom"/>
          </w:tcPr>
          <w:p>
            <w:pPr>
              <w:spacing w:after="0"/>
              <w:rPr>
                <w:color w:val="auto"/>
                <w:sz w:val="9"/>
                <w:szCs w:val="9"/>
              </w:rPr>
            </w:pPr>
          </w:p>
        </w:tc>
        <w:tc>
          <w:tcPr>
            <w:tcW w:w="2820" w:type="dxa"/>
            <w:gridSpan w:val="2"/>
            <w:vAlign w:val="bottom"/>
          </w:tcPr>
          <w:p>
            <w:pPr>
              <w:spacing w:after="0" w:line="112" w:lineRule="exact"/>
              <w:ind w:right="212"/>
              <w:jc w:val="right"/>
              <w:rPr>
                <w:color w:val="auto"/>
                <w:sz w:val="20"/>
                <w:szCs w:val="20"/>
              </w:rPr>
            </w:pPr>
            <w:r>
              <w:rPr>
                <w:rFonts w:ascii="Calibri" w:eastAsia="Calibri" w:hAnsi="Calibri" w:cs="Calibri"/>
                <w:b/>
                <w:bCs/>
                <w:color w:val="auto"/>
                <w:sz w:val="10"/>
                <w:szCs w:val="10"/>
              </w:rPr>
              <w:t>Derivatves in liability positon</w:t>
            </w:r>
          </w:p>
        </w:tc>
        <w:tc>
          <w:tcPr>
            <w:tcW w:w="260" w:type="dxa"/>
            <w:vAlign w:val="bottom"/>
          </w:tcPr>
          <w:p>
            <w:pPr>
              <w:spacing w:after="0"/>
              <w:rPr>
                <w:color w:val="auto"/>
                <w:sz w:val="9"/>
                <w:szCs w:val="9"/>
              </w:rPr>
            </w:pPr>
          </w:p>
        </w:tc>
        <w:tc>
          <w:tcPr>
            <w:tcW w:w="840" w:type="dxa"/>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32"/>
        </w:trPr>
        <w:tc>
          <w:tcPr>
            <w:tcW w:w="3340" w:type="dxa"/>
            <w:vMerge w:val="restart"/>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2180" w:type="dxa"/>
            <w:tcBorders>
              <w:bottom w:val="single" w:sz="8" w:space="0" w:color="auto"/>
            </w:tcBorders>
            <w:vAlign w:val="bottom"/>
          </w:tcPr>
          <w:p>
            <w:pPr>
              <w:spacing w:after="0"/>
              <w:rPr>
                <w:color w:val="auto"/>
                <w:sz w:val="2"/>
                <w:szCs w:val="2"/>
              </w:rPr>
            </w:pPr>
          </w:p>
        </w:tc>
        <w:tc>
          <w:tcPr>
            <w:tcW w:w="64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100" w:type="dxa"/>
            <w:vAlign w:val="bottom"/>
          </w:tcPr>
          <w:p>
            <w:pPr>
              <w:spacing w:after="0"/>
              <w:rPr>
                <w:color w:val="auto"/>
                <w:sz w:val="2"/>
                <w:szCs w:val="2"/>
              </w:rPr>
            </w:pPr>
          </w:p>
        </w:tc>
        <w:tc>
          <w:tcPr>
            <w:tcW w:w="2180" w:type="dxa"/>
            <w:tcBorders>
              <w:bottom w:val="single" w:sz="8" w:space="0" w:color="auto"/>
            </w:tcBorders>
            <w:vAlign w:val="bottom"/>
          </w:tcPr>
          <w:p>
            <w:pPr>
              <w:spacing w:after="0"/>
              <w:rPr>
                <w:color w:val="auto"/>
                <w:sz w:val="2"/>
                <w:szCs w:val="2"/>
              </w:rPr>
            </w:pPr>
          </w:p>
        </w:tc>
        <w:tc>
          <w:tcPr>
            <w:tcW w:w="64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3340" w:type="dxa"/>
            <w:vMerge/>
            <w:vAlign w:val="bottom"/>
          </w:tcPr>
          <w:p>
            <w:pPr>
              <w:spacing w:after="0"/>
              <w:rPr>
                <w:color w:val="auto"/>
                <w:sz w:val="8"/>
                <w:szCs w:val="8"/>
              </w:rPr>
            </w:pPr>
          </w:p>
        </w:tc>
        <w:tc>
          <w:tcPr>
            <w:tcW w:w="2180" w:type="dxa"/>
            <w:vAlign w:val="bottom"/>
          </w:tcPr>
          <w:p>
            <w:pPr>
              <w:spacing w:after="0" w:line="101" w:lineRule="exact"/>
              <w:ind w:right="812"/>
              <w:jc w:val="right"/>
              <w:rPr>
                <w:color w:val="auto"/>
                <w:sz w:val="20"/>
                <w:szCs w:val="20"/>
              </w:rPr>
            </w:pPr>
            <w:r>
              <w:rPr>
                <w:rFonts w:ascii="Calibri" w:eastAsia="Calibri" w:hAnsi="Calibri" w:cs="Calibri"/>
                <w:b/>
                <w:bCs/>
                <w:color w:val="auto"/>
                <w:sz w:val="10"/>
                <w:szCs w:val="10"/>
              </w:rPr>
              <w:t>Balance sheet capton</w:t>
            </w:r>
          </w:p>
        </w:tc>
        <w:tc>
          <w:tcPr>
            <w:tcW w:w="640" w:type="dxa"/>
            <w:vAlign w:val="bottom"/>
          </w:tcPr>
          <w:p>
            <w:pPr>
              <w:spacing w:after="0" w:line="101" w:lineRule="exact"/>
              <w:ind w:right="372"/>
              <w:jc w:val="right"/>
              <w:rPr>
                <w:color w:val="auto"/>
                <w:sz w:val="20"/>
                <w:szCs w:val="20"/>
              </w:rPr>
            </w:pPr>
            <w:r>
              <w:rPr>
                <w:rFonts w:ascii="Calibri" w:eastAsia="Calibri" w:hAnsi="Calibri" w:cs="Calibri"/>
                <w:b/>
                <w:bCs/>
                <w:color w:val="auto"/>
                <w:w w:val="98"/>
                <w:sz w:val="10"/>
                <w:szCs w:val="10"/>
              </w:rPr>
              <w:t>2024</w:t>
            </w:r>
          </w:p>
        </w:tc>
        <w:tc>
          <w:tcPr>
            <w:tcW w:w="260" w:type="dxa"/>
            <w:vAlign w:val="bottom"/>
          </w:tcPr>
          <w:p>
            <w:pPr>
              <w:spacing w:after="0"/>
              <w:rPr>
                <w:color w:val="auto"/>
                <w:sz w:val="8"/>
                <w:szCs w:val="8"/>
              </w:rPr>
            </w:pPr>
          </w:p>
        </w:tc>
        <w:tc>
          <w:tcPr>
            <w:tcW w:w="820" w:type="dxa"/>
            <w:vAlign w:val="bottom"/>
          </w:tcPr>
          <w:p>
            <w:pPr>
              <w:spacing w:after="0" w:line="101" w:lineRule="exact"/>
              <w:ind w:right="392"/>
              <w:jc w:val="right"/>
              <w:rPr>
                <w:color w:val="auto"/>
                <w:sz w:val="20"/>
                <w:szCs w:val="20"/>
              </w:rPr>
            </w:pPr>
            <w:r>
              <w:rPr>
                <w:rFonts w:ascii="Calibri" w:eastAsia="Calibri" w:hAnsi="Calibri" w:cs="Calibri"/>
                <w:b/>
                <w:bCs/>
                <w:color w:val="auto"/>
                <w:sz w:val="10"/>
                <w:szCs w:val="10"/>
              </w:rPr>
              <w:t>2023</w:t>
            </w:r>
          </w:p>
        </w:tc>
        <w:tc>
          <w:tcPr>
            <w:tcW w:w="100" w:type="dxa"/>
            <w:vAlign w:val="bottom"/>
          </w:tcPr>
          <w:p>
            <w:pPr>
              <w:spacing w:after="0"/>
              <w:rPr>
                <w:color w:val="auto"/>
                <w:sz w:val="8"/>
                <w:szCs w:val="8"/>
              </w:rPr>
            </w:pPr>
          </w:p>
        </w:tc>
        <w:tc>
          <w:tcPr>
            <w:tcW w:w="2180" w:type="dxa"/>
            <w:vAlign w:val="bottom"/>
          </w:tcPr>
          <w:p>
            <w:pPr>
              <w:spacing w:after="0" w:line="101" w:lineRule="exact"/>
              <w:ind w:right="812"/>
              <w:jc w:val="right"/>
              <w:rPr>
                <w:color w:val="auto"/>
                <w:sz w:val="20"/>
                <w:szCs w:val="20"/>
              </w:rPr>
            </w:pPr>
            <w:r>
              <w:rPr>
                <w:rFonts w:ascii="Calibri" w:eastAsia="Calibri" w:hAnsi="Calibri" w:cs="Calibri"/>
                <w:b/>
                <w:bCs/>
                <w:color w:val="auto"/>
                <w:sz w:val="10"/>
                <w:szCs w:val="10"/>
              </w:rPr>
              <w:t>Balance sheet capton</w:t>
            </w:r>
          </w:p>
        </w:tc>
        <w:tc>
          <w:tcPr>
            <w:tcW w:w="640" w:type="dxa"/>
            <w:vAlign w:val="bottom"/>
          </w:tcPr>
          <w:p>
            <w:pPr>
              <w:spacing w:after="0" w:line="101" w:lineRule="exact"/>
              <w:ind w:right="372"/>
              <w:jc w:val="right"/>
              <w:rPr>
                <w:color w:val="auto"/>
                <w:sz w:val="20"/>
                <w:szCs w:val="20"/>
              </w:rPr>
            </w:pPr>
            <w:r>
              <w:rPr>
                <w:rFonts w:ascii="Calibri" w:eastAsia="Calibri" w:hAnsi="Calibri" w:cs="Calibri"/>
                <w:b/>
                <w:bCs/>
                <w:color w:val="auto"/>
                <w:w w:val="98"/>
                <w:sz w:val="10"/>
                <w:szCs w:val="10"/>
              </w:rPr>
              <w:t>2024</w:t>
            </w:r>
          </w:p>
        </w:tc>
        <w:tc>
          <w:tcPr>
            <w:tcW w:w="260" w:type="dxa"/>
            <w:vAlign w:val="bottom"/>
          </w:tcPr>
          <w:p>
            <w:pPr>
              <w:spacing w:after="0"/>
              <w:rPr>
                <w:color w:val="auto"/>
                <w:sz w:val="8"/>
                <w:szCs w:val="8"/>
              </w:rPr>
            </w:pPr>
          </w:p>
        </w:tc>
        <w:tc>
          <w:tcPr>
            <w:tcW w:w="840" w:type="dxa"/>
            <w:vAlign w:val="bottom"/>
          </w:tcPr>
          <w:p>
            <w:pPr>
              <w:spacing w:after="0" w:line="101" w:lineRule="exact"/>
              <w:ind w:right="392"/>
              <w:jc w:val="right"/>
              <w:rPr>
                <w:color w:val="auto"/>
                <w:sz w:val="20"/>
                <w:szCs w:val="20"/>
              </w:rPr>
            </w:pPr>
            <w:r>
              <w:rPr>
                <w:rFonts w:ascii="Calibri" w:eastAsia="Calibri" w:hAnsi="Calibri" w:cs="Calibri"/>
                <w:b/>
                <w:bCs/>
                <w:color w:val="auto"/>
                <w:sz w:val="10"/>
                <w:szCs w:val="10"/>
              </w:rPr>
              <w:t>2023</w:t>
            </w:r>
          </w:p>
        </w:tc>
        <w:tc>
          <w:tcPr>
            <w:tcW w:w="1" w:type="dxa"/>
            <w:vAlign w:val="bottom"/>
          </w:tcPr>
          <w:p>
            <w:pPr>
              <w:spacing w:after="0"/>
              <w:rPr>
                <w:color w:val="auto"/>
                <w:sz w:val="1"/>
                <w:szCs w:val="1"/>
              </w:rPr>
            </w:pPr>
          </w:p>
        </w:tc>
      </w:tr>
      <w:tr>
        <w:tblPrEx>
          <w:tblInd w:w="0" w:type="dxa"/>
          <w:tblLayout w:type="fixed"/>
        </w:tblPrEx>
        <w:trPr>
          <w:trHeight w:val="23"/>
        </w:trPr>
        <w:tc>
          <w:tcPr>
            <w:tcW w:w="3340" w:type="dxa"/>
            <w:tcBorders>
              <w:bottom w:val="single" w:sz="8" w:space="0" w:color="auto"/>
            </w:tcBorders>
            <w:vAlign w:val="bottom"/>
          </w:tcPr>
          <w:p>
            <w:pPr>
              <w:spacing w:after="0"/>
              <w:rPr>
                <w:color w:val="auto"/>
                <w:sz w:val="2"/>
                <w:szCs w:val="2"/>
              </w:rPr>
            </w:pPr>
          </w:p>
        </w:tc>
        <w:tc>
          <w:tcPr>
            <w:tcW w:w="2180" w:type="dxa"/>
            <w:tcBorders>
              <w:bottom w:val="single" w:sz="8" w:space="0" w:color="auto"/>
            </w:tcBorders>
            <w:vAlign w:val="bottom"/>
          </w:tcPr>
          <w:p>
            <w:pPr>
              <w:spacing w:after="0"/>
              <w:rPr>
                <w:color w:val="auto"/>
                <w:sz w:val="2"/>
                <w:szCs w:val="2"/>
              </w:rPr>
            </w:pPr>
          </w:p>
        </w:tc>
        <w:tc>
          <w:tcPr>
            <w:tcW w:w="64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2180" w:type="dxa"/>
            <w:tcBorders>
              <w:bottom w:val="single" w:sz="8" w:space="0" w:color="auto"/>
            </w:tcBorders>
            <w:vAlign w:val="bottom"/>
          </w:tcPr>
          <w:p>
            <w:pPr>
              <w:spacing w:after="0"/>
              <w:rPr>
                <w:color w:val="auto"/>
                <w:sz w:val="2"/>
                <w:szCs w:val="2"/>
              </w:rPr>
            </w:pPr>
          </w:p>
        </w:tc>
        <w:tc>
          <w:tcPr>
            <w:tcW w:w="64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3340" w:type="dxa"/>
            <w:vAlign w:val="bottom"/>
          </w:tcPr>
          <w:p>
            <w:pPr>
              <w:spacing w:after="0" w:line="101" w:lineRule="exact"/>
              <w:rPr>
                <w:color w:val="auto"/>
                <w:sz w:val="20"/>
                <w:szCs w:val="20"/>
              </w:rPr>
            </w:pPr>
            <w:r>
              <w:rPr>
                <w:rFonts w:ascii="Calibri" w:eastAsia="Calibri" w:hAnsi="Calibri" w:cs="Calibri"/>
                <w:color w:val="auto"/>
                <w:sz w:val="10"/>
                <w:szCs w:val="10"/>
              </w:rPr>
              <w:t>Foreign currency forward exchange contracts</w:t>
            </w:r>
          </w:p>
        </w:tc>
        <w:tc>
          <w:tcPr>
            <w:tcW w:w="2180" w:type="dxa"/>
            <w:vAlign w:val="bottom"/>
          </w:tcPr>
          <w:p>
            <w:pPr>
              <w:spacing w:after="0"/>
              <w:rPr>
                <w:color w:val="auto"/>
                <w:sz w:val="8"/>
                <w:szCs w:val="8"/>
              </w:rPr>
            </w:pPr>
          </w:p>
        </w:tc>
        <w:tc>
          <w:tcPr>
            <w:tcW w:w="640" w:type="dxa"/>
            <w:vAlign w:val="bottom"/>
          </w:tcPr>
          <w:p>
            <w:pPr>
              <w:spacing w:after="0"/>
              <w:rPr>
                <w:color w:val="auto"/>
                <w:sz w:val="8"/>
                <w:szCs w:val="8"/>
              </w:rPr>
            </w:pPr>
          </w:p>
        </w:tc>
        <w:tc>
          <w:tcPr>
            <w:tcW w:w="260" w:type="dxa"/>
            <w:vAlign w:val="bottom"/>
          </w:tcPr>
          <w:p>
            <w:pPr>
              <w:spacing w:after="0"/>
              <w:rPr>
                <w:color w:val="auto"/>
                <w:sz w:val="8"/>
                <w:szCs w:val="8"/>
              </w:rPr>
            </w:pPr>
          </w:p>
        </w:tc>
        <w:tc>
          <w:tcPr>
            <w:tcW w:w="820" w:type="dxa"/>
            <w:vAlign w:val="bottom"/>
          </w:tcPr>
          <w:p>
            <w:pPr>
              <w:spacing w:after="0"/>
              <w:rPr>
                <w:color w:val="auto"/>
                <w:sz w:val="8"/>
                <w:szCs w:val="8"/>
              </w:rPr>
            </w:pPr>
          </w:p>
        </w:tc>
        <w:tc>
          <w:tcPr>
            <w:tcW w:w="100" w:type="dxa"/>
            <w:vAlign w:val="bottom"/>
          </w:tcPr>
          <w:p>
            <w:pPr>
              <w:spacing w:after="0"/>
              <w:rPr>
                <w:color w:val="auto"/>
                <w:sz w:val="8"/>
                <w:szCs w:val="8"/>
              </w:rPr>
            </w:pPr>
          </w:p>
        </w:tc>
        <w:tc>
          <w:tcPr>
            <w:tcW w:w="2180" w:type="dxa"/>
            <w:vAlign w:val="bottom"/>
          </w:tcPr>
          <w:p>
            <w:pPr>
              <w:spacing w:after="0"/>
              <w:rPr>
                <w:color w:val="auto"/>
                <w:sz w:val="8"/>
                <w:szCs w:val="8"/>
              </w:rPr>
            </w:pPr>
          </w:p>
        </w:tc>
        <w:tc>
          <w:tcPr>
            <w:tcW w:w="640" w:type="dxa"/>
            <w:vAlign w:val="bottom"/>
          </w:tcPr>
          <w:p>
            <w:pPr>
              <w:spacing w:after="0"/>
              <w:rPr>
                <w:color w:val="auto"/>
                <w:sz w:val="8"/>
                <w:szCs w:val="8"/>
              </w:rPr>
            </w:pPr>
          </w:p>
        </w:tc>
        <w:tc>
          <w:tcPr>
            <w:tcW w:w="260" w:type="dxa"/>
            <w:vAlign w:val="bottom"/>
          </w:tcPr>
          <w:p>
            <w:pPr>
              <w:spacing w:after="0"/>
              <w:rPr>
                <w:color w:val="auto"/>
                <w:sz w:val="8"/>
                <w:szCs w:val="8"/>
              </w:rPr>
            </w:pPr>
          </w:p>
        </w:tc>
        <w:tc>
          <w:tcPr>
            <w:tcW w:w="840" w:type="dxa"/>
            <w:vAlign w:val="bottom"/>
          </w:tcPr>
          <w:p>
            <w:pPr>
              <w:spacing w:after="0"/>
              <w:rPr>
                <w:color w:val="auto"/>
                <w:sz w:val="8"/>
                <w:szCs w:val="8"/>
              </w:rPr>
            </w:pPr>
          </w:p>
        </w:tc>
        <w:tc>
          <w:tcPr>
            <w:tcW w:w="1" w:type="dxa"/>
            <w:vAlign w:val="bottom"/>
          </w:tcPr>
          <w:p>
            <w:pPr>
              <w:spacing w:after="0"/>
              <w:rPr>
                <w:color w:val="auto"/>
                <w:sz w:val="1"/>
                <w:szCs w:val="1"/>
              </w:rPr>
            </w:pPr>
          </w:p>
        </w:tc>
      </w:tr>
      <w:tr>
        <w:tblPrEx>
          <w:tblInd w:w="0" w:type="dxa"/>
          <w:tblLayout w:type="fixed"/>
        </w:tblPrEx>
        <w:trPr>
          <w:trHeight w:val="23"/>
        </w:trPr>
        <w:tc>
          <w:tcPr>
            <w:tcW w:w="3340" w:type="dxa"/>
            <w:vAlign w:val="bottom"/>
          </w:tcPr>
          <w:p>
            <w:pPr>
              <w:spacing w:after="0"/>
              <w:rPr>
                <w:color w:val="auto"/>
                <w:sz w:val="2"/>
                <w:szCs w:val="2"/>
              </w:rPr>
            </w:pPr>
          </w:p>
        </w:tc>
        <w:tc>
          <w:tcPr>
            <w:tcW w:w="2180" w:type="dxa"/>
            <w:vAlign w:val="bottom"/>
          </w:tcPr>
          <w:p>
            <w:pPr>
              <w:spacing w:after="0"/>
              <w:rPr>
                <w:color w:val="auto"/>
                <w:sz w:val="2"/>
                <w:szCs w:val="2"/>
              </w:rPr>
            </w:pPr>
          </w:p>
        </w:tc>
        <w:tc>
          <w:tcPr>
            <w:tcW w:w="640" w:type="dxa"/>
            <w:vAlign w:val="bottom"/>
          </w:tcPr>
          <w:p>
            <w:pPr>
              <w:spacing w:after="0"/>
              <w:rPr>
                <w:color w:val="auto"/>
                <w:sz w:val="2"/>
                <w:szCs w:val="2"/>
              </w:rPr>
            </w:pPr>
          </w:p>
        </w:tc>
        <w:tc>
          <w:tcPr>
            <w:tcW w:w="260" w:type="dxa"/>
            <w:vAlign w:val="bottom"/>
          </w:tcPr>
          <w:p>
            <w:pPr>
              <w:spacing w:after="0"/>
              <w:rPr>
                <w:color w:val="auto"/>
                <w:sz w:val="2"/>
                <w:szCs w:val="2"/>
              </w:rPr>
            </w:pPr>
          </w:p>
        </w:tc>
        <w:tc>
          <w:tcPr>
            <w:tcW w:w="820" w:type="dxa"/>
            <w:vAlign w:val="bottom"/>
          </w:tcPr>
          <w:p>
            <w:pPr>
              <w:spacing w:after="0"/>
              <w:rPr>
                <w:color w:val="auto"/>
                <w:sz w:val="2"/>
                <w:szCs w:val="2"/>
              </w:rPr>
            </w:pPr>
          </w:p>
        </w:tc>
        <w:tc>
          <w:tcPr>
            <w:tcW w:w="100" w:type="dxa"/>
            <w:vAlign w:val="bottom"/>
          </w:tcPr>
          <w:p>
            <w:pPr>
              <w:spacing w:after="0"/>
              <w:rPr>
                <w:color w:val="auto"/>
                <w:sz w:val="2"/>
                <w:szCs w:val="2"/>
              </w:rPr>
            </w:pPr>
          </w:p>
        </w:tc>
        <w:tc>
          <w:tcPr>
            <w:tcW w:w="2180" w:type="dxa"/>
            <w:vAlign w:val="bottom"/>
          </w:tcPr>
          <w:p>
            <w:pPr>
              <w:spacing w:after="0"/>
              <w:rPr>
                <w:color w:val="auto"/>
                <w:sz w:val="2"/>
                <w:szCs w:val="2"/>
              </w:rPr>
            </w:pPr>
          </w:p>
        </w:tc>
        <w:tc>
          <w:tcPr>
            <w:tcW w:w="640" w:type="dxa"/>
            <w:vAlign w:val="bottom"/>
          </w:tcPr>
          <w:p>
            <w:pPr>
              <w:spacing w:after="0"/>
              <w:rPr>
                <w:color w:val="auto"/>
                <w:sz w:val="2"/>
                <w:szCs w:val="2"/>
              </w:rPr>
            </w:pPr>
          </w:p>
        </w:tc>
        <w:tc>
          <w:tcPr>
            <w:tcW w:w="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3340" w:type="dxa"/>
            <w:tcBorders>
              <w:bottom w:val="single" w:sz="8" w:space="0" w:color="CCEEFF"/>
            </w:tcBorders>
            <w:shd w:val="clear" w:color="auto" w:fill="CCEEFF"/>
            <w:vAlign w:val="bottom"/>
          </w:tcPr>
          <w:p>
            <w:pPr>
              <w:spacing w:after="0" w:line="112" w:lineRule="exact"/>
              <w:ind w:left="140"/>
              <w:rPr>
                <w:color w:val="auto"/>
                <w:sz w:val="20"/>
                <w:szCs w:val="20"/>
              </w:rPr>
            </w:pPr>
            <w:r>
              <w:rPr>
                <w:rFonts w:ascii="Calibri" w:eastAsia="Calibri" w:hAnsi="Calibri" w:cs="Calibri"/>
                <w:color w:val="auto"/>
                <w:sz w:val="10"/>
                <w:szCs w:val="10"/>
              </w:rPr>
              <w:t>Designated as cash fow hedges</w:t>
            </w:r>
          </w:p>
        </w:tc>
        <w:tc>
          <w:tcPr>
            <w:tcW w:w="2180" w:type="dxa"/>
            <w:tcBorders>
              <w:bottom w:val="single" w:sz="8" w:space="0" w:color="CCEEFF"/>
            </w:tcBorders>
            <w:shd w:val="clear" w:color="auto" w:fill="CCEEFF"/>
            <w:vAlign w:val="bottom"/>
          </w:tcPr>
          <w:p>
            <w:pPr>
              <w:spacing w:after="0" w:line="112" w:lineRule="exact"/>
              <w:ind w:right="312"/>
              <w:jc w:val="right"/>
              <w:rPr>
                <w:color w:val="auto"/>
                <w:sz w:val="20"/>
                <w:szCs w:val="20"/>
              </w:rPr>
            </w:pPr>
            <w:r>
              <w:rPr>
                <w:rFonts w:ascii="Calibri" w:eastAsia="Calibri" w:hAnsi="Calibri" w:cs="Calibri"/>
                <w:color w:val="auto"/>
                <w:sz w:val="10"/>
                <w:szCs w:val="10"/>
              </w:rPr>
              <w:t>Prepaid expenses and other $</w:t>
            </w:r>
          </w:p>
        </w:tc>
        <w:tc>
          <w:tcPr>
            <w:tcW w:w="6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119</w:t>
            </w:r>
          </w:p>
        </w:tc>
        <w:tc>
          <w:tcPr>
            <w:tcW w:w="260" w:type="dxa"/>
            <w:tcBorders>
              <w:bottom w:val="single" w:sz="8" w:space="0" w:color="CCEEFF"/>
            </w:tcBorders>
            <w:shd w:val="clear" w:color="auto" w:fill="CCEEFF"/>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82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12</w:t>
            </w:r>
          </w:p>
        </w:tc>
        <w:tc>
          <w:tcPr>
            <w:tcW w:w="100" w:type="dxa"/>
            <w:tcBorders>
              <w:bottom w:val="single" w:sz="8" w:space="0" w:color="CCEEFF"/>
            </w:tcBorders>
            <w:shd w:val="clear" w:color="auto" w:fill="CCEEFF"/>
            <w:vAlign w:val="bottom"/>
          </w:tcPr>
          <w:p>
            <w:pPr>
              <w:spacing w:after="0"/>
              <w:rPr>
                <w:color w:val="auto"/>
                <w:sz w:val="10"/>
                <w:szCs w:val="10"/>
              </w:rPr>
            </w:pPr>
          </w:p>
        </w:tc>
        <w:tc>
          <w:tcPr>
            <w:tcW w:w="2180" w:type="dxa"/>
            <w:tcBorders>
              <w:bottom w:val="single" w:sz="8" w:space="0" w:color="CCEEFF"/>
            </w:tcBorders>
            <w:shd w:val="clear" w:color="auto" w:fill="CCEEFF"/>
            <w:vAlign w:val="bottom"/>
          </w:tcPr>
          <w:p>
            <w:pPr>
              <w:spacing w:after="0" w:line="112" w:lineRule="exact"/>
              <w:ind w:right="312"/>
              <w:jc w:val="right"/>
              <w:rPr>
                <w:color w:val="auto"/>
                <w:sz w:val="20"/>
                <w:szCs w:val="20"/>
              </w:rPr>
            </w:pPr>
            <w:r>
              <w:rPr>
                <w:rFonts w:ascii="Calibri" w:eastAsia="Calibri" w:hAnsi="Calibri" w:cs="Calibri"/>
                <w:color w:val="auto"/>
                <w:sz w:val="10"/>
                <w:szCs w:val="10"/>
              </w:rPr>
              <w:t>Accounts payable and accrued liabilites $</w:t>
            </w:r>
          </w:p>
        </w:tc>
        <w:tc>
          <w:tcPr>
            <w:tcW w:w="6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5</w:t>
            </w:r>
          </w:p>
        </w:tc>
        <w:tc>
          <w:tcPr>
            <w:tcW w:w="260" w:type="dxa"/>
            <w:tcBorders>
              <w:bottom w:val="single" w:sz="8" w:space="0" w:color="CCEEFF"/>
            </w:tcBorders>
            <w:shd w:val="clear" w:color="auto" w:fill="CCEEFF"/>
            <w:vAlign w:val="bottom"/>
          </w:tcPr>
          <w:p>
            <w:pPr>
              <w:spacing w:after="0" w:line="112"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32</w:t>
            </w:r>
          </w:p>
        </w:tc>
        <w:tc>
          <w:tcPr>
            <w:tcW w:w="1" w:type="dxa"/>
            <w:vAlign w:val="bottom"/>
          </w:tcPr>
          <w:p>
            <w:pPr>
              <w:spacing w:after="0"/>
              <w:rPr>
                <w:color w:val="auto"/>
                <w:sz w:val="1"/>
                <w:szCs w:val="1"/>
              </w:rPr>
            </w:pPr>
          </w:p>
        </w:tc>
      </w:tr>
      <w:tr>
        <w:tblPrEx>
          <w:tblInd w:w="0" w:type="dxa"/>
          <w:tblLayout w:type="fixed"/>
        </w:tblPrEx>
        <w:trPr>
          <w:trHeight w:val="112"/>
        </w:trPr>
        <w:tc>
          <w:tcPr>
            <w:tcW w:w="3340" w:type="dxa"/>
            <w:vAlign w:val="bottom"/>
          </w:tcPr>
          <w:p>
            <w:pPr>
              <w:spacing w:after="0" w:line="112" w:lineRule="exact"/>
              <w:ind w:left="140"/>
              <w:rPr>
                <w:color w:val="auto"/>
                <w:sz w:val="20"/>
                <w:szCs w:val="20"/>
              </w:rPr>
            </w:pPr>
            <w:r>
              <w:rPr>
                <w:rFonts w:ascii="Calibri" w:eastAsia="Calibri" w:hAnsi="Calibri" w:cs="Calibri"/>
                <w:color w:val="auto"/>
                <w:sz w:val="10"/>
                <w:szCs w:val="10"/>
              </w:rPr>
              <w:t>Designated as net investment hedges</w:t>
            </w:r>
          </w:p>
        </w:tc>
        <w:tc>
          <w:tcPr>
            <w:tcW w:w="2180" w:type="dxa"/>
            <w:vAlign w:val="bottom"/>
          </w:tcPr>
          <w:p>
            <w:pPr>
              <w:spacing w:after="0" w:line="112" w:lineRule="exact"/>
              <w:ind w:right="372"/>
              <w:jc w:val="right"/>
              <w:rPr>
                <w:color w:val="auto"/>
                <w:sz w:val="20"/>
                <w:szCs w:val="20"/>
              </w:rPr>
            </w:pPr>
            <w:r>
              <w:rPr>
                <w:rFonts w:ascii="Calibri" w:eastAsia="Calibri" w:hAnsi="Calibri" w:cs="Calibri"/>
                <w:color w:val="auto"/>
                <w:sz w:val="10"/>
                <w:szCs w:val="10"/>
              </w:rPr>
              <w:t>Prepaid expenses and other</w:t>
            </w:r>
          </w:p>
        </w:tc>
        <w:tc>
          <w:tcPr>
            <w:tcW w:w="640" w:type="dxa"/>
            <w:vAlign w:val="bottom"/>
          </w:tcPr>
          <w:p>
            <w:pPr>
              <w:spacing w:after="0" w:line="112" w:lineRule="exact"/>
              <w:jc w:val="right"/>
              <w:rPr>
                <w:color w:val="auto"/>
                <w:sz w:val="20"/>
                <w:szCs w:val="20"/>
              </w:rPr>
            </w:pPr>
            <w:r>
              <w:rPr>
                <w:rFonts w:ascii="Calibri" w:eastAsia="Calibri" w:hAnsi="Calibri" w:cs="Calibri"/>
                <w:color w:val="auto"/>
                <w:sz w:val="10"/>
                <w:szCs w:val="10"/>
              </w:rPr>
              <w:t>4</w:t>
            </w:r>
          </w:p>
        </w:tc>
        <w:tc>
          <w:tcPr>
            <w:tcW w:w="260" w:type="dxa"/>
            <w:vAlign w:val="bottom"/>
          </w:tcPr>
          <w:p>
            <w:pPr>
              <w:spacing w:after="0"/>
              <w:rPr>
                <w:color w:val="auto"/>
                <w:sz w:val="9"/>
                <w:szCs w:val="9"/>
              </w:rPr>
            </w:pPr>
          </w:p>
        </w:tc>
        <w:tc>
          <w:tcPr>
            <w:tcW w:w="820" w:type="dxa"/>
            <w:vAlign w:val="bottom"/>
          </w:tcPr>
          <w:p>
            <w:pPr>
              <w:spacing w:after="0" w:line="112" w:lineRule="exact"/>
              <w:jc w:val="right"/>
              <w:rPr>
                <w:color w:val="auto"/>
                <w:sz w:val="20"/>
                <w:szCs w:val="20"/>
              </w:rPr>
            </w:pPr>
            <w:r>
              <w:rPr>
                <w:rFonts w:ascii="Calibri" w:eastAsia="Calibri" w:hAnsi="Calibri" w:cs="Calibri"/>
                <w:color w:val="auto"/>
                <w:sz w:val="10"/>
                <w:szCs w:val="10"/>
              </w:rPr>
              <w:t>13</w:t>
            </w:r>
          </w:p>
        </w:tc>
        <w:tc>
          <w:tcPr>
            <w:tcW w:w="100" w:type="dxa"/>
            <w:vAlign w:val="bottom"/>
          </w:tcPr>
          <w:p>
            <w:pPr>
              <w:spacing w:after="0"/>
              <w:rPr>
                <w:color w:val="auto"/>
                <w:sz w:val="9"/>
                <w:szCs w:val="9"/>
              </w:rPr>
            </w:pPr>
          </w:p>
        </w:tc>
        <w:tc>
          <w:tcPr>
            <w:tcW w:w="2180" w:type="dxa"/>
            <w:vAlign w:val="bottom"/>
          </w:tcPr>
          <w:p>
            <w:pPr>
              <w:spacing w:after="0" w:line="112" w:lineRule="exact"/>
              <w:ind w:right="392"/>
              <w:jc w:val="right"/>
              <w:rPr>
                <w:color w:val="auto"/>
                <w:sz w:val="20"/>
                <w:szCs w:val="20"/>
              </w:rPr>
            </w:pPr>
            <w:r>
              <w:rPr>
                <w:rFonts w:ascii="Calibri" w:eastAsia="Calibri" w:hAnsi="Calibri" w:cs="Calibri"/>
                <w:color w:val="auto"/>
                <w:sz w:val="10"/>
                <w:szCs w:val="10"/>
              </w:rPr>
              <w:t>Accounts payable and accrued liabilites</w:t>
            </w:r>
          </w:p>
        </w:tc>
        <w:tc>
          <w:tcPr>
            <w:tcW w:w="640" w:type="dxa"/>
            <w:vAlign w:val="bottom"/>
          </w:tcPr>
          <w:p>
            <w:pPr>
              <w:spacing w:after="0" w:line="112" w:lineRule="exact"/>
              <w:jc w:val="right"/>
              <w:rPr>
                <w:color w:val="auto"/>
                <w:sz w:val="20"/>
                <w:szCs w:val="20"/>
              </w:rPr>
            </w:pPr>
            <w:r>
              <w:rPr>
                <w:rFonts w:ascii="Calibri" w:eastAsia="Calibri" w:hAnsi="Calibri" w:cs="Calibri"/>
                <w:color w:val="auto"/>
                <w:sz w:val="10"/>
                <w:szCs w:val="10"/>
              </w:rPr>
              <w:t>—</w:t>
            </w:r>
          </w:p>
        </w:tc>
        <w:tc>
          <w:tcPr>
            <w:tcW w:w="260" w:type="dxa"/>
            <w:vAlign w:val="bottom"/>
          </w:tcPr>
          <w:p>
            <w:pPr>
              <w:spacing w:after="0"/>
              <w:rPr>
                <w:color w:val="auto"/>
                <w:sz w:val="9"/>
                <w:szCs w:val="9"/>
              </w:rPr>
            </w:pP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66</w:t>
            </w:r>
          </w:p>
        </w:tc>
        <w:tc>
          <w:tcPr>
            <w:tcW w:w="1" w:type="dxa"/>
            <w:vAlign w:val="bottom"/>
          </w:tcPr>
          <w:p>
            <w:pPr>
              <w:spacing w:after="0"/>
              <w:rPr>
                <w:color w:val="auto"/>
                <w:sz w:val="1"/>
                <w:szCs w:val="1"/>
              </w:rPr>
            </w:pPr>
          </w:p>
        </w:tc>
      </w:tr>
      <w:tr>
        <w:tblPrEx>
          <w:tblInd w:w="0" w:type="dxa"/>
          <w:tblLayout w:type="fixed"/>
        </w:tblPrEx>
        <w:trPr>
          <w:trHeight w:val="23"/>
        </w:trPr>
        <w:tc>
          <w:tcPr>
            <w:tcW w:w="3340" w:type="dxa"/>
            <w:vAlign w:val="bottom"/>
          </w:tcPr>
          <w:p>
            <w:pPr>
              <w:spacing w:after="0"/>
              <w:rPr>
                <w:color w:val="auto"/>
                <w:sz w:val="2"/>
                <w:szCs w:val="2"/>
              </w:rPr>
            </w:pPr>
          </w:p>
        </w:tc>
        <w:tc>
          <w:tcPr>
            <w:tcW w:w="2180" w:type="dxa"/>
            <w:vAlign w:val="bottom"/>
          </w:tcPr>
          <w:p>
            <w:pPr>
              <w:spacing w:after="0"/>
              <w:rPr>
                <w:color w:val="auto"/>
                <w:sz w:val="2"/>
                <w:szCs w:val="2"/>
              </w:rPr>
            </w:pPr>
          </w:p>
        </w:tc>
        <w:tc>
          <w:tcPr>
            <w:tcW w:w="640" w:type="dxa"/>
            <w:vAlign w:val="bottom"/>
          </w:tcPr>
          <w:p>
            <w:pPr>
              <w:spacing w:after="0"/>
              <w:rPr>
                <w:color w:val="auto"/>
                <w:sz w:val="2"/>
                <w:szCs w:val="2"/>
              </w:rPr>
            </w:pPr>
          </w:p>
        </w:tc>
        <w:tc>
          <w:tcPr>
            <w:tcW w:w="260" w:type="dxa"/>
            <w:vAlign w:val="bottom"/>
          </w:tcPr>
          <w:p>
            <w:pPr>
              <w:spacing w:after="0"/>
              <w:rPr>
                <w:color w:val="auto"/>
                <w:sz w:val="2"/>
                <w:szCs w:val="2"/>
              </w:rPr>
            </w:pPr>
          </w:p>
        </w:tc>
        <w:tc>
          <w:tcPr>
            <w:tcW w:w="820" w:type="dxa"/>
            <w:vAlign w:val="bottom"/>
          </w:tcPr>
          <w:p>
            <w:pPr>
              <w:spacing w:after="0"/>
              <w:rPr>
                <w:color w:val="auto"/>
                <w:sz w:val="2"/>
                <w:szCs w:val="2"/>
              </w:rPr>
            </w:pPr>
          </w:p>
        </w:tc>
        <w:tc>
          <w:tcPr>
            <w:tcW w:w="100" w:type="dxa"/>
            <w:vAlign w:val="bottom"/>
          </w:tcPr>
          <w:p>
            <w:pPr>
              <w:spacing w:after="0"/>
              <w:rPr>
                <w:color w:val="auto"/>
                <w:sz w:val="2"/>
                <w:szCs w:val="2"/>
              </w:rPr>
            </w:pPr>
          </w:p>
        </w:tc>
        <w:tc>
          <w:tcPr>
            <w:tcW w:w="2180" w:type="dxa"/>
            <w:vAlign w:val="bottom"/>
          </w:tcPr>
          <w:p>
            <w:pPr>
              <w:spacing w:after="0"/>
              <w:rPr>
                <w:color w:val="auto"/>
                <w:sz w:val="2"/>
                <w:szCs w:val="2"/>
              </w:rPr>
            </w:pPr>
          </w:p>
        </w:tc>
        <w:tc>
          <w:tcPr>
            <w:tcW w:w="640" w:type="dxa"/>
            <w:vAlign w:val="bottom"/>
          </w:tcPr>
          <w:p>
            <w:pPr>
              <w:spacing w:after="0"/>
              <w:rPr>
                <w:color w:val="auto"/>
                <w:sz w:val="2"/>
                <w:szCs w:val="2"/>
              </w:rPr>
            </w:pPr>
          </w:p>
        </w:tc>
        <w:tc>
          <w:tcPr>
            <w:tcW w:w="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3340" w:type="dxa"/>
            <w:tcBorders>
              <w:bottom w:val="single" w:sz="8" w:space="0" w:color="CCEEFF"/>
            </w:tcBorders>
            <w:shd w:val="clear" w:color="auto" w:fill="CCEEFF"/>
            <w:vAlign w:val="bottom"/>
          </w:tcPr>
          <w:p>
            <w:pPr>
              <w:spacing w:after="0" w:line="112" w:lineRule="exact"/>
              <w:ind w:left="140"/>
              <w:rPr>
                <w:color w:val="auto"/>
                <w:sz w:val="20"/>
                <w:szCs w:val="20"/>
              </w:rPr>
            </w:pPr>
            <w:r>
              <w:rPr>
                <w:rFonts w:ascii="Calibri" w:eastAsia="Calibri" w:hAnsi="Calibri" w:cs="Calibri"/>
                <w:color w:val="auto"/>
                <w:sz w:val="10"/>
                <w:szCs w:val="10"/>
              </w:rPr>
              <w:t>Designated as net investment hedges</w:t>
            </w:r>
          </w:p>
        </w:tc>
        <w:tc>
          <w:tcPr>
            <w:tcW w:w="2180" w:type="dxa"/>
            <w:tcBorders>
              <w:bottom w:val="single" w:sz="8" w:space="0" w:color="CCEEFF"/>
            </w:tcBorders>
            <w:shd w:val="clear" w:color="auto" w:fill="CCEEFF"/>
            <w:vAlign w:val="bottom"/>
          </w:tcPr>
          <w:p>
            <w:pPr>
              <w:spacing w:after="0" w:line="112" w:lineRule="exact"/>
              <w:ind w:right="372"/>
              <w:jc w:val="right"/>
              <w:rPr>
                <w:color w:val="auto"/>
                <w:sz w:val="20"/>
                <w:szCs w:val="20"/>
              </w:rPr>
            </w:pPr>
            <w:r>
              <w:rPr>
                <w:rFonts w:ascii="Calibri" w:eastAsia="Calibri" w:hAnsi="Calibri" w:cs="Calibri"/>
                <w:color w:val="auto"/>
                <w:sz w:val="10"/>
                <w:szCs w:val="10"/>
              </w:rPr>
              <w:t>Other assets</w:t>
            </w:r>
          </w:p>
        </w:tc>
        <w:tc>
          <w:tcPr>
            <w:tcW w:w="6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148</w:t>
            </w:r>
          </w:p>
        </w:tc>
        <w:tc>
          <w:tcPr>
            <w:tcW w:w="260" w:type="dxa"/>
            <w:tcBorders>
              <w:bottom w:val="single" w:sz="8" w:space="0" w:color="CCEEFF"/>
            </w:tcBorders>
            <w:shd w:val="clear" w:color="auto" w:fill="CCEEFF"/>
            <w:vAlign w:val="bottom"/>
          </w:tcPr>
          <w:p>
            <w:pPr>
              <w:spacing w:after="0"/>
              <w:rPr>
                <w:color w:val="auto"/>
                <w:sz w:val="10"/>
                <w:szCs w:val="10"/>
              </w:rPr>
            </w:pPr>
          </w:p>
        </w:tc>
        <w:tc>
          <w:tcPr>
            <w:tcW w:w="920" w:type="dxa"/>
            <w:gridSpan w:val="2"/>
            <w:tcBorders>
              <w:bottom w:val="single" w:sz="8" w:space="0" w:color="CCEEFF"/>
            </w:tcBorders>
            <w:shd w:val="clear" w:color="auto" w:fill="CCEEFF"/>
            <w:vAlign w:val="bottom"/>
          </w:tcPr>
          <w:p>
            <w:pPr>
              <w:spacing w:after="0" w:line="112" w:lineRule="exact"/>
              <w:ind w:right="140"/>
              <w:jc w:val="right"/>
              <w:rPr>
                <w:color w:val="auto"/>
                <w:sz w:val="20"/>
                <w:szCs w:val="20"/>
              </w:rPr>
            </w:pPr>
            <w:r>
              <w:rPr>
                <w:rFonts w:ascii="Calibri" w:eastAsia="Calibri" w:hAnsi="Calibri" w:cs="Calibri"/>
                <w:color w:val="auto"/>
                <w:sz w:val="10"/>
                <w:szCs w:val="10"/>
              </w:rPr>
              <w:t>—</w:t>
            </w:r>
          </w:p>
        </w:tc>
        <w:tc>
          <w:tcPr>
            <w:tcW w:w="2180" w:type="dxa"/>
            <w:tcBorders>
              <w:bottom w:val="single" w:sz="8" w:space="0" w:color="CCEEFF"/>
            </w:tcBorders>
            <w:shd w:val="clear" w:color="auto" w:fill="CCEEFF"/>
            <w:vAlign w:val="bottom"/>
          </w:tcPr>
          <w:p>
            <w:pPr>
              <w:spacing w:after="0" w:line="112" w:lineRule="exact"/>
              <w:ind w:right="392"/>
              <w:jc w:val="right"/>
              <w:rPr>
                <w:color w:val="auto"/>
                <w:sz w:val="20"/>
                <w:szCs w:val="20"/>
              </w:rPr>
            </w:pPr>
            <w:r>
              <w:rPr>
                <w:rFonts w:ascii="Calibri" w:eastAsia="Calibri" w:hAnsi="Calibri" w:cs="Calibri"/>
                <w:color w:val="auto"/>
                <w:sz w:val="10"/>
                <w:szCs w:val="10"/>
              </w:rPr>
              <w:t>Other long-term liabilites</w:t>
            </w:r>
          </w:p>
        </w:tc>
        <w:tc>
          <w:tcPr>
            <w:tcW w:w="6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w:t>
            </w:r>
          </w:p>
        </w:tc>
        <w:tc>
          <w:tcPr>
            <w:tcW w:w="26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line="112" w:lineRule="exact"/>
              <w:jc w:val="right"/>
              <w:rPr>
                <w:color w:val="auto"/>
                <w:sz w:val="20"/>
                <w:szCs w:val="20"/>
              </w:rPr>
            </w:pPr>
            <w:r>
              <w:rPr>
                <w:rFonts w:ascii="Calibri" w:eastAsia="Calibri" w:hAnsi="Calibri" w:cs="Calibri"/>
                <w:color w:val="auto"/>
                <w:sz w:val="10"/>
                <w:szCs w:val="10"/>
              </w:rPr>
              <w:t>69</w:t>
            </w:r>
          </w:p>
        </w:tc>
        <w:tc>
          <w:tcPr>
            <w:tcW w:w="1" w:type="dxa"/>
            <w:vAlign w:val="bottom"/>
          </w:tcPr>
          <w:p>
            <w:pPr>
              <w:spacing w:after="0"/>
              <w:rPr>
                <w:color w:val="auto"/>
                <w:sz w:val="1"/>
                <w:szCs w:val="1"/>
              </w:rPr>
            </w:pPr>
          </w:p>
        </w:tc>
      </w:tr>
      <w:tr>
        <w:tblPrEx>
          <w:tblInd w:w="0" w:type="dxa"/>
          <w:tblLayout w:type="fixed"/>
        </w:tblPrEx>
        <w:trPr>
          <w:trHeight w:val="112"/>
        </w:trPr>
        <w:tc>
          <w:tcPr>
            <w:tcW w:w="3340" w:type="dxa"/>
            <w:vAlign w:val="bottom"/>
          </w:tcPr>
          <w:p>
            <w:pPr>
              <w:spacing w:after="0" w:line="112" w:lineRule="exact"/>
              <w:ind w:left="140"/>
              <w:rPr>
                <w:color w:val="auto"/>
                <w:sz w:val="20"/>
                <w:szCs w:val="20"/>
              </w:rPr>
            </w:pPr>
            <w:r>
              <w:rPr>
                <w:rFonts w:ascii="Calibri" w:eastAsia="Calibri" w:hAnsi="Calibri" w:cs="Calibri"/>
                <w:color w:val="auto"/>
                <w:sz w:val="10"/>
                <w:szCs w:val="10"/>
              </w:rPr>
              <w:t>Not designated as hedges</w:t>
            </w:r>
          </w:p>
        </w:tc>
        <w:tc>
          <w:tcPr>
            <w:tcW w:w="2180" w:type="dxa"/>
            <w:vAlign w:val="bottom"/>
          </w:tcPr>
          <w:p>
            <w:pPr>
              <w:spacing w:after="0" w:line="112" w:lineRule="exact"/>
              <w:ind w:right="372"/>
              <w:jc w:val="right"/>
              <w:rPr>
                <w:color w:val="auto"/>
                <w:sz w:val="20"/>
                <w:szCs w:val="20"/>
              </w:rPr>
            </w:pPr>
            <w:r>
              <w:rPr>
                <w:rFonts w:ascii="Calibri" w:eastAsia="Calibri" w:hAnsi="Calibri" w:cs="Calibri"/>
                <w:color w:val="auto"/>
                <w:sz w:val="10"/>
                <w:szCs w:val="10"/>
              </w:rPr>
              <w:t>Prepaid expenses and other</w:t>
            </w:r>
          </w:p>
        </w:tc>
        <w:tc>
          <w:tcPr>
            <w:tcW w:w="640" w:type="dxa"/>
            <w:vAlign w:val="bottom"/>
          </w:tcPr>
          <w:p>
            <w:pPr>
              <w:spacing w:after="0" w:line="112" w:lineRule="exact"/>
              <w:jc w:val="right"/>
              <w:rPr>
                <w:color w:val="auto"/>
                <w:sz w:val="20"/>
                <w:szCs w:val="20"/>
              </w:rPr>
            </w:pPr>
            <w:r>
              <w:rPr>
                <w:rFonts w:ascii="Calibri" w:eastAsia="Calibri" w:hAnsi="Calibri" w:cs="Calibri"/>
                <w:color w:val="auto"/>
                <w:sz w:val="10"/>
                <w:szCs w:val="10"/>
              </w:rPr>
              <w:t>42</w:t>
            </w:r>
          </w:p>
        </w:tc>
        <w:tc>
          <w:tcPr>
            <w:tcW w:w="260" w:type="dxa"/>
            <w:vAlign w:val="bottom"/>
          </w:tcPr>
          <w:p>
            <w:pPr>
              <w:spacing w:after="0"/>
              <w:rPr>
                <w:color w:val="auto"/>
                <w:sz w:val="9"/>
                <w:szCs w:val="9"/>
              </w:rPr>
            </w:pPr>
          </w:p>
        </w:tc>
        <w:tc>
          <w:tcPr>
            <w:tcW w:w="820" w:type="dxa"/>
            <w:vAlign w:val="bottom"/>
          </w:tcPr>
          <w:p>
            <w:pPr>
              <w:spacing w:after="0" w:line="112" w:lineRule="exact"/>
              <w:jc w:val="right"/>
              <w:rPr>
                <w:color w:val="auto"/>
                <w:sz w:val="20"/>
                <w:szCs w:val="20"/>
              </w:rPr>
            </w:pPr>
            <w:r>
              <w:rPr>
                <w:rFonts w:ascii="Calibri" w:eastAsia="Calibri" w:hAnsi="Calibri" w:cs="Calibri"/>
                <w:color w:val="auto"/>
                <w:sz w:val="10"/>
                <w:szCs w:val="10"/>
              </w:rPr>
              <w:t>41</w:t>
            </w:r>
          </w:p>
        </w:tc>
        <w:tc>
          <w:tcPr>
            <w:tcW w:w="100" w:type="dxa"/>
            <w:vAlign w:val="bottom"/>
          </w:tcPr>
          <w:p>
            <w:pPr>
              <w:spacing w:after="0"/>
              <w:rPr>
                <w:color w:val="auto"/>
                <w:sz w:val="9"/>
                <w:szCs w:val="9"/>
              </w:rPr>
            </w:pPr>
          </w:p>
        </w:tc>
        <w:tc>
          <w:tcPr>
            <w:tcW w:w="2180" w:type="dxa"/>
            <w:vAlign w:val="bottom"/>
          </w:tcPr>
          <w:p>
            <w:pPr>
              <w:spacing w:after="0" w:line="112" w:lineRule="exact"/>
              <w:ind w:right="392"/>
              <w:jc w:val="right"/>
              <w:rPr>
                <w:color w:val="auto"/>
                <w:sz w:val="20"/>
                <w:szCs w:val="20"/>
              </w:rPr>
            </w:pPr>
            <w:r>
              <w:rPr>
                <w:rFonts w:ascii="Calibri" w:eastAsia="Calibri" w:hAnsi="Calibri" w:cs="Calibri"/>
                <w:color w:val="auto"/>
                <w:sz w:val="10"/>
                <w:szCs w:val="10"/>
              </w:rPr>
              <w:t>Accounts payable and accrued liabilites</w:t>
            </w:r>
          </w:p>
        </w:tc>
        <w:tc>
          <w:tcPr>
            <w:tcW w:w="640" w:type="dxa"/>
            <w:vAlign w:val="bottom"/>
          </w:tcPr>
          <w:p>
            <w:pPr>
              <w:spacing w:after="0" w:line="112" w:lineRule="exact"/>
              <w:jc w:val="right"/>
              <w:rPr>
                <w:color w:val="auto"/>
                <w:sz w:val="20"/>
                <w:szCs w:val="20"/>
              </w:rPr>
            </w:pPr>
            <w:r>
              <w:rPr>
                <w:rFonts w:ascii="Calibri" w:eastAsia="Calibri" w:hAnsi="Calibri" w:cs="Calibri"/>
                <w:color w:val="auto"/>
                <w:sz w:val="10"/>
                <w:szCs w:val="10"/>
              </w:rPr>
              <w:t>30</w:t>
            </w:r>
          </w:p>
        </w:tc>
        <w:tc>
          <w:tcPr>
            <w:tcW w:w="260" w:type="dxa"/>
            <w:vAlign w:val="bottom"/>
          </w:tcPr>
          <w:p>
            <w:pPr>
              <w:spacing w:after="0"/>
              <w:rPr>
                <w:color w:val="auto"/>
                <w:sz w:val="9"/>
                <w:szCs w:val="9"/>
              </w:rPr>
            </w:pP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36</w:t>
            </w:r>
          </w:p>
        </w:tc>
        <w:tc>
          <w:tcPr>
            <w:tcW w:w="1" w:type="dxa"/>
            <w:vAlign w:val="bottom"/>
          </w:tcPr>
          <w:p>
            <w:pPr>
              <w:spacing w:after="0"/>
              <w:rPr>
                <w:color w:val="auto"/>
                <w:sz w:val="1"/>
                <w:szCs w:val="1"/>
              </w:rPr>
            </w:pPr>
          </w:p>
        </w:tc>
      </w:tr>
      <w:tr>
        <w:tblPrEx>
          <w:tblInd w:w="0" w:type="dxa"/>
          <w:tblLayout w:type="fixed"/>
        </w:tblPrEx>
        <w:trPr>
          <w:trHeight w:val="23"/>
        </w:trPr>
        <w:tc>
          <w:tcPr>
            <w:tcW w:w="3340" w:type="dxa"/>
            <w:vAlign w:val="bottom"/>
          </w:tcPr>
          <w:p>
            <w:pPr>
              <w:spacing w:after="0"/>
              <w:rPr>
                <w:color w:val="auto"/>
                <w:sz w:val="2"/>
                <w:szCs w:val="2"/>
              </w:rPr>
            </w:pPr>
          </w:p>
        </w:tc>
        <w:tc>
          <w:tcPr>
            <w:tcW w:w="2180" w:type="dxa"/>
            <w:vAlign w:val="bottom"/>
          </w:tcPr>
          <w:p>
            <w:pPr>
              <w:spacing w:after="0"/>
              <w:rPr>
                <w:color w:val="auto"/>
                <w:sz w:val="2"/>
                <w:szCs w:val="2"/>
              </w:rPr>
            </w:pPr>
          </w:p>
        </w:tc>
        <w:tc>
          <w:tcPr>
            <w:tcW w:w="640" w:type="dxa"/>
            <w:vAlign w:val="bottom"/>
          </w:tcPr>
          <w:p>
            <w:pPr>
              <w:spacing w:after="0"/>
              <w:rPr>
                <w:color w:val="auto"/>
                <w:sz w:val="2"/>
                <w:szCs w:val="2"/>
              </w:rPr>
            </w:pPr>
          </w:p>
        </w:tc>
        <w:tc>
          <w:tcPr>
            <w:tcW w:w="260" w:type="dxa"/>
            <w:vAlign w:val="bottom"/>
          </w:tcPr>
          <w:p>
            <w:pPr>
              <w:spacing w:after="0"/>
              <w:rPr>
                <w:color w:val="auto"/>
                <w:sz w:val="2"/>
                <w:szCs w:val="2"/>
              </w:rPr>
            </w:pPr>
          </w:p>
        </w:tc>
        <w:tc>
          <w:tcPr>
            <w:tcW w:w="820" w:type="dxa"/>
            <w:vAlign w:val="bottom"/>
          </w:tcPr>
          <w:p>
            <w:pPr>
              <w:spacing w:after="0"/>
              <w:rPr>
                <w:color w:val="auto"/>
                <w:sz w:val="2"/>
                <w:szCs w:val="2"/>
              </w:rPr>
            </w:pPr>
          </w:p>
        </w:tc>
        <w:tc>
          <w:tcPr>
            <w:tcW w:w="100" w:type="dxa"/>
            <w:vAlign w:val="bottom"/>
          </w:tcPr>
          <w:p>
            <w:pPr>
              <w:spacing w:after="0"/>
              <w:rPr>
                <w:color w:val="auto"/>
                <w:sz w:val="2"/>
                <w:szCs w:val="2"/>
              </w:rPr>
            </w:pPr>
          </w:p>
        </w:tc>
        <w:tc>
          <w:tcPr>
            <w:tcW w:w="2180" w:type="dxa"/>
            <w:vAlign w:val="bottom"/>
          </w:tcPr>
          <w:p>
            <w:pPr>
              <w:spacing w:after="0"/>
              <w:rPr>
                <w:color w:val="auto"/>
                <w:sz w:val="2"/>
                <w:szCs w:val="2"/>
              </w:rPr>
            </w:pPr>
          </w:p>
        </w:tc>
        <w:tc>
          <w:tcPr>
            <w:tcW w:w="640" w:type="dxa"/>
            <w:vAlign w:val="bottom"/>
          </w:tcPr>
          <w:p>
            <w:pPr>
              <w:spacing w:after="0"/>
              <w:rPr>
                <w:color w:val="auto"/>
                <w:sz w:val="2"/>
                <w:szCs w:val="2"/>
              </w:rPr>
            </w:pPr>
          </w:p>
        </w:tc>
        <w:tc>
          <w:tcPr>
            <w:tcW w:w="260" w:type="dxa"/>
            <w:vAlign w:val="bottom"/>
          </w:tcPr>
          <w:p>
            <w:pPr>
              <w:spacing w:after="0"/>
              <w:rPr>
                <w:color w:val="auto"/>
                <w:sz w:val="2"/>
                <w:szCs w:val="2"/>
              </w:rPr>
            </w:pPr>
          </w:p>
        </w:tc>
        <w:tc>
          <w:tcPr>
            <w:tcW w:w="840" w:type="dxa"/>
            <w:vAlign w:val="bottom"/>
          </w:tcPr>
          <w:p>
            <w:pPr>
              <w:spacing w:after="0"/>
              <w:rPr>
                <w:color w:val="auto"/>
                <w:sz w:val="2"/>
                <w:szCs w:val="2"/>
              </w:rPr>
            </w:pPr>
          </w:p>
        </w:tc>
        <w:tc>
          <w:tcPr>
            <w:tcW w:w="1" w:type="dxa"/>
            <w:vAlign w:val="bottom"/>
          </w:tcPr>
          <w:p>
            <w:pPr>
              <w:spacing w:after="0" w:line="20" w:lineRule="exact"/>
              <w:rPr>
                <w:color w:val="auto"/>
                <w:sz w:val="1"/>
                <w:szCs w:val="1"/>
              </w:rPr>
            </w:pPr>
          </w:p>
        </w:tc>
      </w:tr>
      <w:tr>
        <w:tblPrEx>
          <w:tblInd w:w="0" w:type="dxa"/>
          <w:tblLayout w:type="fixed"/>
        </w:tblPrEx>
        <w:trPr>
          <w:trHeight w:val="115"/>
        </w:trPr>
        <w:tc>
          <w:tcPr>
            <w:tcW w:w="3340" w:type="dxa"/>
            <w:tcBorders>
              <w:bottom w:val="single" w:sz="8" w:space="0" w:color="CCEEFF"/>
            </w:tcBorders>
            <w:shd w:val="clear" w:color="auto" w:fill="CCEEFF"/>
            <w:vAlign w:val="bottom"/>
          </w:tcPr>
          <w:p>
            <w:pPr>
              <w:spacing w:after="0" w:line="112" w:lineRule="exact"/>
              <w:rPr>
                <w:color w:val="auto"/>
                <w:sz w:val="20"/>
                <w:szCs w:val="20"/>
              </w:rPr>
            </w:pPr>
            <w:r>
              <w:rPr>
                <w:rFonts w:ascii="Calibri" w:eastAsia="Calibri" w:hAnsi="Calibri" w:cs="Calibri"/>
                <w:color w:val="auto"/>
                <w:sz w:val="10"/>
                <w:szCs w:val="10"/>
              </w:rPr>
              <w:t>Interest rate swap contracts</w:t>
            </w:r>
          </w:p>
        </w:tc>
        <w:tc>
          <w:tcPr>
            <w:tcW w:w="2180" w:type="dxa"/>
            <w:tcBorders>
              <w:bottom w:val="single" w:sz="8" w:space="0" w:color="CCEEFF"/>
            </w:tcBorders>
            <w:shd w:val="clear" w:color="auto" w:fill="CCEEFF"/>
            <w:vAlign w:val="bottom"/>
          </w:tcPr>
          <w:p>
            <w:pPr>
              <w:spacing w:after="0"/>
              <w:rPr>
                <w:color w:val="auto"/>
                <w:sz w:val="10"/>
                <w:szCs w:val="10"/>
              </w:rPr>
            </w:pPr>
          </w:p>
        </w:tc>
        <w:tc>
          <w:tcPr>
            <w:tcW w:w="640" w:type="dxa"/>
            <w:tcBorders>
              <w:bottom w:val="single" w:sz="8" w:space="0" w:color="CCEEFF"/>
            </w:tcBorders>
            <w:shd w:val="clear" w:color="auto" w:fill="CCEEFF"/>
            <w:vAlign w:val="bottom"/>
          </w:tcPr>
          <w:p>
            <w:pPr>
              <w:spacing w:after="0"/>
              <w:rPr>
                <w:color w:val="auto"/>
                <w:sz w:val="10"/>
                <w:szCs w:val="10"/>
              </w:rPr>
            </w:pPr>
          </w:p>
        </w:tc>
        <w:tc>
          <w:tcPr>
            <w:tcW w:w="260" w:type="dxa"/>
            <w:tcBorders>
              <w:bottom w:val="single" w:sz="8" w:space="0" w:color="CCEEFF"/>
            </w:tcBorders>
            <w:shd w:val="clear" w:color="auto" w:fill="CCEEFF"/>
            <w:vAlign w:val="bottom"/>
          </w:tcPr>
          <w:p>
            <w:pPr>
              <w:spacing w:after="0"/>
              <w:rPr>
                <w:color w:val="auto"/>
                <w:sz w:val="10"/>
                <w:szCs w:val="10"/>
              </w:rPr>
            </w:pPr>
          </w:p>
        </w:tc>
        <w:tc>
          <w:tcPr>
            <w:tcW w:w="820" w:type="dxa"/>
            <w:tcBorders>
              <w:bottom w:val="single" w:sz="8" w:space="0" w:color="CCEEFF"/>
            </w:tcBorders>
            <w:shd w:val="clear" w:color="auto" w:fill="CCEEFF"/>
            <w:vAlign w:val="bottom"/>
          </w:tcPr>
          <w:p>
            <w:pPr>
              <w:spacing w:after="0"/>
              <w:rPr>
                <w:color w:val="auto"/>
                <w:sz w:val="10"/>
                <w:szCs w:val="10"/>
              </w:rPr>
            </w:pPr>
          </w:p>
        </w:tc>
        <w:tc>
          <w:tcPr>
            <w:tcW w:w="100" w:type="dxa"/>
            <w:tcBorders>
              <w:bottom w:val="single" w:sz="8" w:space="0" w:color="CCEEFF"/>
            </w:tcBorders>
            <w:shd w:val="clear" w:color="auto" w:fill="CCEEFF"/>
            <w:vAlign w:val="bottom"/>
          </w:tcPr>
          <w:p>
            <w:pPr>
              <w:spacing w:after="0"/>
              <w:rPr>
                <w:color w:val="auto"/>
                <w:sz w:val="10"/>
                <w:szCs w:val="10"/>
              </w:rPr>
            </w:pPr>
          </w:p>
        </w:tc>
        <w:tc>
          <w:tcPr>
            <w:tcW w:w="2180" w:type="dxa"/>
            <w:tcBorders>
              <w:bottom w:val="single" w:sz="8" w:space="0" w:color="CCEEFF"/>
            </w:tcBorders>
            <w:shd w:val="clear" w:color="auto" w:fill="CCEEFF"/>
            <w:vAlign w:val="bottom"/>
          </w:tcPr>
          <w:p>
            <w:pPr>
              <w:spacing w:after="0"/>
              <w:rPr>
                <w:color w:val="auto"/>
                <w:sz w:val="10"/>
                <w:szCs w:val="10"/>
              </w:rPr>
            </w:pPr>
          </w:p>
        </w:tc>
        <w:tc>
          <w:tcPr>
            <w:tcW w:w="640" w:type="dxa"/>
            <w:tcBorders>
              <w:bottom w:val="single" w:sz="8" w:space="0" w:color="CCEEFF"/>
            </w:tcBorders>
            <w:shd w:val="clear" w:color="auto" w:fill="CCEEFF"/>
            <w:vAlign w:val="bottom"/>
          </w:tcPr>
          <w:p>
            <w:pPr>
              <w:spacing w:after="0"/>
              <w:rPr>
                <w:color w:val="auto"/>
                <w:sz w:val="10"/>
                <w:szCs w:val="10"/>
              </w:rPr>
            </w:pPr>
          </w:p>
        </w:tc>
        <w:tc>
          <w:tcPr>
            <w:tcW w:w="260" w:type="dxa"/>
            <w:tcBorders>
              <w:bottom w:val="single" w:sz="8" w:space="0" w:color="CCEEFF"/>
            </w:tcBorders>
            <w:shd w:val="clear" w:color="auto" w:fill="CCEEFF"/>
            <w:vAlign w:val="bottom"/>
          </w:tcPr>
          <w:p>
            <w:pPr>
              <w:spacing w:after="0"/>
              <w:rPr>
                <w:color w:val="auto"/>
                <w:sz w:val="10"/>
                <w:szCs w:val="10"/>
              </w:rPr>
            </w:pPr>
          </w:p>
        </w:tc>
        <w:tc>
          <w:tcPr>
            <w:tcW w:w="840" w:type="dxa"/>
            <w:tcBorders>
              <w:bottom w:val="single" w:sz="8" w:space="0" w:color="CCEEFF"/>
            </w:tcBorders>
            <w:shd w:val="clear" w:color="auto" w:fill="CCEEFF"/>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112"/>
        </w:trPr>
        <w:tc>
          <w:tcPr>
            <w:tcW w:w="3340" w:type="dxa"/>
            <w:vAlign w:val="bottom"/>
          </w:tcPr>
          <w:p>
            <w:pPr>
              <w:spacing w:after="0" w:line="112" w:lineRule="exact"/>
              <w:ind w:left="140"/>
              <w:rPr>
                <w:color w:val="auto"/>
                <w:sz w:val="20"/>
                <w:szCs w:val="20"/>
              </w:rPr>
            </w:pPr>
            <w:r>
              <w:rPr>
                <w:rFonts w:ascii="Calibri" w:eastAsia="Calibri" w:hAnsi="Calibri" w:cs="Calibri"/>
                <w:color w:val="auto"/>
                <w:sz w:val="10"/>
                <w:szCs w:val="10"/>
              </w:rPr>
              <w:t>Designated as fair value hedges</w:t>
            </w:r>
          </w:p>
        </w:tc>
        <w:tc>
          <w:tcPr>
            <w:tcW w:w="2180" w:type="dxa"/>
            <w:vAlign w:val="bottom"/>
          </w:tcPr>
          <w:p>
            <w:pPr>
              <w:spacing w:after="0" w:line="112" w:lineRule="exact"/>
              <w:ind w:right="372"/>
              <w:jc w:val="right"/>
              <w:rPr>
                <w:color w:val="auto"/>
                <w:sz w:val="20"/>
                <w:szCs w:val="20"/>
              </w:rPr>
            </w:pPr>
            <w:r>
              <w:rPr>
                <w:rFonts w:ascii="Calibri" w:eastAsia="Calibri" w:hAnsi="Calibri" w:cs="Calibri"/>
                <w:color w:val="auto"/>
                <w:sz w:val="10"/>
                <w:szCs w:val="10"/>
              </w:rPr>
              <w:t>Other assets</w:t>
            </w:r>
          </w:p>
        </w:tc>
        <w:tc>
          <w:tcPr>
            <w:tcW w:w="640" w:type="dxa"/>
            <w:vAlign w:val="bottom"/>
          </w:tcPr>
          <w:p>
            <w:pPr>
              <w:spacing w:after="0" w:line="112" w:lineRule="exact"/>
              <w:jc w:val="right"/>
              <w:rPr>
                <w:color w:val="auto"/>
                <w:sz w:val="20"/>
                <w:szCs w:val="20"/>
              </w:rPr>
            </w:pPr>
            <w:r>
              <w:rPr>
                <w:rFonts w:ascii="Calibri" w:eastAsia="Calibri" w:hAnsi="Calibri" w:cs="Calibri"/>
                <w:color w:val="auto"/>
                <w:sz w:val="10"/>
                <w:szCs w:val="10"/>
              </w:rPr>
              <w:t>—</w:t>
            </w:r>
          </w:p>
        </w:tc>
        <w:tc>
          <w:tcPr>
            <w:tcW w:w="260" w:type="dxa"/>
            <w:vAlign w:val="bottom"/>
          </w:tcPr>
          <w:p>
            <w:pPr>
              <w:spacing w:after="0"/>
              <w:rPr>
                <w:color w:val="auto"/>
                <w:sz w:val="9"/>
                <w:szCs w:val="9"/>
              </w:rPr>
            </w:pPr>
          </w:p>
        </w:tc>
        <w:tc>
          <w:tcPr>
            <w:tcW w:w="920" w:type="dxa"/>
            <w:gridSpan w:val="2"/>
            <w:vAlign w:val="bottom"/>
          </w:tcPr>
          <w:p>
            <w:pPr>
              <w:spacing w:after="0" w:line="112" w:lineRule="exact"/>
              <w:ind w:right="140"/>
              <w:jc w:val="right"/>
              <w:rPr>
                <w:color w:val="auto"/>
                <w:sz w:val="20"/>
                <w:szCs w:val="20"/>
              </w:rPr>
            </w:pPr>
            <w:r>
              <w:rPr>
                <w:rFonts w:ascii="Calibri" w:eastAsia="Calibri" w:hAnsi="Calibri" w:cs="Calibri"/>
                <w:color w:val="auto"/>
                <w:sz w:val="10"/>
                <w:szCs w:val="10"/>
              </w:rPr>
              <w:t>—</w:t>
            </w:r>
          </w:p>
        </w:tc>
        <w:tc>
          <w:tcPr>
            <w:tcW w:w="2180" w:type="dxa"/>
            <w:vAlign w:val="bottom"/>
          </w:tcPr>
          <w:p>
            <w:pPr>
              <w:spacing w:after="0" w:line="112" w:lineRule="exact"/>
              <w:ind w:right="392"/>
              <w:jc w:val="right"/>
              <w:rPr>
                <w:color w:val="auto"/>
                <w:sz w:val="20"/>
                <w:szCs w:val="20"/>
              </w:rPr>
            </w:pPr>
            <w:r>
              <w:rPr>
                <w:rFonts w:ascii="Calibri" w:eastAsia="Calibri" w:hAnsi="Calibri" w:cs="Calibri"/>
                <w:color w:val="auto"/>
                <w:sz w:val="10"/>
                <w:szCs w:val="10"/>
              </w:rPr>
              <w:t>Other long-term liabilites</w:t>
            </w:r>
          </w:p>
        </w:tc>
        <w:tc>
          <w:tcPr>
            <w:tcW w:w="640" w:type="dxa"/>
            <w:vAlign w:val="bottom"/>
          </w:tcPr>
          <w:p>
            <w:pPr>
              <w:spacing w:after="0" w:line="112" w:lineRule="exact"/>
              <w:jc w:val="right"/>
              <w:rPr>
                <w:color w:val="auto"/>
                <w:sz w:val="20"/>
                <w:szCs w:val="20"/>
              </w:rPr>
            </w:pPr>
            <w:r>
              <w:rPr>
                <w:rFonts w:ascii="Calibri" w:eastAsia="Calibri" w:hAnsi="Calibri" w:cs="Calibri"/>
                <w:color w:val="auto"/>
                <w:sz w:val="10"/>
                <w:szCs w:val="10"/>
              </w:rPr>
              <w:t>231</w:t>
            </w:r>
          </w:p>
        </w:tc>
        <w:tc>
          <w:tcPr>
            <w:tcW w:w="260" w:type="dxa"/>
            <w:vAlign w:val="bottom"/>
          </w:tcPr>
          <w:p>
            <w:pPr>
              <w:spacing w:after="0"/>
              <w:rPr>
                <w:color w:val="auto"/>
                <w:sz w:val="9"/>
                <w:szCs w:val="9"/>
              </w:rPr>
            </w:pPr>
          </w:p>
        </w:tc>
        <w:tc>
          <w:tcPr>
            <w:tcW w:w="840" w:type="dxa"/>
            <w:vAlign w:val="bottom"/>
          </w:tcPr>
          <w:p>
            <w:pPr>
              <w:spacing w:after="0" w:line="112" w:lineRule="exact"/>
              <w:jc w:val="right"/>
              <w:rPr>
                <w:color w:val="auto"/>
                <w:sz w:val="20"/>
                <w:szCs w:val="20"/>
              </w:rPr>
            </w:pPr>
            <w:r>
              <w:rPr>
                <w:rFonts w:ascii="Calibri" w:eastAsia="Calibri" w:hAnsi="Calibri" w:cs="Calibri"/>
                <w:color w:val="auto"/>
                <w:sz w:val="10"/>
                <w:szCs w:val="10"/>
              </w:rPr>
              <w:t>293</w:t>
            </w:r>
          </w:p>
        </w:tc>
        <w:tc>
          <w:tcPr>
            <w:tcW w:w="1" w:type="dxa"/>
            <w:vAlign w:val="bottom"/>
          </w:tcPr>
          <w:p>
            <w:pPr>
              <w:spacing w:after="0"/>
              <w:rPr>
                <w:color w:val="auto"/>
                <w:sz w:val="1"/>
                <w:szCs w:val="1"/>
              </w:rPr>
            </w:pPr>
          </w:p>
        </w:tc>
      </w:tr>
      <w:tr>
        <w:tblPrEx>
          <w:tblInd w:w="0" w:type="dxa"/>
          <w:tblLayout w:type="fixed"/>
        </w:tblPrEx>
        <w:trPr>
          <w:trHeight w:val="23"/>
        </w:trPr>
        <w:tc>
          <w:tcPr>
            <w:tcW w:w="3340" w:type="dxa"/>
            <w:tcBorders>
              <w:bottom w:val="single" w:sz="8" w:space="0" w:color="auto"/>
            </w:tcBorders>
            <w:vAlign w:val="bottom"/>
          </w:tcPr>
          <w:p>
            <w:pPr>
              <w:spacing w:after="0"/>
              <w:rPr>
                <w:color w:val="auto"/>
                <w:sz w:val="2"/>
                <w:szCs w:val="2"/>
              </w:rPr>
            </w:pPr>
          </w:p>
        </w:tc>
        <w:tc>
          <w:tcPr>
            <w:tcW w:w="2180" w:type="dxa"/>
            <w:tcBorders>
              <w:bottom w:val="single" w:sz="8" w:space="0" w:color="auto"/>
            </w:tcBorders>
            <w:vAlign w:val="bottom"/>
          </w:tcPr>
          <w:p>
            <w:pPr>
              <w:spacing w:after="0"/>
              <w:rPr>
                <w:color w:val="auto"/>
                <w:sz w:val="2"/>
                <w:szCs w:val="2"/>
              </w:rPr>
            </w:pPr>
          </w:p>
        </w:tc>
        <w:tc>
          <w:tcPr>
            <w:tcW w:w="64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2180" w:type="dxa"/>
            <w:tcBorders>
              <w:bottom w:val="single" w:sz="8" w:space="0" w:color="auto"/>
            </w:tcBorders>
            <w:vAlign w:val="bottom"/>
          </w:tcPr>
          <w:p>
            <w:pPr>
              <w:spacing w:after="0"/>
              <w:rPr>
                <w:color w:val="auto"/>
                <w:sz w:val="2"/>
                <w:szCs w:val="2"/>
              </w:rPr>
            </w:pPr>
          </w:p>
        </w:tc>
        <w:tc>
          <w:tcPr>
            <w:tcW w:w="64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4"/>
        </w:trPr>
        <w:tc>
          <w:tcPr>
            <w:tcW w:w="3340" w:type="dxa"/>
            <w:tcBorders>
              <w:bottom w:val="single" w:sz="8" w:space="0" w:color="CCEEFF"/>
            </w:tcBorders>
            <w:shd w:val="clear" w:color="auto" w:fill="CCEEFF"/>
            <w:vAlign w:val="bottom"/>
          </w:tcPr>
          <w:p>
            <w:pPr>
              <w:spacing w:after="0" w:line="101" w:lineRule="exact"/>
              <w:rPr>
                <w:color w:val="auto"/>
                <w:sz w:val="20"/>
                <w:szCs w:val="20"/>
              </w:rPr>
            </w:pPr>
            <w:r>
              <w:rPr>
                <w:rFonts w:ascii="Calibri" w:eastAsia="Calibri" w:hAnsi="Calibri" w:cs="Calibri"/>
                <w:color w:val="auto"/>
                <w:sz w:val="10"/>
                <w:szCs w:val="10"/>
              </w:rPr>
              <w:t>Total derivatves</w:t>
            </w:r>
          </w:p>
        </w:tc>
        <w:tc>
          <w:tcPr>
            <w:tcW w:w="2180" w:type="dxa"/>
            <w:tcBorders>
              <w:bottom w:val="single" w:sz="8" w:space="0" w:color="CCEEFF"/>
            </w:tcBorders>
            <w:shd w:val="clear" w:color="auto" w:fill="CCEEFF"/>
            <w:vAlign w:val="bottom"/>
          </w:tcPr>
          <w:p>
            <w:pPr>
              <w:spacing w:after="0" w:line="101" w:lineRule="exact"/>
              <w:ind w:right="312"/>
              <w:jc w:val="right"/>
              <w:rPr>
                <w:color w:val="auto"/>
                <w:sz w:val="20"/>
                <w:szCs w:val="20"/>
              </w:rPr>
            </w:pPr>
            <w:r>
              <w:rPr>
                <w:rFonts w:ascii="Calibri" w:eastAsia="Calibri" w:hAnsi="Calibri" w:cs="Calibri"/>
                <w:color w:val="auto"/>
                <w:sz w:val="10"/>
                <w:szCs w:val="10"/>
              </w:rPr>
              <w:t>$</w:t>
            </w:r>
          </w:p>
        </w:tc>
        <w:tc>
          <w:tcPr>
            <w:tcW w:w="6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313</w:t>
            </w:r>
          </w:p>
        </w:tc>
        <w:tc>
          <w:tcPr>
            <w:tcW w:w="26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2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66</w:t>
            </w:r>
          </w:p>
        </w:tc>
        <w:tc>
          <w:tcPr>
            <w:tcW w:w="100" w:type="dxa"/>
            <w:tcBorders>
              <w:bottom w:val="single" w:sz="8" w:space="0" w:color="CCEEFF"/>
            </w:tcBorders>
            <w:shd w:val="clear" w:color="auto" w:fill="CCEEFF"/>
            <w:vAlign w:val="bottom"/>
          </w:tcPr>
          <w:p>
            <w:pPr>
              <w:spacing w:after="0"/>
              <w:rPr>
                <w:color w:val="auto"/>
                <w:sz w:val="9"/>
                <w:szCs w:val="9"/>
              </w:rPr>
            </w:pPr>
          </w:p>
        </w:tc>
        <w:tc>
          <w:tcPr>
            <w:tcW w:w="2180" w:type="dxa"/>
            <w:tcBorders>
              <w:bottom w:val="single" w:sz="8" w:space="0" w:color="CCEEFF"/>
            </w:tcBorders>
            <w:shd w:val="clear" w:color="auto" w:fill="CCEEFF"/>
            <w:vAlign w:val="bottom"/>
          </w:tcPr>
          <w:p>
            <w:pPr>
              <w:spacing w:after="0" w:line="101" w:lineRule="exact"/>
              <w:ind w:right="312"/>
              <w:jc w:val="right"/>
              <w:rPr>
                <w:color w:val="auto"/>
                <w:sz w:val="20"/>
                <w:szCs w:val="20"/>
              </w:rPr>
            </w:pPr>
            <w:r>
              <w:rPr>
                <w:rFonts w:ascii="Calibri" w:eastAsia="Calibri" w:hAnsi="Calibri" w:cs="Calibri"/>
                <w:color w:val="auto"/>
                <w:sz w:val="10"/>
                <w:szCs w:val="10"/>
              </w:rPr>
              <w:t>$</w:t>
            </w:r>
          </w:p>
        </w:tc>
        <w:tc>
          <w:tcPr>
            <w:tcW w:w="6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266</w:t>
            </w:r>
          </w:p>
        </w:tc>
        <w:tc>
          <w:tcPr>
            <w:tcW w:w="260" w:type="dxa"/>
            <w:tcBorders>
              <w:bottom w:val="single" w:sz="8" w:space="0" w:color="CCEEFF"/>
            </w:tcBorders>
            <w:shd w:val="clear" w:color="auto" w:fill="CCEEFF"/>
            <w:vAlign w:val="bottom"/>
          </w:tcPr>
          <w:p>
            <w:pPr>
              <w:spacing w:after="0" w:line="101" w:lineRule="exact"/>
              <w:ind w:right="132"/>
              <w:jc w:val="right"/>
              <w:rPr>
                <w:color w:val="auto"/>
                <w:sz w:val="20"/>
                <w:szCs w:val="20"/>
              </w:rPr>
            </w:pPr>
            <w:r>
              <w:rPr>
                <w:rFonts w:ascii="Calibri" w:eastAsia="Calibri" w:hAnsi="Calibri" w:cs="Calibri"/>
                <w:color w:val="auto"/>
                <w:sz w:val="10"/>
                <w:szCs w:val="10"/>
              </w:rPr>
              <w:t>$</w:t>
            </w:r>
          </w:p>
        </w:tc>
        <w:tc>
          <w:tcPr>
            <w:tcW w:w="840" w:type="dxa"/>
            <w:tcBorders>
              <w:bottom w:val="single" w:sz="8" w:space="0" w:color="CCEEFF"/>
            </w:tcBorders>
            <w:shd w:val="clear" w:color="auto" w:fill="CCEEFF"/>
            <w:vAlign w:val="bottom"/>
          </w:tcPr>
          <w:p>
            <w:pPr>
              <w:spacing w:after="0" w:line="101" w:lineRule="exact"/>
              <w:jc w:val="right"/>
              <w:rPr>
                <w:color w:val="auto"/>
                <w:sz w:val="20"/>
                <w:szCs w:val="20"/>
              </w:rPr>
            </w:pPr>
            <w:r>
              <w:rPr>
                <w:rFonts w:ascii="Calibri" w:eastAsia="Calibri" w:hAnsi="Calibri" w:cs="Calibri"/>
                <w:color w:val="auto"/>
                <w:sz w:val="10"/>
                <w:szCs w:val="10"/>
              </w:rPr>
              <w:t>496</w:t>
            </w:r>
          </w:p>
        </w:tc>
        <w:tc>
          <w:tcPr>
            <w:tcW w:w="1" w:type="dxa"/>
            <w:vAlign w:val="bottom"/>
          </w:tcPr>
          <w:p>
            <w:pPr>
              <w:spacing w:after="0"/>
              <w:rPr>
                <w:color w:val="auto"/>
                <w:sz w:val="1"/>
                <w:szCs w:val="1"/>
              </w:rPr>
            </w:pPr>
          </w:p>
        </w:tc>
      </w:tr>
      <w:tr>
        <w:tblPrEx>
          <w:tblInd w:w="0" w:type="dxa"/>
          <w:tblLayout w:type="fixed"/>
        </w:tblPrEx>
        <w:trPr>
          <w:trHeight w:val="36"/>
        </w:trPr>
        <w:tc>
          <w:tcPr>
            <w:tcW w:w="3340" w:type="dxa"/>
            <w:shd w:val="clear" w:color="auto" w:fill="000000"/>
            <w:vAlign w:val="bottom"/>
          </w:tcPr>
          <w:p>
            <w:pPr>
              <w:spacing w:after="0"/>
              <w:rPr>
                <w:color w:val="auto"/>
                <w:sz w:val="3"/>
                <w:szCs w:val="3"/>
              </w:rPr>
            </w:pPr>
          </w:p>
        </w:tc>
        <w:tc>
          <w:tcPr>
            <w:tcW w:w="2180" w:type="dxa"/>
            <w:shd w:val="clear" w:color="auto" w:fill="000000"/>
            <w:vAlign w:val="bottom"/>
          </w:tcPr>
          <w:p>
            <w:pPr>
              <w:spacing w:after="0"/>
              <w:rPr>
                <w:color w:val="auto"/>
                <w:sz w:val="3"/>
                <w:szCs w:val="3"/>
              </w:rPr>
            </w:pPr>
          </w:p>
        </w:tc>
        <w:tc>
          <w:tcPr>
            <w:tcW w:w="640" w:type="dxa"/>
            <w:shd w:val="clear" w:color="auto" w:fill="000000"/>
            <w:vAlign w:val="bottom"/>
          </w:tcPr>
          <w:p>
            <w:pPr>
              <w:spacing w:after="0"/>
              <w:rPr>
                <w:color w:val="auto"/>
                <w:sz w:val="3"/>
                <w:szCs w:val="3"/>
              </w:rPr>
            </w:pPr>
          </w:p>
        </w:tc>
        <w:tc>
          <w:tcPr>
            <w:tcW w:w="260" w:type="dxa"/>
            <w:shd w:val="clear" w:color="auto" w:fill="000000"/>
            <w:vAlign w:val="bottom"/>
          </w:tcPr>
          <w:p>
            <w:pPr>
              <w:spacing w:after="0"/>
              <w:rPr>
                <w:color w:val="auto"/>
                <w:sz w:val="3"/>
                <w:szCs w:val="3"/>
              </w:rPr>
            </w:pPr>
          </w:p>
        </w:tc>
        <w:tc>
          <w:tcPr>
            <w:tcW w:w="820" w:type="dxa"/>
            <w:shd w:val="clear" w:color="auto" w:fill="000000"/>
            <w:vAlign w:val="bottom"/>
          </w:tcPr>
          <w:p>
            <w:pPr>
              <w:spacing w:after="0"/>
              <w:rPr>
                <w:color w:val="auto"/>
                <w:sz w:val="3"/>
                <w:szCs w:val="3"/>
              </w:rPr>
            </w:pPr>
          </w:p>
        </w:tc>
        <w:tc>
          <w:tcPr>
            <w:tcW w:w="100" w:type="dxa"/>
            <w:shd w:val="clear" w:color="auto" w:fill="000000"/>
            <w:vAlign w:val="bottom"/>
          </w:tcPr>
          <w:p>
            <w:pPr>
              <w:spacing w:after="0"/>
              <w:rPr>
                <w:color w:val="auto"/>
                <w:sz w:val="3"/>
                <w:szCs w:val="3"/>
              </w:rPr>
            </w:pPr>
          </w:p>
        </w:tc>
        <w:tc>
          <w:tcPr>
            <w:tcW w:w="2180" w:type="dxa"/>
            <w:shd w:val="clear" w:color="auto" w:fill="000000"/>
            <w:vAlign w:val="bottom"/>
          </w:tcPr>
          <w:p>
            <w:pPr>
              <w:spacing w:after="0"/>
              <w:rPr>
                <w:color w:val="auto"/>
                <w:sz w:val="3"/>
                <w:szCs w:val="3"/>
              </w:rPr>
            </w:pPr>
          </w:p>
        </w:tc>
        <w:tc>
          <w:tcPr>
            <w:tcW w:w="640" w:type="dxa"/>
            <w:shd w:val="clear" w:color="auto" w:fill="000000"/>
            <w:vAlign w:val="bottom"/>
          </w:tcPr>
          <w:p>
            <w:pPr>
              <w:spacing w:after="0"/>
              <w:rPr>
                <w:color w:val="auto"/>
                <w:sz w:val="3"/>
                <w:szCs w:val="3"/>
              </w:rPr>
            </w:pPr>
          </w:p>
        </w:tc>
        <w:tc>
          <w:tcPr>
            <w:tcW w:w="260" w:type="dxa"/>
            <w:shd w:val="clear" w:color="auto" w:fill="000000"/>
            <w:vAlign w:val="bottom"/>
          </w:tcPr>
          <w:p>
            <w:pPr>
              <w:spacing w:after="0"/>
              <w:rPr>
                <w:color w:val="auto"/>
                <w:sz w:val="3"/>
                <w:szCs w:val="3"/>
              </w:rPr>
            </w:pPr>
          </w:p>
        </w:tc>
        <w:tc>
          <w:tcPr>
            <w:tcW w:w="840" w:type="dxa"/>
            <w:shd w:val="clear" w:color="auto" w:fill="000000"/>
            <w:vAlign w:val="bottom"/>
          </w:tcPr>
          <w:p>
            <w:pPr>
              <w:spacing w:after="0"/>
              <w:rPr>
                <w:color w:val="auto"/>
                <w:sz w:val="3"/>
                <w:szCs w:val="3"/>
              </w:rPr>
            </w:pPr>
          </w:p>
        </w:tc>
        <w:tc>
          <w:tcPr>
            <w:tcW w:w="1" w:type="dxa"/>
            <w:vAlign w:val="bottom"/>
          </w:tcPr>
          <w:p>
            <w:pPr>
              <w:spacing w:after="0" w:line="20" w:lineRule="exact"/>
              <w:rPr>
                <w:color w:val="auto"/>
                <w:sz w:val="1"/>
                <w:szCs w:val="1"/>
              </w:rPr>
            </w:pPr>
          </w:p>
        </w:tc>
      </w:tr>
    </w:tbl>
    <w:p>
      <w:pPr>
        <w:spacing w:after="0" w:line="134"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While certain derivatves are subject to netng arrangements with the company's counterpartes, the company does not ofset derivatve assets and liabilites within the consolidated balance sheets.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presents the pre-tax amounts of gains (losses) from derivatve instruments recognized in other comprehensive income (loss):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5460"/>
        <w:gridCol w:w="2740"/>
        <w:gridCol w:w="820"/>
        <w:gridCol w:w="300"/>
        <w:gridCol w:w="840"/>
        <w:gridCol w:w="300"/>
        <w:gridCol w:w="800"/>
      </w:tblGrid>
      <w:tr>
        <w:tblPrEx>
          <w:tblInd w:w="0" w:type="dxa"/>
          <w:tblLayout w:type="fixed"/>
        </w:tblPrEx>
        <w:trPr>
          <w:trHeight w:val="122"/>
        </w:trPr>
        <w:tc>
          <w:tcPr>
            <w:tcW w:w="5460" w:type="dxa"/>
            <w:vAlign w:val="bottom"/>
          </w:tcPr>
          <w:p>
            <w:pPr>
              <w:spacing w:after="0"/>
              <w:rPr>
                <w:color w:val="auto"/>
                <w:sz w:val="20"/>
                <w:szCs w:val="20"/>
              </w:rPr>
            </w:pPr>
            <w:r>
              <w:rPr>
                <w:rFonts w:ascii="Calibri" w:eastAsia="Calibri" w:hAnsi="Calibri" w:cs="Calibri"/>
                <w:b/>
                <w:bCs/>
                <w:color w:val="auto"/>
                <w:sz w:val="10"/>
                <w:szCs w:val="10"/>
              </w:rPr>
              <w:t>years ended in December 31 (in millions)</w:t>
            </w:r>
          </w:p>
        </w:tc>
        <w:tc>
          <w:tcPr>
            <w:tcW w:w="2740" w:type="dxa"/>
            <w:vAlign w:val="bottom"/>
          </w:tcPr>
          <w:p>
            <w:pPr>
              <w:spacing w:after="0"/>
              <w:rPr>
                <w:color w:val="auto"/>
                <w:sz w:val="10"/>
                <w:szCs w:val="10"/>
              </w:rPr>
            </w:pPr>
          </w:p>
        </w:tc>
        <w:tc>
          <w:tcPr>
            <w:tcW w:w="820" w:type="dxa"/>
            <w:vAlign w:val="bottom"/>
          </w:tcPr>
          <w:p>
            <w:pPr>
              <w:spacing w:after="0"/>
              <w:ind w:right="382"/>
              <w:jc w:val="right"/>
              <w:rPr>
                <w:color w:val="auto"/>
                <w:sz w:val="20"/>
                <w:szCs w:val="20"/>
              </w:rPr>
            </w:pPr>
            <w:r>
              <w:rPr>
                <w:rFonts w:ascii="Calibri" w:eastAsia="Calibri" w:hAnsi="Calibri" w:cs="Calibri"/>
                <w:b/>
                <w:bCs/>
                <w:color w:val="auto"/>
                <w:sz w:val="10"/>
                <w:szCs w:val="10"/>
              </w:rPr>
              <w:t>2024</w:t>
            </w:r>
          </w:p>
        </w:tc>
        <w:tc>
          <w:tcPr>
            <w:tcW w:w="300" w:type="dxa"/>
            <w:vAlign w:val="bottom"/>
          </w:tcPr>
          <w:p>
            <w:pPr>
              <w:spacing w:after="0"/>
              <w:rPr>
                <w:color w:val="auto"/>
                <w:sz w:val="10"/>
                <w:szCs w:val="10"/>
              </w:rPr>
            </w:pPr>
          </w:p>
        </w:tc>
        <w:tc>
          <w:tcPr>
            <w:tcW w:w="840" w:type="dxa"/>
            <w:vAlign w:val="bottom"/>
          </w:tcPr>
          <w:p>
            <w:pPr>
              <w:spacing w:after="0"/>
              <w:ind w:right="402"/>
              <w:jc w:val="right"/>
              <w:rPr>
                <w:color w:val="auto"/>
                <w:sz w:val="20"/>
                <w:szCs w:val="20"/>
              </w:rPr>
            </w:pPr>
            <w:r>
              <w:rPr>
                <w:rFonts w:ascii="Calibri" w:eastAsia="Calibri" w:hAnsi="Calibri" w:cs="Calibri"/>
                <w:b/>
                <w:bCs/>
                <w:color w:val="auto"/>
                <w:sz w:val="10"/>
                <w:szCs w:val="10"/>
              </w:rPr>
              <w:t>2023</w:t>
            </w:r>
          </w:p>
        </w:tc>
        <w:tc>
          <w:tcPr>
            <w:tcW w:w="300" w:type="dxa"/>
            <w:vAlign w:val="bottom"/>
          </w:tcPr>
          <w:p>
            <w:pPr>
              <w:spacing w:after="0"/>
              <w:rPr>
                <w:color w:val="auto"/>
                <w:sz w:val="10"/>
                <w:szCs w:val="10"/>
              </w:rPr>
            </w:pPr>
          </w:p>
        </w:tc>
        <w:tc>
          <w:tcPr>
            <w:tcW w:w="800" w:type="dxa"/>
            <w:vAlign w:val="bottom"/>
          </w:tcPr>
          <w:p>
            <w:pPr>
              <w:spacing w:after="0"/>
              <w:ind w:right="362"/>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5460" w:type="dxa"/>
            <w:tcBorders>
              <w:bottom w:val="single" w:sz="8" w:space="0" w:color="auto"/>
            </w:tcBorders>
            <w:vAlign w:val="bottom"/>
          </w:tcPr>
          <w:p>
            <w:pPr>
              <w:spacing w:after="0"/>
              <w:rPr>
                <w:color w:val="auto"/>
                <w:sz w:val="2"/>
                <w:szCs w:val="2"/>
              </w:rPr>
            </w:pPr>
          </w:p>
        </w:tc>
        <w:tc>
          <w:tcPr>
            <w:tcW w:w="274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4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5460" w:type="dxa"/>
            <w:vAlign w:val="bottom"/>
          </w:tcPr>
          <w:p>
            <w:pPr>
              <w:spacing w:after="0" w:line="137" w:lineRule="exact"/>
              <w:rPr>
                <w:color w:val="auto"/>
                <w:sz w:val="20"/>
                <w:szCs w:val="20"/>
              </w:rPr>
            </w:pPr>
            <w:r>
              <w:rPr>
                <w:rFonts w:ascii="Calibri" w:eastAsia="Calibri" w:hAnsi="Calibri" w:cs="Calibri"/>
                <w:color w:val="auto"/>
                <w:sz w:val="12"/>
                <w:szCs w:val="12"/>
              </w:rPr>
              <w:t>Foreign currency forward exchange contracts</w:t>
            </w:r>
          </w:p>
        </w:tc>
        <w:tc>
          <w:tcPr>
            <w:tcW w:w="2740" w:type="dxa"/>
            <w:vAlign w:val="bottom"/>
          </w:tcPr>
          <w:p>
            <w:pPr>
              <w:spacing w:after="0"/>
              <w:rPr>
                <w:color w:val="auto"/>
                <w:sz w:val="11"/>
                <w:szCs w:val="11"/>
              </w:rPr>
            </w:pPr>
          </w:p>
        </w:tc>
        <w:tc>
          <w:tcPr>
            <w:tcW w:w="820" w:type="dxa"/>
            <w:vAlign w:val="bottom"/>
          </w:tcPr>
          <w:p>
            <w:pPr>
              <w:spacing w:after="0"/>
              <w:rPr>
                <w:color w:val="auto"/>
                <w:sz w:val="11"/>
                <w:szCs w:val="11"/>
              </w:rPr>
            </w:pPr>
          </w:p>
        </w:tc>
        <w:tc>
          <w:tcPr>
            <w:tcW w:w="300" w:type="dxa"/>
            <w:vAlign w:val="bottom"/>
          </w:tcPr>
          <w:p>
            <w:pPr>
              <w:spacing w:after="0"/>
              <w:rPr>
                <w:color w:val="auto"/>
                <w:sz w:val="11"/>
                <w:szCs w:val="11"/>
              </w:rPr>
            </w:pPr>
          </w:p>
        </w:tc>
        <w:tc>
          <w:tcPr>
            <w:tcW w:w="840" w:type="dxa"/>
            <w:vAlign w:val="bottom"/>
          </w:tcPr>
          <w:p>
            <w:pPr>
              <w:spacing w:after="0"/>
              <w:rPr>
                <w:color w:val="auto"/>
                <w:sz w:val="11"/>
                <w:szCs w:val="11"/>
              </w:rPr>
            </w:pPr>
          </w:p>
        </w:tc>
        <w:tc>
          <w:tcPr>
            <w:tcW w:w="300" w:type="dxa"/>
            <w:vAlign w:val="bottom"/>
          </w:tcPr>
          <w:p>
            <w:pPr>
              <w:spacing w:after="0"/>
              <w:rPr>
                <w:color w:val="auto"/>
                <w:sz w:val="11"/>
                <w:szCs w:val="11"/>
              </w:rPr>
            </w:pPr>
          </w:p>
        </w:tc>
        <w:tc>
          <w:tcPr>
            <w:tcW w:w="800" w:type="dxa"/>
            <w:vAlign w:val="bottom"/>
          </w:tcPr>
          <w:p>
            <w:pPr>
              <w:spacing w:after="0"/>
              <w:rPr>
                <w:color w:val="auto"/>
                <w:sz w:val="11"/>
                <w:szCs w:val="11"/>
              </w:rPr>
            </w:pPr>
          </w:p>
        </w:tc>
      </w:tr>
      <w:tr>
        <w:tblPrEx>
          <w:tblInd w:w="0" w:type="dxa"/>
          <w:tblLayout w:type="fixed"/>
        </w:tblPrEx>
        <w:trPr>
          <w:trHeight w:val="159"/>
        </w:trPr>
        <w:tc>
          <w:tcPr>
            <w:tcW w:w="5460" w:type="dxa"/>
            <w:shd w:val="clear" w:color="auto" w:fill="CCEEFF"/>
            <w:vAlign w:val="bottom"/>
          </w:tcPr>
          <w:p>
            <w:pPr>
              <w:spacing w:after="0"/>
              <w:ind w:left="140"/>
              <w:rPr>
                <w:color w:val="auto"/>
                <w:sz w:val="20"/>
                <w:szCs w:val="20"/>
              </w:rPr>
            </w:pPr>
            <w:r>
              <w:rPr>
                <w:rFonts w:ascii="Calibri" w:eastAsia="Calibri" w:hAnsi="Calibri" w:cs="Calibri"/>
                <w:color w:val="auto"/>
                <w:sz w:val="12"/>
                <w:szCs w:val="12"/>
              </w:rPr>
              <w:t>Designated as cash fow hedges</w:t>
            </w:r>
          </w:p>
        </w:tc>
        <w:tc>
          <w:tcPr>
            <w:tcW w:w="2740" w:type="dxa"/>
            <w:shd w:val="clear" w:color="auto" w:fill="CCEEFF"/>
            <w:vAlign w:val="bottom"/>
          </w:tcPr>
          <w:p>
            <w:pPr>
              <w:spacing w:after="0"/>
              <w:ind w:right="120"/>
              <w:jc w:val="right"/>
              <w:rPr>
                <w:color w:val="auto"/>
                <w:sz w:val="20"/>
                <w:szCs w:val="20"/>
              </w:rPr>
            </w:pPr>
            <w:r>
              <w:rPr>
                <w:rFonts w:ascii="Calibri" w:eastAsia="Calibri" w:hAnsi="Calibri" w:cs="Calibri"/>
                <w:color w:val="auto"/>
                <w:sz w:val="12"/>
                <w:szCs w:val="12"/>
              </w:rPr>
              <w:t>$</w:t>
            </w:r>
          </w:p>
        </w:tc>
        <w:tc>
          <w:tcPr>
            <w:tcW w:w="82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192</w:t>
            </w:r>
          </w:p>
        </w:tc>
        <w:tc>
          <w:tcPr>
            <w:tcW w:w="300" w:type="dxa"/>
            <w:shd w:val="clear" w:color="auto" w:fill="CCEEFF"/>
            <w:vAlign w:val="bottom"/>
          </w:tcPr>
          <w:p>
            <w:pPr>
              <w:spacing w:after="0"/>
              <w:ind w:right="100"/>
              <w:jc w:val="right"/>
              <w:rPr>
                <w:color w:val="auto"/>
                <w:sz w:val="20"/>
                <w:szCs w:val="20"/>
              </w:rPr>
            </w:pPr>
            <w:r>
              <w:rPr>
                <w:rFonts w:ascii="Calibri" w:eastAsia="Calibri" w:hAnsi="Calibri" w:cs="Calibri"/>
                <w:color w:val="auto"/>
                <w:sz w:val="12"/>
                <w:szCs w:val="12"/>
              </w:rPr>
              <w:t>$</w:t>
            </w:r>
          </w:p>
        </w:tc>
        <w:tc>
          <w:tcPr>
            <w:tcW w:w="84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w:t>
            </w:r>
          </w:p>
        </w:tc>
        <w:tc>
          <w:tcPr>
            <w:tcW w:w="300" w:type="dxa"/>
            <w:shd w:val="clear" w:color="auto" w:fill="CCEEFF"/>
            <w:vAlign w:val="bottom"/>
          </w:tcPr>
          <w:p>
            <w:pPr>
              <w:spacing w:after="0"/>
              <w:ind w:right="120"/>
              <w:jc w:val="right"/>
              <w:rPr>
                <w:color w:val="auto"/>
                <w:sz w:val="20"/>
                <w:szCs w:val="20"/>
              </w:rPr>
            </w:pPr>
            <w:r>
              <w:rPr>
                <w:rFonts w:ascii="Calibri" w:eastAsia="Calibri" w:hAnsi="Calibri" w:cs="Calibri"/>
                <w:color w:val="auto"/>
                <w:sz w:val="12"/>
                <w:szCs w:val="12"/>
              </w:rPr>
              <w:t>$</w:t>
            </w:r>
          </w:p>
        </w:tc>
        <w:tc>
          <w:tcPr>
            <w:tcW w:w="8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103</w:t>
            </w:r>
          </w:p>
        </w:tc>
      </w:tr>
      <w:tr>
        <w:tblPrEx>
          <w:tblInd w:w="0" w:type="dxa"/>
          <w:tblLayout w:type="fixed"/>
        </w:tblPrEx>
        <w:trPr>
          <w:trHeight w:val="147"/>
        </w:trPr>
        <w:tc>
          <w:tcPr>
            <w:tcW w:w="5460" w:type="dxa"/>
            <w:vAlign w:val="bottom"/>
          </w:tcPr>
          <w:p>
            <w:pPr>
              <w:spacing w:after="0" w:line="142" w:lineRule="exact"/>
              <w:ind w:left="140"/>
              <w:rPr>
                <w:color w:val="auto"/>
                <w:sz w:val="20"/>
                <w:szCs w:val="20"/>
              </w:rPr>
            </w:pPr>
            <w:r>
              <w:rPr>
                <w:rFonts w:ascii="Calibri" w:eastAsia="Calibri" w:hAnsi="Calibri" w:cs="Calibri"/>
                <w:color w:val="auto"/>
                <w:sz w:val="12"/>
                <w:szCs w:val="12"/>
              </w:rPr>
              <w:t>Designated as net investment hedges</w:t>
            </w:r>
          </w:p>
        </w:tc>
        <w:tc>
          <w:tcPr>
            <w:tcW w:w="2740" w:type="dxa"/>
            <w:vAlign w:val="bottom"/>
          </w:tcPr>
          <w:p>
            <w:pPr>
              <w:spacing w:after="0"/>
              <w:rPr>
                <w:color w:val="auto"/>
                <w:sz w:val="12"/>
                <w:szCs w:val="12"/>
              </w:rPr>
            </w:pPr>
          </w:p>
        </w:tc>
        <w:tc>
          <w:tcPr>
            <w:tcW w:w="82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435</w:t>
            </w:r>
          </w:p>
        </w:tc>
        <w:tc>
          <w:tcPr>
            <w:tcW w:w="300" w:type="dxa"/>
            <w:vAlign w:val="bottom"/>
          </w:tcPr>
          <w:p>
            <w:pPr>
              <w:spacing w:after="0"/>
              <w:rPr>
                <w:color w:val="auto"/>
                <w:sz w:val="12"/>
                <w:szCs w:val="12"/>
              </w:rPr>
            </w:pPr>
          </w:p>
        </w:tc>
        <w:tc>
          <w:tcPr>
            <w:tcW w:w="84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(144)</w:t>
            </w:r>
          </w:p>
        </w:tc>
        <w:tc>
          <w:tcPr>
            <w:tcW w:w="300" w:type="dxa"/>
            <w:vAlign w:val="bottom"/>
          </w:tcPr>
          <w:p>
            <w:pPr>
              <w:spacing w:after="0"/>
              <w:rPr>
                <w:color w:val="auto"/>
                <w:sz w:val="12"/>
                <w:szCs w:val="12"/>
              </w:rPr>
            </w:pPr>
          </w:p>
        </w:tc>
        <w:tc>
          <w:tcPr>
            <w:tcW w:w="800" w:type="dxa"/>
            <w:vAlign w:val="bottom"/>
          </w:tcPr>
          <w:p>
            <w:pPr>
              <w:spacing w:after="0" w:line="142" w:lineRule="exact"/>
              <w:jc w:val="right"/>
              <w:rPr>
                <w:color w:val="auto"/>
                <w:sz w:val="20"/>
                <w:szCs w:val="20"/>
              </w:rPr>
            </w:pPr>
            <w:r>
              <w:rPr>
                <w:rFonts w:ascii="Calibri" w:eastAsia="Calibri" w:hAnsi="Calibri" w:cs="Calibri"/>
                <w:color w:val="auto"/>
                <w:sz w:val="12"/>
                <w:szCs w:val="12"/>
              </w:rPr>
              <w:t>395</w:t>
            </w:r>
          </w:p>
        </w:tc>
      </w:tr>
      <w:tr>
        <w:tblPrEx>
          <w:tblInd w:w="0" w:type="dxa"/>
          <w:tblLayout w:type="fixed"/>
        </w:tblPrEx>
        <w:trPr>
          <w:trHeight w:val="159"/>
        </w:trPr>
        <w:tc>
          <w:tcPr>
            <w:tcW w:w="5460" w:type="dxa"/>
            <w:shd w:val="clear" w:color="auto" w:fill="CCEEFF"/>
            <w:vAlign w:val="bottom"/>
          </w:tcPr>
          <w:p>
            <w:pPr>
              <w:spacing w:after="0"/>
              <w:rPr>
                <w:color w:val="auto"/>
                <w:sz w:val="20"/>
                <w:szCs w:val="20"/>
              </w:rPr>
            </w:pPr>
            <w:r>
              <w:rPr>
                <w:rFonts w:ascii="Calibri" w:eastAsia="Calibri" w:hAnsi="Calibri" w:cs="Calibri"/>
                <w:color w:val="auto"/>
                <w:sz w:val="12"/>
                <w:szCs w:val="12"/>
              </w:rPr>
              <w:t>Cross-currency swap contracts designated as cash fow hedges</w:t>
            </w:r>
          </w:p>
        </w:tc>
        <w:tc>
          <w:tcPr>
            <w:tcW w:w="2740" w:type="dxa"/>
            <w:shd w:val="clear" w:color="auto" w:fill="CCEEFF"/>
            <w:vAlign w:val="bottom"/>
          </w:tcPr>
          <w:p>
            <w:pPr>
              <w:spacing w:after="0"/>
              <w:rPr>
                <w:color w:val="auto"/>
                <w:sz w:val="13"/>
                <w:szCs w:val="13"/>
              </w:rPr>
            </w:pPr>
          </w:p>
        </w:tc>
        <w:tc>
          <w:tcPr>
            <w:tcW w:w="82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c>
          <w:tcPr>
            <w:tcW w:w="300" w:type="dxa"/>
            <w:shd w:val="clear" w:color="auto" w:fill="CCEEFF"/>
            <w:vAlign w:val="bottom"/>
          </w:tcPr>
          <w:p>
            <w:pPr>
              <w:spacing w:after="0"/>
              <w:rPr>
                <w:color w:val="auto"/>
                <w:sz w:val="13"/>
                <w:szCs w:val="13"/>
              </w:rPr>
            </w:pPr>
          </w:p>
        </w:tc>
        <w:tc>
          <w:tcPr>
            <w:tcW w:w="84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(6)</w:t>
            </w:r>
          </w:p>
        </w:tc>
        <w:tc>
          <w:tcPr>
            <w:tcW w:w="300" w:type="dxa"/>
            <w:shd w:val="clear" w:color="auto" w:fill="CCEEFF"/>
            <w:vAlign w:val="bottom"/>
          </w:tcPr>
          <w:p>
            <w:pPr>
              <w:spacing w:after="0"/>
              <w:rPr>
                <w:color w:val="auto"/>
                <w:sz w:val="13"/>
                <w:szCs w:val="13"/>
              </w:rPr>
            </w:pPr>
          </w:p>
        </w:tc>
        <w:tc>
          <w:tcPr>
            <w:tcW w:w="8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54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Interest rate swap contracts designated as cash fow hedges</w:t>
            </w:r>
          </w:p>
        </w:tc>
        <w:tc>
          <w:tcPr>
            <w:tcW w:w="2740" w:type="dxa"/>
            <w:tcBorders>
              <w:bottom w:val="single" w:sz="8" w:space="0" w:color="auto"/>
            </w:tcBorders>
            <w:vAlign w:val="bottom"/>
          </w:tcPr>
          <w:p>
            <w:pPr>
              <w:spacing w:after="0"/>
              <w:rPr>
                <w:color w:val="auto"/>
                <w:sz w:val="12"/>
                <w:szCs w:val="12"/>
              </w:rPr>
            </w:pPr>
          </w:p>
        </w:tc>
        <w:tc>
          <w:tcPr>
            <w:tcW w:w="8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c>
          <w:tcPr>
            <w:tcW w:w="300" w:type="dxa"/>
            <w:tcBorders>
              <w:bottom w:val="single" w:sz="8" w:space="0" w:color="auto"/>
            </w:tcBorders>
            <w:vAlign w:val="bottom"/>
          </w:tcPr>
          <w:p>
            <w:pPr>
              <w:spacing w:after="0"/>
              <w:rPr>
                <w:color w:val="auto"/>
                <w:sz w:val="12"/>
                <w:szCs w:val="12"/>
              </w:rPr>
            </w:pPr>
          </w:p>
        </w:tc>
        <w:tc>
          <w:tcPr>
            <w:tcW w:w="84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300" w:type="dxa"/>
            <w:tcBorders>
              <w:bottom w:val="single" w:sz="8" w:space="0" w:color="auto"/>
            </w:tcBorders>
            <w:vAlign w:val="bottom"/>
          </w:tcPr>
          <w:p>
            <w:pPr>
              <w:spacing w:after="0"/>
              <w:rPr>
                <w:color w:val="auto"/>
                <w:sz w:val="12"/>
                <w:szCs w:val="12"/>
              </w:rPr>
            </w:pPr>
          </w:p>
        </w:tc>
        <w:tc>
          <w:tcPr>
            <w:tcW w:w="8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6</w:t>
            </w:r>
          </w:p>
        </w:tc>
      </w:tr>
    </w:tbl>
    <w:p>
      <w:pPr>
        <w:spacing w:after="0" w:line="138" w:lineRule="exact"/>
        <w:rPr>
          <w:color w:val="auto"/>
          <w:sz w:val="20"/>
          <w:szCs w:val="20"/>
        </w:rPr>
      </w:pPr>
    </w:p>
    <w:p>
      <w:pPr>
        <w:spacing w:after="0" w:line="234" w:lineRule="auto"/>
        <w:ind w:firstLine="297"/>
        <w:jc w:val="both"/>
        <w:rPr>
          <w:color w:val="auto"/>
          <w:sz w:val="20"/>
          <w:szCs w:val="20"/>
        </w:rPr>
      </w:pPr>
      <w:r>
        <w:rPr>
          <w:rFonts w:ascii="Calibri" w:eastAsia="Calibri" w:hAnsi="Calibri" w:cs="Calibri"/>
          <w:color w:val="auto"/>
          <w:sz w:val="12"/>
          <w:szCs w:val="12"/>
        </w:rPr>
        <w:t>Assuming market rates remain constant through contract maturites, the company expects to reclassify pre-tax gains of $126 million into cost of products sold for foreign currency cash fow hedges and pre-tax gains of $21 million into interest expense, net for treasury rate lock agreement cash fow hedges during the next 12 months.</w:t>
      </w:r>
    </w:p>
    <w:p>
      <w:pPr>
        <w:spacing w:after="0" w:line="101" w:lineRule="exact"/>
        <w:rPr>
          <w:color w:val="auto"/>
          <w:sz w:val="20"/>
          <w:szCs w:val="20"/>
        </w:rPr>
      </w:pPr>
    </w:p>
    <w:p>
      <w:pPr>
        <w:spacing w:after="0" w:line="234" w:lineRule="auto"/>
        <w:ind w:right="220" w:firstLine="297"/>
        <w:rPr>
          <w:color w:val="auto"/>
          <w:sz w:val="20"/>
          <w:szCs w:val="20"/>
        </w:rPr>
      </w:pPr>
      <w:r>
        <w:rPr>
          <w:rFonts w:ascii="Calibri" w:eastAsia="Calibri" w:hAnsi="Calibri" w:cs="Calibri"/>
          <w:color w:val="auto"/>
          <w:sz w:val="12"/>
          <w:szCs w:val="12"/>
        </w:rPr>
        <w:t>Related to AbbVie’s non-derivatve, foreign currency denominated debt designated as net investment hedges, the company recognized in other comprehensive income (loss) pre-tax gains of $305 million in 2024, pre-tax losses of $252 million in 2023 and pre-tax gains of $406 million in 2022.</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79</w:t>
      </w:r>
      <w:r>
        <w:rPr>
          <w:color w:val="auto"/>
          <w:sz w:val="20"/>
          <w:szCs w:val="20"/>
        </w:rPr>
        <w:tab/>
      </w:r>
      <w:r>
        <w:rPr>
          <w:color w:val="auto"/>
          <w:sz w:val="1"/>
          <w:szCs w:val="1"/>
        </w:rPr>
        <w:drawing>
          <wp:inline distT="0" distB="0" distL="0" distR="0">
            <wp:extent cx="400050" cy="7429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62016" behindDoc="1" locked="0" layoutInCell="0" allowOverlap="1">
            <wp:simplePos x="0" y="0"/>
            <wp:positionH relativeFrom="column">
              <wp:posOffset>-17145</wp:posOffset>
            </wp:positionH>
            <wp:positionV relativeFrom="paragraph">
              <wp:posOffset>128270</wp:posOffset>
            </wp:positionV>
            <wp:extent cx="7203440" cy="3683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81" w:name="page82"/>
    <w:bookmarkEnd w:id="81"/>
    <w:p>
      <w:pPr>
        <w:spacing w:after="0" w:line="234" w:lineRule="auto"/>
        <w:ind w:right="280" w:firstLine="297"/>
        <w:rPr>
          <w:color w:val="auto"/>
          <w:sz w:val="20"/>
          <w:szCs w:val="20"/>
        </w:rPr>
      </w:pPr>
      <w:r>
        <w:rPr>
          <w:rFonts w:ascii="Calibri" w:eastAsia="Calibri" w:hAnsi="Calibri" w:cs="Calibri"/>
          <w:color w:val="auto"/>
          <w:sz w:val="12"/>
          <w:szCs w:val="12"/>
        </w:rPr>
        <w:t>The following table summarizes the pre-tax amounts and locaton of derivatve instrument net gains (losses) recognized in the consolidated statements of earnings, including the net gains (losses) reclassifed out of AOCI into net earnings. See Note 13 for the amount of net gains (losses) reclassifed out of AOCI.</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740"/>
        <w:gridCol w:w="4000"/>
        <w:gridCol w:w="700"/>
        <w:gridCol w:w="620"/>
        <w:gridCol w:w="320"/>
        <w:gridCol w:w="260"/>
        <w:gridCol w:w="660"/>
      </w:tblGrid>
      <w:tr>
        <w:tblPrEx>
          <w:tblInd w:w="0" w:type="dxa"/>
          <w:tblLayout w:type="fixed"/>
        </w:tblPrEx>
        <w:trPr>
          <w:trHeight w:val="122"/>
        </w:trPr>
        <w:tc>
          <w:tcPr>
            <w:tcW w:w="474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4000" w:type="dxa"/>
            <w:vAlign w:val="bottom"/>
          </w:tcPr>
          <w:p>
            <w:pPr>
              <w:spacing w:after="0"/>
              <w:ind w:right="961"/>
              <w:jc w:val="right"/>
              <w:rPr>
                <w:color w:val="auto"/>
                <w:sz w:val="20"/>
                <w:szCs w:val="20"/>
              </w:rPr>
            </w:pPr>
            <w:r>
              <w:rPr>
                <w:rFonts w:ascii="Calibri" w:eastAsia="Calibri" w:hAnsi="Calibri" w:cs="Calibri"/>
                <w:b/>
                <w:bCs/>
                <w:color w:val="auto"/>
                <w:sz w:val="10"/>
                <w:szCs w:val="10"/>
              </w:rPr>
              <w:t>Statement of earnings capton</w:t>
            </w:r>
          </w:p>
        </w:tc>
        <w:tc>
          <w:tcPr>
            <w:tcW w:w="700" w:type="dxa"/>
            <w:vAlign w:val="bottom"/>
          </w:tcPr>
          <w:p>
            <w:pPr>
              <w:spacing w:after="0"/>
              <w:ind w:right="321"/>
              <w:jc w:val="right"/>
              <w:rPr>
                <w:color w:val="auto"/>
                <w:sz w:val="20"/>
                <w:szCs w:val="20"/>
              </w:rPr>
            </w:pPr>
            <w:r>
              <w:rPr>
                <w:rFonts w:ascii="Calibri" w:eastAsia="Calibri" w:hAnsi="Calibri" w:cs="Calibri"/>
                <w:b/>
                <w:bCs/>
                <w:color w:val="auto"/>
                <w:sz w:val="10"/>
                <w:szCs w:val="10"/>
              </w:rPr>
              <w:t>2024</w:t>
            </w:r>
          </w:p>
        </w:tc>
        <w:tc>
          <w:tcPr>
            <w:tcW w:w="620" w:type="dxa"/>
            <w:vAlign w:val="bottom"/>
          </w:tcPr>
          <w:p>
            <w:pPr>
              <w:spacing w:after="0"/>
              <w:jc w:val="right"/>
              <w:rPr>
                <w:color w:val="auto"/>
                <w:sz w:val="20"/>
                <w:szCs w:val="20"/>
              </w:rPr>
            </w:pPr>
            <w:r>
              <w:rPr>
                <w:rFonts w:ascii="Calibri" w:eastAsia="Calibri" w:hAnsi="Calibri" w:cs="Calibri"/>
                <w:b/>
                <w:bCs/>
                <w:color w:val="auto"/>
                <w:sz w:val="10"/>
                <w:szCs w:val="10"/>
              </w:rPr>
              <w:t>2023</w:t>
            </w:r>
          </w:p>
        </w:tc>
        <w:tc>
          <w:tcPr>
            <w:tcW w:w="320" w:type="dxa"/>
            <w:vAlign w:val="bottom"/>
          </w:tcPr>
          <w:p>
            <w:pPr>
              <w:spacing w:after="0"/>
              <w:rPr>
                <w:color w:val="auto"/>
                <w:sz w:val="10"/>
                <w:szCs w:val="10"/>
              </w:rPr>
            </w:pPr>
          </w:p>
        </w:tc>
        <w:tc>
          <w:tcPr>
            <w:tcW w:w="260" w:type="dxa"/>
            <w:vAlign w:val="bottom"/>
          </w:tcPr>
          <w:p>
            <w:pPr>
              <w:spacing w:after="0"/>
              <w:rPr>
                <w:color w:val="auto"/>
                <w:sz w:val="10"/>
                <w:szCs w:val="10"/>
              </w:rPr>
            </w:pPr>
          </w:p>
        </w:tc>
        <w:tc>
          <w:tcPr>
            <w:tcW w:w="660" w:type="dxa"/>
            <w:vAlign w:val="bottom"/>
          </w:tcPr>
          <w:p>
            <w:pPr>
              <w:spacing w:after="0"/>
              <w:ind w:right="281"/>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740" w:type="dxa"/>
            <w:tcBorders>
              <w:bottom w:val="single" w:sz="8" w:space="0" w:color="auto"/>
            </w:tcBorders>
            <w:vAlign w:val="bottom"/>
          </w:tcPr>
          <w:p>
            <w:pPr>
              <w:spacing w:after="0"/>
              <w:rPr>
                <w:color w:val="auto"/>
                <w:sz w:val="2"/>
                <w:szCs w:val="2"/>
              </w:rPr>
            </w:pPr>
          </w:p>
        </w:tc>
        <w:tc>
          <w:tcPr>
            <w:tcW w:w="4000" w:type="dxa"/>
            <w:tcBorders>
              <w:bottom w:val="single" w:sz="8" w:space="0" w:color="auto"/>
            </w:tcBorders>
            <w:vAlign w:val="bottom"/>
          </w:tcPr>
          <w:p>
            <w:pPr>
              <w:spacing w:after="0"/>
              <w:rPr>
                <w:color w:val="auto"/>
                <w:sz w:val="2"/>
                <w:szCs w:val="2"/>
              </w:rPr>
            </w:pPr>
          </w:p>
        </w:tc>
        <w:tc>
          <w:tcPr>
            <w:tcW w:w="700" w:type="dxa"/>
            <w:tcBorders>
              <w:bottom w:val="single" w:sz="8" w:space="0" w:color="auto"/>
            </w:tcBorders>
            <w:vAlign w:val="bottom"/>
          </w:tcPr>
          <w:p>
            <w:pPr>
              <w:spacing w:after="0"/>
              <w:rPr>
                <w:color w:val="auto"/>
                <w:sz w:val="2"/>
                <w:szCs w:val="2"/>
              </w:rPr>
            </w:pPr>
          </w:p>
        </w:tc>
        <w:tc>
          <w:tcPr>
            <w:tcW w:w="62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66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4740" w:type="dxa"/>
            <w:vAlign w:val="bottom"/>
          </w:tcPr>
          <w:p>
            <w:pPr>
              <w:spacing w:after="0" w:line="137" w:lineRule="exact"/>
              <w:rPr>
                <w:color w:val="auto"/>
                <w:sz w:val="20"/>
                <w:szCs w:val="20"/>
              </w:rPr>
            </w:pPr>
            <w:r>
              <w:rPr>
                <w:rFonts w:ascii="Calibri" w:eastAsia="Calibri" w:hAnsi="Calibri" w:cs="Calibri"/>
                <w:color w:val="auto"/>
                <w:sz w:val="12"/>
                <w:szCs w:val="12"/>
              </w:rPr>
              <w:t>Foreign currency forward exchange contracts</w:t>
            </w:r>
          </w:p>
        </w:tc>
        <w:tc>
          <w:tcPr>
            <w:tcW w:w="4000" w:type="dxa"/>
            <w:vAlign w:val="bottom"/>
          </w:tcPr>
          <w:p>
            <w:pPr>
              <w:spacing w:after="0"/>
              <w:rPr>
                <w:color w:val="auto"/>
                <w:sz w:val="11"/>
                <w:szCs w:val="11"/>
              </w:rPr>
            </w:pPr>
          </w:p>
        </w:tc>
        <w:tc>
          <w:tcPr>
            <w:tcW w:w="700" w:type="dxa"/>
            <w:vAlign w:val="bottom"/>
          </w:tcPr>
          <w:p>
            <w:pPr>
              <w:spacing w:after="0"/>
              <w:rPr>
                <w:color w:val="auto"/>
                <w:sz w:val="11"/>
                <w:szCs w:val="11"/>
              </w:rPr>
            </w:pPr>
          </w:p>
        </w:tc>
        <w:tc>
          <w:tcPr>
            <w:tcW w:w="620" w:type="dxa"/>
            <w:vAlign w:val="bottom"/>
          </w:tcPr>
          <w:p>
            <w:pPr>
              <w:spacing w:after="0"/>
              <w:rPr>
                <w:color w:val="auto"/>
                <w:sz w:val="11"/>
                <w:szCs w:val="11"/>
              </w:rPr>
            </w:pPr>
          </w:p>
        </w:tc>
        <w:tc>
          <w:tcPr>
            <w:tcW w:w="320" w:type="dxa"/>
            <w:vAlign w:val="bottom"/>
          </w:tcPr>
          <w:p>
            <w:pPr>
              <w:spacing w:after="0"/>
              <w:rPr>
                <w:color w:val="auto"/>
                <w:sz w:val="11"/>
                <w:szCs w:val="11"/>
              </w:rPr>
            </w:pPr>
          </w:p>
        </w:tc>
        <w:tc>
          <w:tcPr>
            <w:tcW w:w="260" w:type="dxa"/>
            <w:vAlign w:val="bottom"/>
          </w:tcPr>
          <w:p>
            <w:pPr>
              <w:spacing w:after="0"/>
              <w:rPr>
                <w:color w:val="auto"/>
                <w:sz w:val="11"/>
                <w:szCs w:val="11"/>
              </w:rPr>
            </w:pPr>
          </w:p>
        </w:tc>
        <w:tc>
          <w:tcPr>
            <w:tcW w:w="660" w:type="dxa"/>
            <w:vAlign w:val="bottom"/>
          </w:tcPr>
          <w:p>
            <w:pPr>
              <w:spacing w:after="0"/>
              <w:rPr>
                <w:color w:val="auto"/>
                <w:sz w:val="11"/>
                <w:szCs w:val="11"/>
              </w:rPr>
            </w:pPr>
          </w:p>
        </w:tc>
      </w:tr>
      <w:tr>
        <w:tblPrEx>
          <w:tblInd w:w="0" w:type="dxa"/>
          <w:tblLayout w:type="fixed"/>
        </w:tblPrEx>
        <w:trPr>
          <w:trHeight w:val="159"/>
        </w:trPr>
        <w:tc>
          <w:tcPr>
            <w:tcW w:w="4740" w:type="dxa"/>
            <w:shd w:val="clear" w:color="auto" w:fill="CCEEFF"/>
            <w:vAlign w:val="bottom"/>
          </w:tcPr>
          <w:p>
            <w:pPr>
              <w:spacing w:after="0"/>
              <w:ind w:left="140"/>
              <w:rPr>
                <w:color w:val="auto"/>
                <w:sz w:val="20"/>
                <w:szCs w:val="20"/>
              </w:rPr>
            </w:pPr>
            <w:r>
              <w:rPr>
                <w:rFonts w:ascii="Calibri" w:eastAsia="Calibri" w:hAnsi="Calibri" w:cs="Calibri"/>
                <w:color w:val="auto"/>
                <w:sz w:val="12"/>
                <w:szCs w:val="12"/>
              </w:rPr>
              <w:t>Designated as cash fow hedges</w:t>
            </w:r>
          </w:p>
        </w:tc>
        <w:tc>
          <w:tcPr>
            <w:tcW w:w="4000" w:type="dxa"/>
            <w:shd w:val="clear" w:color="auto" w:fill="CCEEFF"/>
            <w:vAlign w:val="bottom"/>
          </w:tcPr>
          <w:p>
            <w:pPr>
              <w:spacing w:after="0"/>
              <w:ind w:right="61"/>
              <w:jc w:val="right"/>
              <w:rPr>
                <w:color w:val="auto"/>
                <w:sz w:val="20"/>
                <w:szCs w:val="20"/>
              </w:rPr>
            </w:pPr>
            <w:r>
              <w:rPr>
                <w:rFonts w:ascii="Calibri" w:eastAsia="Calibri" w:hAnsi="Calibri" w:cs="Calibri"/>
                <w:color w:val="auto"/>
                <w:sz w:val="12"/>
                <w:szCs w:val="12"/>
              </w:rPr>
              <w:t>Cost of products sold $</w:t>
            </w:r>
          </w:p>
        </w:tc>
        <w:tc>
          <w:tcPr>
            <w:tcW w:w="70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73</w:t>
            </w:r>
          </w:p>
        </w:tc>
        <w:tc>
          <w:tcPr>
            <w:tcW w:w="620" w:type="dxa"/>
            <w:shd w:val="clear" w:color="auto" w:fill="CCEEFF"/>
            <w:vAlign w:val="bottom"/>
          </w:tcPr>
          <w:p>
            <w:pPr>
              <w:spacing w:after="0"/>
              <w:ind w:right="446"/>
              <w:jc w:val="right"/>
              <w:rPr>
                <w:color w:val="auto"/>
                <w:sz w:val="20"/>
                <w:szCs w:val="20"/>
              </w:rPr>
            </w:pPr>
            <w:r>
              <w:rPr>
                <w:rFonts w:ascii="Calibri" w:eastAsia="Calibri" w:hAnsi="Calibri" w:cs="Calibri"/>
                <w:color w:val="auto"/>
                <w:sz w:val="12"/>
                <w:szCs w:val="12"/>
              </w:rPr>
              <w:t>$</w:t>
            </w:r>
          </w:p>
        </w:tc>
        <w:tc>
          <w:tcPr>
            <w:tcW w:w="3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77</w:t>
            </w:r>
          </w:p>
        </w:tc>
        <w:tc>
          <w:tcPr>
            <w:tcW w:w="260" w:type="dxa"/>
            <w:shd w:val="clear" w:color="auto" w:fill="CCEEFF"/>
            <w:vAlign w:val="bottom"/>
          </w:tcPr>
          <w:p>
            <w:pPr>
              <w:spacing w:after="0"/>
              <w:ind w:right="80"/>
              <w:jc w:val="right"/>
              <w:rPr>
                <w:color w:val="auto"/>
                <w:sz w:val="20"/>
                <w:szCs w:val="20"/>
              </w:rPr>
            </w:pPr>
            <w:r>
              <w:rPr>
                <w:rFonts w:ascii="Calibri" w:eastAsia="Calibri" w:hAnsi="Calibri" w:cs="Calibri"/>
                <w:color w:val="auto"/>
                <w:sz w:val="12"/>
                <w:szCs w:val="12"/>
              </w:rPr>
              <w:t>$</w:t>
            </w:r>
          </w:p>
        </w:tc>
        <w:tc>
          <w:tcPr>
            <w:tcW w:w="66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82</w:t>
            </w:r>
          </w:p>
        </w:tc>
      </w:tr>
      <w:tr>
        <w:tblPrEx>
          <w:tblInd w:w="0" w:type="dxa"/>
          <w:tblLayout w:type="fixed"/>
        </w:tblPrEx>
        <w:trPr>
          <w:trHeight w:val="147"/>
        </w:trPr>
        <w:tc>
          <w:tcPr>
            <w:tcW w:w="4740" w:type="dxa"/>
            <w:vAlign w:val="bottom"/>
          </w:tcPr>
          <w:p>
            <w:pPr>
              <w:spacing w:after="0" w:line="142" w:lineRule="exact"/>
              <w:ind w:left="140"/>
              <w:rPr>
                <w:color w:val="auto"/>
                <w:sz w:val="20"/>
                <w:szCs w:val="20"/>
              </w:rPr>
            </w:pPr>
            <w:r>
              <w:rPr>
                <w:rFonts w:ascii="Calibri" w:eastAsia="Calibri" w:hAnsi="Calibri" w:cs="Calibri"/>
                <w:color w:val="auto"/>
                <w:sz w:val="12"/>
                <w:szCs w:val="12"/>
              </w:rPr>
              <w:t>Designated as net investment hedges</w:t>
            </w:r>
          </w:p>
        </w:tc>
        <w:tc>
          <w:tcPr>
            <w:tcW w:w="4000" w:type="dxa"/>
            <w:vAlign w:val="bottom"/>
          </w:tcPr>
          <w:p>
            <w:pPr>
              <w:spacing w:after="0" w:line="142" w:lineRule="exact"/>
              <w:ind w:right="141"/>
              <w:jc w:val="right"/>
              <w:rPr>
                <w:color w:val="auto"/>
                <w:sz w:val="20"/>
                <w:szCs w:val="20"/>
              </w:rPr>
            </w:pPr>
            <w:r>
              <w:rPr>
                <w:rFonts w:ascii="Calibri" w:eastAsia="Calibri" w:hAnsi="Calibri" w:cs="Calibri"/>
                <w:color w:val="auto"/>
                <w:sz w:val="12"/>
                <w:szCs w:val="12"/>
              </w:rPr>
              <w:t>Interest expense, net</w:t>
            </w:r>
          </w:p>
        </w:tc>
        <w:tc>
          <w:tcPr>
            <w:tcW w:w="70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123</w:t>
            </w:r>
          </w:p>
        </w:tc>
        <w:tc>
          <w:tcPr>
            <w:tcW w:w="620" w:type="dxa"/>
            <w:vAlign w:val="bottom"/>
          </w:tcPr>
          <w:p>
            <w:pPr>
              <w:spacing w:after="0"/>
              <w:rPr>
                <w:color w:val="auto"/>
                <w:sz w:val="12"/>
                <w:szCs w:val="12"/>
              </w:rPr>
            </w:pPr>
          </w:p>
        </w:tc>
        <w:tc>
          <w:tcPr>
            <w:tcW w:w="3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112</w:t>
            </w:r>
          </w:p>
        </w:tc>
        <w:tc>
          <w:tcPr>
            <w:tcW w:w="260" w:type="dxa"/>
            <w:vAlign w:val="bottom"/>
          </w:tcPr>
          <w:p>
            <w:pPr>
              <w:spacing w:after="0"/>
              <w:rPr>
                <w:color w:val="auto"/>
                <w:sz w:val="12"/>
                <w:szCs w:val="12"/>
              </w:rPr>
            </w:pPr>
          </w:p>
        </w:tc>
        <w:tc>
          <w:tcPr>
            <w:tcW w:w="66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94</w:t>
            </w:r>
          </w:p>
        </w:tc>
      </w:tr>
      <w:tr>
        <w:tblPrEx>
          <w:tblInd w:w="0" w:type="dxa"/>
          <w:tblLayout w:type="fixed"/>
        </w:tblPrEx>
        <w:trPr>
          <w:trHeight w:val="159"/>
        </w:trPr>
        <w:tc>
          <w:tcPr>
            <w:tcW w:w="4740" w:type="dxa"/>
            <w:shd w:val="clear" w:color="auto" w:fill="CCEEFF"/>
            <w:vAlign w:val="bottom"/>
          </w:tcPr>
          <w:p>
            <w:pPr>
              <w:spacing w:after="0"/>
              <w:ind w:left="140"/>
              <w:rPr>
                <w:color w:val="auto"/>
                <w:sz w:val="20"/>
                <w:szCs w:val="20"/>
              </w:rPr>
            </w:pPr>
            <w:r>
              <w:rPr>
                <w:rFonts w:ascii="Calibri" w:eastAsia="Calibri" w:hAnsi="Calibri" w:cs="Calibri"/>
                <w:color w:val="auto"/>
                <w:sz w:val="12"/>
                <w:szCs w:val="12"/>
              </w:rPr>
              <w:t>Not designated as hedges</w:t>
            </w:r>
          </w:p>
        </w:tc>
        <w:tc>
          <w:tcPr>
            <w:tcW w:w="4000" w:type="dxa"/>
            <w:shd w:val="clear" w:color="auto" w:fill="CCEEFF"/>
            <w:vAlign w:val="bottom"/>
          </w:tcPr>
          <w:p>
            <w:pPr>
              <w:spacing w:after="0"/>
              <w:ind w:right="141"/>
              <w:jc w:val="right"/>
              <w:rPr>
                <w:color w:val="auto"/>
                <w:sz w:val="20"/>
                <w:szCs w:val="20"/>
              </w:rPr>
            </w:pPr>
            <w:r>
              <w:rPr>
                <w:rFonts w:ascii="Calibri" w:eastAsia="Calibri" w:hAnsi="Calibri" w:cs="Calibri"/>
                <w:color w:val="auto"/>
                <w:sz w:val="12"/>
                <w:szCs w:val="12"/>
              </w:rPr>
              <w:t>Net foreign exchange loss</w:t>
            </w:r>
          </w:p>
        </w:tc>
        <w:tc>
          <w:tcPr>
            <w:tcW w:w="70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6</w:t>
            </w:r>
          </w:p>
        </w:tc>
        <w:tc>
          <w:tcPr>
            <w:tcW w:w="620" w:type="dxa"/>
            <w:shd w:val="clear" w:color="auto" w:fill="CCEEFF"/>
            <w:vAlign w:val="bottom"/>
          </w:tcPr>
          <w:p>
            <w:pPr>
              <w:spacing w:after="0"/>
              <w:rPr>
                <w:color w:val="auto"/>
                <w:sz w:val="13"/>
                <w:szCs w:val="13"/>
              </w:rPr>
            </w:pPr>
          </w:p>
        </w:tc>
        <w:tc>
          <w:tcPr>
            <w:tcW w:w="3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33</w:t>
            </w:r>
          </w:p>
        </w:tc>
        <w:tc>
          <w:tcPr>
            <w:tcW w:w="260" w:type="dxa"/>
            <w:shd w:val="clear" w:color="auto" w:fill="CCEEFF"/>
            <w:vAlign w:val="bottom"/>
          </w:tcPr>
          <w:p>
            <w:pPr>
              <w:spacing w:after="0"/>
              <w:rPr>
                <w:color w:val="auto"/>
                <w:sz w:val="13"/>
                <w:szCs w:val="13"/>
              </w:rPr>
            </w:pPr>
          </w:p>
        </w:tc>
        <w:tc>
          <w:tcPr>
            <w:tcW w:w="6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(156)</w:t>
            </w:r>
          </w:p>
        </w:tc>
      </w:tr>
      <w:tr>
        <w:tblPrEx>
          <w:tblInd w:w="0" w:type="dxa"/>
          <w:tblLayout w:type="fixed"/>
        </w:tblPrEx>
        <w:trPr>
          <w:trHeight w:val="147"/>
        </w:trPr>
        <w:tc>
          <w:tcPr>
            <w:tcW w:w="4740" w:type="dxa"/>
            <w:vAlign w:val="bottom"/>
          </w:tcPr>
          <w:p>
            <w:pPr>
              <w:spacing w:after="0" w:line="142" w:lineRule="exact"/>
              <w:rPr>
                <w:color w:val="auto"/>
                <w:sz w:val="20"/>
                <w:szCs w:val="20"/>
              </w:rPr>
            </w:pPr>
            <w:r>
              <w:rPr>
                <w:rFonts w:ascii="Calibri" w:eastAsia="Calibri" w:hAnsi="Calibri" w:cs="Calibri"/>
                <w:color w:val="auto"/>
                <w:sz w:val="12"/>
                <w:szCs w:val="12"/>
              </w:rPr>
              <w:t>Treasury rate lock agreements designated as cash fow hedges</w:t>
            </w:r>
          </w:p>
        </w:tc>
        <w:tc>
          <w:tcPr>
            <w:tcW w:w="4000" w:type="dxa"/>
            <w:vAlign w:val="bottom"/>
          </w:tcPr>
          <w:p>
            <w:pPr>
              <w:spacing w:after="0" w:line="142" w:lineRule="exact"/>
              <w:ind w:right="141"/>
              <w:jc w:val="right"/>
              <w:rPr>
                <w:color w:val="auto"/>
                <w:sz w:val="20"/>
                <w:szCs w:val="20"/>
              </w:rPr>
            </w:pPr>
            <w:r>
              <w:rPr>
                <w:rFonts w:ascii="Calibri" w:eastAsia="Calibri" w:hAnsi="Calibri" w:cs="Calibri"/>
                <w:color w:val="auto"/>
                <w:sz w:val="12"/>
                <w:szCs w:val="12"/>
              </w:rPr>
              <w:t>Interest expense, net</w:t>
            </w:r>
          </w:p>
        </w:tc>
        <w:tc>
          <w:tcPr>
            <w:tcW w:w="70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23</w:t>
            </w:r>
          </w:p>
        </w:tc>
        <w:tc>
          <w:tcPr>
            <w:tcW w:w="620" w:type="dxa"/>
            <w:vAlign w:val="bottom"/>
          </w:tcPr>
          <w:p>
            <w:pPr>
              <w:spacing w:after="0"/>
              <w:rPr>
                <w:color w:val="auto"/>
                <w:sz w:val="12"/>
                <w:szCs w:val="12"/>
              </w:rPr>
            </w:pPr>
          </w:p>
        </w:tc>
        <w:tc>
          <w:tcPr>
            <w:tcW w:w="3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24</w:t>
            </w:r>
          </w:p>
        </w:tc>
        <w:tc>
          <w:tcPr>
            <w:tcW w:w="260" w:type="dxa"/>
            <w:vAlign w:val="bottom"/>
          </w:tcPr>
          <w:p>
            <w:pPr>
              <w:spacing w:after="0"/>
              <w:rPr>
                <w:color w:val="auto"/>
                <w:sz w:val="12"/>
                <w:szCs w:val="12"/>
              </w:rPr>
            </w:pPr>
          </w:p>
        </w:tc>
        <w:tc>
          <w:tcPr>
            <w:tcW w:w="66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23</w:t>
            </w:r>
          </w:p>
        </w:tc>
      </w:tr>
      <w:tr>
        <w:tblPrEx>
          <w:tblInd w:w="0" w:type="dxa"/>
          <w:tblLayout w:type="fixed"/>
        </w:tblPrEx>
        <w:trPr>
          <w:trHeight w:val="159"/>
        </w:trPr>
        <w:tc>
          <w:tcPr>
            <w:tcW w:w="4740" w:type="dxa"/>
            <w:shd w:val="clear" w:color="auto" w:fill="CCEEFF"/>
            <w:vAlign w:val="bottom"/>
          </w:tcPr>
          <w:p>
            <w:pPr>
              <w:spacing w:after="0"/>
              <w:rPr>
                <w:color w:val="auto"/>
                <w:sz w:val="20"/>
                <w:szCs w:val="20"/>
              </w:rPr>
            </w:pPr>
            <w:r>
              <w:rPr>
                <w:rFonts w:ascii="Calibri" w:eastAsia="Calibri" w:hAnsi="Calibri" w:cs="Calibri"/>
                <w:color w:val="auto"/>
                <w:sz w:val="12"/>
                <w:szCs w:val="12"/>
              </w:rPr>
              <w:t>Cross-currency swap contracts designated as cash fow hedges</w:t>
            </w:r>
          </w:p>
        </w:tc>
        <w:tc>
          <w:tcPr>
            <w:tcW w:w="4000" w:type="dxa"/>
            <w:shd w:val="clear" w:color="auto" w:fill="CCEEFF"/>
            <w:vAlign w:val="bottom"/>
          </w:tcPr>
          <w:p>
            <w:pPr>
              <w:spacing w:after="0"/>
              <w:ind w:right="141"/>
              <w:jc w:val="right"/>
              <w:rPr>
                <w:color w:val="auto"/>
                <w:sz w:val="20"/>
                <w:szCs w:val="20"/>
              </w:rPr>
            </w:pPr>
            <w:r>
              <w:rPr>
                <w:rFonts w:ascii="Calibri" w:eastAsia="Calibri" w:hAnsi="Calibri" w:cs="Calibri"/>
                <w:color w:val="auto"/>
                <w:sz w:val="12"/>
                <w:szCs w:val="12"/>
              </w:rPr>
              <w:t>Net foreign exchange loss</w:t>
            </w:r>
          </w:p>
        </w:tc>
        <w:tc>
          <w:tcPr>
            <w:tcW w:w="70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w:t>
            </w:r>
          </w:p>
        </w:tc>
        <w:tc>
          <w:tcPr>
            <w:tcW w:w="620" w:type="dxa"/>
            <w:shd w:val="clear" w:color="auto" w:fill="CCEEFF"/>
            <w:vAlign w:val="bottom"/>
          </w:tcPr>
          <w:p>
            <w:pPr>
              <w:spacing w:after="0"/>
              <w:rPr>
                <w:color w:val="auto"/>
                <w:sz w:val="13"/>
                <w:szCs w:val="13"/>
              </w:rPr>
            </w:pPr>
          </w:p>
        </w:tc>
        <w:tc>
          <w:tcPr>
            <w:tcW w:w="3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(6)</w:t>
            </w:r>
          </w:p>
        </w:tc>
        <w:tc>
          <w:tcPr>
            <w:tcW w:w="260" w:type="dxa"/>
            <w:shd w:val="clear" w:color="auto" w:fill="CCEEFF"/>
            <w:vAlign w:val="bottom"/>
          </w:tcPr>
          <w:p>
            <w:pPr>
              <w:spacing w:after="0"/>
              <w:rPr>
                <w:color w:val="auto"/>
                <w:sz w:val="13"/>
                <w:szCs w:val="13"/>
              </w:rPr>
            </w:pPr>
          </w:p>
        </w:tc>
        <w:tc>
          <w:tcPr>
            <w:tcW w:w="66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4740" w:type="dxa"/>
            <w:vAlign w:val="bottom"/>
          </w:tcPr>
          <w:p>
            <w:pPr>
              <w:spacing w:after="0" w:line="142" w:lineRule="exact"/>
              <w:rPr>
                <w:color w:val="auto"/>
                <w:sz w:val="20"/>
                <w:szCs w:val="20"/>
              </w:rPr>
            </w:pPr>
            <w:r>
              <w:rPr>
                <w:rFonts w:ascii="Calibri" w:eastAsia="Calibri" w:hAnsi="Calibri" w:cs="Calibri"/>
                <w:color w:val="auto"/>
                <w:sz w:val="12"/>
                <w:szCs w:val="12"/>
              </w:rPr>
              <w:t>Interest rate swap contracts</w:t>
            </w:r>
          </w:p>
        </w:tc>
        <w:tc>
          <w:tcPr>
            <w:tcW w:w="4000" w:type="dxa"/>
            <w:vAlign w:val="bottom"/>
          </w:tcPr>
          <w:p>
            <w:pPr>
              <w:spacing w:after="0"/>
              <w:rPr>
                <w:color w:val="auto"/>
                <w:sz w:val="12"/>
                <w:szCs w:val="12"/>
              </w:rPr>
            </w:pPr>
          </w:p>
        </w:tc>
        <w:tc>
          <w:tcPr>
            <w:tcW w:w="700" w:type="dxa"/>
            <w:vAlign w:val="bottom"/>
          </w:tcPr>
          <w:p>
            <w:pPr>
              <w:spacing w:after="0"/>
              <w:rPr>
                <w:color w:val="auto"/>
                <w:sz w:val="12"/>
                <w:szCs w:val="12"/>
              </w:rPr>
            </w:pPr>
          </w:p>
        </w:tc>
        <w:tc>
          <w:tcPr>
            <w:tcW w:w="620" w:type="dxa"/>
            <w:vAlign w:val="bottom"/>
          </w:tcPr>
          <w:p>
            <w:pPr>
              <w:spacing w:after="0"/>
              <w:rPr>
                <w:color w:val="auto"/>
                <w:sz w:val="12"/>
                <w:szCs w:val="12"/>
              </w:rPr>
            </w:pPr>
          </w:p>
        </w:tc>
        <w:tc>
          <w:tcPr>
            <w:tcW w:w="320" w:type="dxa"/>
            <w:vAlign w:val="bottom"/>
          </w:tcPr>
          <w:p>
            <w:pPr>
              <w:spacing w:after="0"/>
              <w:rPr>
                <w:color w:val="auto"/>
                <w:sz w:val="12"/>
                <w:szCs w:val="12"/>
              </w:rPr>
            </w:pPr>
          </w:p>
        </w:tc>
        <w:tc>
          <w:tcPr>
            <w:tcW w:w="260" w:type="dxa"/>
            <w:vAlign w:val="bottom"/>
          </w:tcPr>
          <w:p>
            <w:pPr>
              <w:spacing w:after="0"/>
              <w:rPr>
                <w:color w:val="auto"/>
                <w:sz w:val="12"/>
                <w:szCs w:val="12"/>
              </w:rPr>
            </w:pPr>
          </w:p>
        </w:tc>
        <w:tc>
          <w:tcPr>
            <w:tcW w:w="660" w:type="dxa"/>
            <w:vAlign w:val="bottom"/>
          </w:tcPr>
          <w:p>
            <w:pPr>
              <w:spacing w:after="0"/>
              <w:rPr>
                <w:color w:val="auto"/>
                <w:sz w:val="12"/>
                <w:szCs w:val="12"/>
              </w:rPr>
            </w:pPr>
          </w:p>
        </w:tc>
      </w:tr>
      <w:tr>
        <w:tblPrEx>
          <w:tblInd w:w="0" w:type="dxa"/>
          <w:tblLayout w:type="fixed"/>
        </w:tblPrEx>
        <w:trPr>
          <w:trHeight w:val="159"/>
        </w:trPr>
        <w:tc>
          <w:tcPr>
            <w:tcW w:w="4740" w:type="dxa"/>
            <w:shd w:val="clear" w:color="auto" w:fill="CCEEFF"/>
            <w:vAlign w:val="bottom"/>
          </w:tcPr>
          <w:p>
            <w:pPr>
              <w:spacing w:after="0"/>
              <w:ind w:left="140"/>
              <w:rPr>
                <w:color w:val="auto"/>
                <w:sz w:val="20"/>
                <w:szCs w:val="20"/>
              </w:rPr>
            </w:pPr>
            <w:r>
              <w:rPr>
                <w:rFonts w:ascii="Calibri" w:eastAsia="Calibri" w:hAnsi="Calibri" w:cs="Calibri"/>
                <w:color w:val="auto"/>
                <w:sz w:val="12"/>
                <w:szCs w:val="12"/>
              </w:rPr>
              <w:t>Designated as cash fow hedges</w:t>
            </w:r>
          </w:p>
        </w:tc>
        <w:tc>
          <w:tcPr>
            <w:tcW w:w="4000" w:type="dxa"/>
            <w:shd w:val="clear" w:color="auto" w:fill="CCEEFF"/>
            <w:vAlign w:val="bottom"/>
          </w:tcPr>
          <w:p>
            <w:pPr>
              <w:spacing w:after="0"/>
              <w:ind w:right="141"/>
              <w:jc w:val="right"/>
              <w:rPr>
                <w:color w:val="auto"/>
                <w:sz w:val="20"/>
                <w:szCs w:val="20"/>
              </w:rPr>
            </w:pPr>
            <w:r>
              <w:rPr>
                <w:rFonts w:ascii="Calibri" w:eastAsia="Calibri" w:hAnsi="Calibri" w:cs="Calibri"/>
                <w:color w:val="auto"/>
                <w:sz w:val="12"/>
                <w:szCs w:val="12"/>
              </w:rPr>
              <w:t>Interest expense, net</w:t>
            </w:r>
          </w:p>
        </w:tc>
        <w:tc>
          <w:tcPr>
            <w:tcW w:w="70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w:t>
            </w:r>
          </w:p>
        </w:tc>
        <w:tc>
          <w:tcPr>
            <w:tcW w:w="620" w:type="dxa"/>
            <w:shd w:val="clear" w:color="auto" w:fill="CCEEFF"/>
            <w:vAlign w:val="bottom"/>
          </w:tcPr>
          <w:p>
            <w:pPr>
              <w:spacing w:after="0"/>
              <w:rPr>
                <w:color w:val="auto"/>
                <w:sz w:val="13"/>
                <w:szCs w:val="13"/>
              </w:rPr>
            </w:pPr>
          </w:p>
        </w:tc>
        <w:tc>
          <w:tcPr>
            <w:tcW w:w="32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w:t>
            </w:r>
          </w:p>
        </w:tc>
        <w:tc>
          <w:tcPr>
            <w:tcW w:w="260" w:type="dxa"/>
            <w:shd w:val="clear" w:color="auto" w:fill="CCEEFF"/>
            <w:vAlign w:val="bottom"/>
          </w:tcPr>
          <w:p>
            <w:pPr>
              <w:spacing w:after="0"/>
              <w:rPr>
                <w:color w:val="auto"/>
                <w:sz w:val="13"/>
                <w:szCs w:val="13"/>
              </w:rPr>
            </w:pPr>
          </w:p>
        </w:tc>
        <w:tc>
          <w:tcPr>
            <w:tcW w:w="6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w:t>
            </w:r>
          </w:p>
        </w:tc>
      </w:tr>
      <w:tr>
        <w:tblPrEx>
          <w:tblInd w:w="0" w:type="dxa"/>
          <w:tblLayout w:type="fixed"/>
        </w:tblPrEx>
        <w:trPr>
          <w:trHeight w:val="147"/>
        </w:trPr>
        <w:tc>
          <w:tcPr>
            <w:tcW w:w="4740" w:type="dxa"/>
            <w:vAlign w:val="bottom"/>
          </w:tcPr>
          <w:p>
            <w:pPr>
              <w:spacing w:after="0" w:line="142" w:lineRule="exact"/>
              <w:ind w:left="140"/>
              <w:rPr>
                <w:color w:val="auto"/>
                <w:sz w:val="20"/>
                <w:szCs w:val="20"/>
              </w:rPr>
            </w:pPr>
            <w:r>
              <w:rPr>
                <w:rFonts w:ascii="Calibri" w:eastAsia="Calibri" w:hAnsi="Calibri" w:cs="Calibri"/>
                <w:color w:val="auto"/>
                <w:sz w:val="12"/>
                <w:szCs w:val="12"/>
              </w:rPr>
              <w:t>Designated as fair value hedges</w:t>
            </w:r>
          </w:p>
        </w:tc>
        <w:tc>
          <w:tcPr>
            <w:tcW w:w="4000" w:type="dxa"/>
            <w:vAlign w:val="bottom"/>
          </w:tcPr>
          <w:p>
            <w:pPr>
              <w:spacing w:after="0" w:line="142" w:lineRule="exact"/>
              <w:ind w:right="141"/>
              <w:jc w:val="right"/>
              <w:rPr>
                <w:color w:val="auto"/>
                <w:sz w:val="20"/>
                <w:szCs w:val="20"/>
              </w:rPr>
            </w:pPr>
            <w:r>
              <w:rPr>
                <w:rFonts w:ascii="Calibri" w:eastAsia="Calibri" w:hAnsi="Calibri" w:cs="Calibri"/>
                <w:color w:val="auto"/>
                <w:sz w:val="12"/>
                <w:szCs w:val="12"/>
              </w:rPr>
              <w:t>Interest expense, net</w:t>
            </w:r>
          </w:p>
        </w:tc>
        <w:tc>
          <w:tcPr>
            <w:tcW w:w="70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62</w:t>
            </w:r>
          </w:p>
        </w:tc>
        <w:tc>
          <w:tcPr>
            <w:tcW w:w="620" w:type="dxa"/>
            <w:vAlign w:val="bottom"/>
          </w:tcPr>
          <w:p>
            <w:pPr>
              <w:spacing w:after="0"/>
              <w:rPr>
                <w:color w:val="auto"/>
                <w:sz w:val="12"/>
                <w:szCs w:val="12"/>
              </w:rPr>
            </w:pPr>
          </w:p>
        </w:tc>
        <w:tc>
          <w:tcPr>
            <w:tcW w:w="3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98</w:t>
            </w:r>
          </w:p>
        </w:tc>
        <w:tc>
          <w:tcPr>
            <w:tcW w:w="260" w:type="dxa"/>
            <w:vAlign w:val="bottom"/>
          </w:tcPr>
          <w:p>
            <w:pPr>
              <w:spacing w:after="0"/>
              <w:rPr>
                <w:color w:val="auto"/>
                <w:sz w:val="12"/>
                <w:szCs w:val="12"/>
              </w:rPr>
            </w:pPr>
          </w:p>
        </w:tc>
        <w:tc>
          <w:tcPr>
            <w:tcW w:w="660" w:type="dxa"/>
            <w:vAlign w:val="bottom"/>
          </w:tcPr>
          <w:p>
            <w:pPr>
              <w:spacing w:after="0" w:line="142" w:lineRule="exact"/>
              <w:jc w:val="right"/>
              <w:rPr>
                <w:color w:val="auto"/>
                <w:sz w:val="20"/>
                <w:szCs w:val="20"/>
              </w:rPr>
            </w:pPr>
            <w:r>
              <w:rPr>
                <w:rFonts w:ascii="Calibri" w:eastAsia="Calibri" w:hAnsi="Calibri" w:cs="Calibri"/>
                <w:color w:val="auto"/>
                <w:sz w:val="12"/>
                <w:szCs w:val="12"/>
              </w:rPr>
              <w:t>(402)</w:t>
            </w:r>
          </w:p>
        </w:tc>
      </w:tr>
      <w:tr>
        <w:tblPrEx>
          <w:tblInd w:w="0" w:type="dxa"/>
          <w:tblLayout w:type="fixed"/>
        </w:tblPrEx>
        <w:trPr>
          <w:trHeight w:val="153"/>
        </w:trPr>
        <w:tc>
          <w:tcPr>
            <w:tcW w:w="474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Debt designated as hedged item in fair value hedges</w:t>
            </w:r>
          </w:p>
        </w:tc>
        <w:tc>
          <w:tcPr>
            <w:tcW w:w="4000" w:type="dxa"/>
            <w:tcBorders>
              <w:bottom w:val="single" w:sz="8" w:space="0" w:color="auto"/>
            </w:tcBorders>
            <w:shd w:val="clear" w:color="auto" w:fill="CCEEFF"/>
            <w:vAlign w:val="bottom"/>
          </w:tcPr>
          <w:p>
            <w:pPr>
              <w:spacing w:after="0"/>
              <w:ind w:right="141"/>
              <w:jc w:val="right"/>
              <w:rPr>
                <w:color w:val="auto"/>
                <w:sz w:val="20"/>
                <w:szCs w:val="20"/>
              </w:rPr>
            </w:pPr>
            <w:r>
              <w:rPr>
                <w:rFonts w:ascii="Calibri" w:eastAsia="Calibri" w:hAnsi="Calibri" w:cs="Calibri"/>
                <w:color w:val="auto"/>
                <w:sz w:val="12"/>
                <w:szCs w:val="12"/>
              </w:rPr>
              <w:t>Interest expense, net</w:t>
            </w:r>
          </w:p>
        </w:tc>
        <w:tc>
          <w:tcPr>
            <w:tcW w:w="70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(62)</w:t>
            </w:r>
          </w:p>
        </w:tc>
        <w:tc>
          <w:tcPr>
            <w:tcW w:w="620" w:type="dxa"/>
            <w:tcBorders>
              <w:bottom w:val="single" w:sz="8" w:space="0" w:color="auto"/>
            </w:tcBorders>
            <w:shd w:val="clear" w:color="auto" w:fill="CCEEFF"/>
            <w:vAlign w:val="bottom"/>
          </w:tcPr>
          <w:p>
            <w:pPr>
              <w:spacing w:after="0"/>
              <w:rPr>
                <w:color w:val="auto"/>
                <w:sz w:val="13"/>
                <w:szCs w:val="13"/>
              </w:rPr>
            </w:pPr>
          </w:p>
        </w:tc>
        <w:tc>
          <w:tcPr>
            <w:tcW w:w="3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(98)</w:t>
            </w:r>
          </w:p>
        </w:tc>
        <w:tc>
          <w:tcPr>
            <w:tcW w:w="260" w:type="dxa"/>
            <w:tcBorders>
              <w:bottom w:val="single" w:sz="8" w:space="0" w:color="auto"/>
            </w:tcBorders>
            <w:shd w:val="clear" w:color="auto" w:fill="CCEEFF"/>
            <w:vAlign w:val="bottom"/>
          </w:tcPr>
          <w:p>
            <w:pPr>
              <w:spacing w:after="0"/>
              <w:rPr>
                <w:color w:val="auto"/>
                <w:sz w:val="13"/>
                <w:szCs w:val="13"/>
              </w:rPr>
            </w:pPr>
          </w:p>
        </w:tc>
        <w:tc>
          <w:tcPr>
            <w:tcW w:w="66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402</w:t>
            </w:r>
          </w:p>
        </w:tc>
      </w:tr>
    </w:tbl>
    <w:p>
      <w:pPr>
        <w:spacing w:after="0" w:line="134"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Fair Value Measures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fair value hierarchy consists of the following three levels:</w:t>
      </w:r>
    </w:p>
    <w:p>
      <w:pPr>
        <w:spacing w:after="0" w:line="88" w:lineRule="exact"/>
        <w:rPr>
          <w:color w:val="auto"/>
          <w:sz w:val="20"/>
          <w:szCs w:val="20"/>
        </w:rPr>
      </w:pPr>
    </w:p>
    <w:p>
      <w:pPr>
        <w:numPr>
          <w:ilvl w:val="0"/>
          <w:numId w:val="26"/>
        </w:numPr>
        <w:tabs>
          <w:tab w:val="left" w:pos="640"/>
        </w:tabs>
        <w:spacing w:after="0"/>
        <w:ind w:left="640" w:hanging="216"/>
        <w:rPr>
          <w:rFonts w:ascii="Calibri" w:eastAsia="Calibri" w:hAnsi="Calibri" w:cs="Calibri"/>
          <w:color w:val="auto"/>
          <w:sz w:val="12"/>
          <w:szCs w:val="12"/>
        </w:rPr>
      </w:pPr>
      <w:r>
        <w:rPr>
          <w:rFonts w:ascii="Calibri" w:eastAsia="Calibri" w:hAnsi="Calibri" w:cs="Calibri"/>
          <w:color w:val="auto"/>
          <w:sz w:val="12"/>
          <w:szCs w:val="12"/>
        </w:rPr>
        <w:t>Level 1—Valuatons based on unadjusted quoted prices in actve markets for identcal assets that the company has the ability to access;</w:t>
      </w:r>
    </w:p>
    <w:p>
      <w:pPr>
        <w:spacing w:after="0" w:line="74" w:lineRule="exact"/>
        <w:rPr>
          <w:rFonts w:ascii="Calibri" w:eastAsia="Calibri" w:hAnsi="Calibri" w:cs="Calibri"/>
          <w:color w:val="auto"/>
          <w:sz w:val="12"/>
          <w:szCs w:val="12"/>
        </w:rPr>
      </w:pPr>
    </w:p>
    <w:p>
      <w:pPr>
        <w:numPr>
          <w:ilvl w:val="0"/>
          <w:numId w:val="26"/>
        </w:numPr>
        <w:tabs>
          <w:tab w:val="left" w:pos="635"/>
        </w:tabs>
        <w:spacing w:after="0" w:line="234" w:lineRule="auto"/>
        <w:ind w:left="640" w:right="120" w:hanging="216"/>
        <w:rPr>
          <w:rFonts w:ascii="Calibri" w:eastAsia="Calibri" w:hAnsi="Calibri" w:cs="Calibri"/>
          <w:color w:val="auto"/>
          <w:sz w:val="12"/>
          <w:szCs w:val="12"/>
        </w:rPr>
      </w:pPr>
      <w:r>
        <w:rPr>
          <w:rFonts w:ascii="Calibri" w:eastAsia="Calibri" w:hAnsi="Calibri" w:cs="Calibri"/>
          <w:color w:val="auto"/>
          <w:sz w:val="12"/>
          <w:szCs w:val="12"/>
        </w:rPr>
        <w:t>Level 2—Valuatons based on quoted prices for similar instruments in actve markets, quoted prices for identcal or similar instruments in markets that are not actve and model-based valuatons in which all signifcant inputs are observable in the market; and</w:t>
      </w:r>
    </w:p>
    <w:p>
      <w:pPr>
        <w:spacing w:after="0" w:line="74" w:lineRule="exact"/>
        <w:rPr>
          <w:rFonts w:ascii="Calibri" w:eastAsia="Calibri" w:hAnsi="Calibri" w:cs="Calibri"/>
          <w:color w:val="auto"/>
          <w:sz w:val="12"/>
          <w:szCs w:val="12"/>
        </w:rPr>
      </w:pPr>
    </w:p>
    <w:p>
      <w:pPr>
        <w:numPr>
          <w:ilvl w:val="0"/>
          <w:numId w:val="26"/>
        </w:numPr>
        <w:tabs>
          <w:tab w:val="left" w:pos="635"/>
        </w:tabs>
        <w:spacing w:after="0" w:line="234" w:lineRule="auto"/>
        <w:ind w:left="640" w:right="180" w:hanging="216"/>
        <w:rPr>
          <w:rFonts w:ascii="Calibri" w:eastAsia="Calibri" w:hAnsi="Calibri" w:cs="Calibri"/>
          <w:color w:val="auto"/>
          <w:sz w:val="12"/>
          <w:szCs w:val="12"/>
        </w:rPr>
      </w:pPr>
      <w:r>
        <w:rPr>
          <w:rFonts w:ascii="Calibri" w:eastAsia="Calibri" w:hAnsi="Calibri" w:cs="Calibri"/>
          <w:color w:val="auto"/>
          <w:sz w:val="12"/>
          <w:szCs w:val="12"/>
        </w:rPr>
        <w:t>Level 3—Valuatons using signifcant inputs that are unobservable in the market and include the use of judgment by the company's management about the assumptons market partcipants would use in pricing the asset or liability.</w:t>
      </w:r>
    </w:p>
    <w:p>
      <w:pPr>
        <w:spacing w:after="0" w:line="20" w:lineRule="exact"/>
        <w:rPr>
          <w:color w:val="auto"/>
          <w:sz w:val="20"/>
          <w:szCs w:val="20"/>
        </w:rPr>
      </w:pPr>
      <w:r>
        <w:rPr>
          <w:color w:val="auto"/>
          <w:sz w:val="20"/>
          <w:szCs w:val="20"/>
        </w:rPr>
        <w:drawing>
          <wp:anchor simplePos="0" relativeHeight="251863040" behindDoc="1" locked="0" layoutInCell="0" allowOverlap="1">
            <wp:simplePos x="0" y="0"/>
            <wp:positionH relativeFrom="column">
              <wp:posOffset>6475730</wp:posOffset>
            </wp:positionH>
            <wp:positionV relativeFrom="paragraph">
              <wp:posOffset>193675</wp:posOffset>
            </wp:positionV>
            <wp:extent cx="400050" cy="7429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80</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864064" behindDoc="1" locked="0" layoutInCell="0" allowOverlap="1">
            <wp:simplePos x="0" y="0"/>
            <wp:positionH relativeFrom="column">
              <wp:posOffset>7154545</wp:posOffset>
            </wp:positionH>
            <wp:positionV relativeFrom="paragraph">
              <wp:posOffset>-23495</wp:posOffset>
            </wp:positionV>
            <wp:extent cx="31115" cy="3683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65088" behindDoc="1" locked="0" layoutInCell="0" allowOverlap="1">
            <wp:simplePos x="0" y="0"/>
            <wp:positionH relativeFrom="column">
              <wp:posOffset>-17145</wp:posOffset>
            </wp:positionH>
            <wp:positionV relativeFrom="paragraph">
              <wp:posOffset>-23495</wp:posOffset>
            </wp:positionV>
            <wp:extent cx="31115" cy="3683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82" w:name="page83"/>
    <w:bookmarkEnd w:id="82"/>
    <w:p>
      <w:pPr>
        <w:spacing w:after="0"/>
        <w:ind w:left="280"/>
        <w:rPr>
          <w:color w:val="auto"/>
          <w:sz w:val="20"/>
          <w:szCs w:val="20"/>
        </w:rPr>
      </w:pPr>
      <w:r>
        <w:rPr>
          <w:rFonts w:ascii="Calibri" w:eastAsia="Calibri" w:hAnsi="Calibri" w:cs="Calibri"/>
          <w:color w:val="auto"/>
          <w:sz w:val="12"/>
          <w:szCs w:val="12"/>
        </w:rPr>
        <w:t>The following table summarizes the bases used to measure certain assets and liabilites carried at fair value on a recurring basis on the consolidated balance sheet as of December 31, 2024:</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3560"/>
        <w:gridCol w:w="2040"/>
        <w:gridCol w:w="1180"/>
        <w:gridCol w:w="240"/>
        <w:gridCol w:w="1240"/>
        <w:gridCol w:w="140"/>
        <w:gridCol w:w="1380"/>
        <w:gridCol w:w="140"/>
        <w:gridCol w:w="1360"/>
      </w:tblGrid>
      <w:tr>
        <w:tblPrEx>
          <w:tblInd w:w="0" w:type="dxa"/>
          <w:tblLayout w:type="fixed"/>
        </w:tblPrEx>
        <w:trPr>
          <w:trHeight w:val="122"/>
        </w:trPr>
        <w:tc>
          <w:tcPr>
            <w:tcW w:w="3560" w:type="dxa"/>
            <w:vAlign w:val="bottom"/>
          </w:tcPr>
          <w:p>
            <w:pPr>
              <w:spacing w:after="0"/>
              <w:rPr>
                <w:color w:val="auto"/>
                <w:sz w:val="10"/>
                <w:szCs w:val="10"/>
              </w:rPr>
            </w:pPr>
          </w:p>
        </w:tc>
        <w:tc>
          <w:tcPr>
            <w:tcW w:w="2040" w:type="dxa"/>
            <w:vAlign w:val="bottom"/>
          </w:tcPr>
          <w:p>
            <w:pPr>
              <w:spacing w:after="0"/>
              <w:rPr>
                <w:color w:val="auto"/>
                <w:sz w:val="10"/>
                <w:szCs w:val="10"/>
              </w:rPr>
            </w:pPr>
          </w:p>
        </w:tc>
        <w:tc>
          <w:tcPr>
            <w:tcW w:w="1180" w:type="dxa"/>
            <w:vAlign w:val="bottom"/>
          </w:tcPr>
          <w:p>
            <w:pPr>
              <w:spacing w:after="0"/>
              <w:rPr>
                <w:color w:val="auto"/>
                <w:sz w:val="10"/>
                <w:szCs w:val="10"/>
              </w:rPr>
            </w:pPr>
          </w:p>
        </w:tc>
        <w:tc>
          <w:tcPr>
            <w:tcW w:w="240" w:type="dxa"/>
            <w:vAlign w:val="bottom"/>
          </w:tcPr>
          <w:p>
            <w:pPr>
              <w:spacing w:after="0"/>
              <w:rPr>
                <w:color w:val="auto"/>
                <w:sz w:val="10"/>
                <w:szCs w:val="10"/>
              </w:rPr>
            </w:pPr>
          </w:p>
        </w:tc>
        <w:tc>
          <w:tcPr>
            <w:tcW w:w="1240" w:type="dxa"/>
            <w:vAlign w:val="bottom"/>
          </w:tcPr>
          <w:p>
            <w:pPr>
              <w:spacing w:after="0"/>
              <w:rPr>
                <w:color w:val="auto"/>
                <w:sz w:val="10"/>
                <w:szCs w:val="10"/>
              </w:rPr>
            </w:pPr>
          </w:p>
        </w:tc>
        <w:tc>
          <w:tcPr>
            <w:tcW w:w="140" w:type="dxa"/>
            <w:vAlign w:val="bottom"/>
          </w:tcPr>
          <w:p>
            <w:pPr>
              <w:spacing w:after="0"/>
              <w:rPr>
                <w:color w:val="auto"/>
                <w:sz w:val="10"/>
                <w:szCs w:val="10"/>
              </w:rPr>
            </w:pPr>
          </w:p>
        </w:tc>
        <w:tc>
          <w:tcPr>
            <w:tcW w:w="1380" w:type="dxa"/>
            <w:vAlign w:val="bottom"/>
          </w:tcPr>
          <w:p>
            <w:pPr>
              <w:spacing w:after="0"/>
              <w:ind w:right="64"/>
              <w:jc w:val="center"/>
              <w:rPr>
                <w:color w:val="auto"/>
                <w:sz w:val="20"/>
                <w:szCs w:val="20"/>
              </w:rPr>
            </w:pPr>
            <w:r>
              <w:rPr>
                <w:rFonts w:ascii="Calibri" w:eastAsia="Calibri" w:hAnsi="Calibri" w:cs="Calibri"/>
                <w:b/>
                <w:bCs/>
                <w:color w:val="auto"/>
                <w:w w:val="94"/>
                <w:sz w:val="10"/>
                <w:szCs w:val="10"/>
              </w:rPr>
              <w:t>Basis of fair value measurement</w:t>
            </w:r>
          </w:p>
        </w:tc>
        <w:tc>
          <w:tcPr>
            <w:tcW w:w="140" w:type="dxa"/>
            <w:vAlign w:val="bottom"/>
          </w:tcPr>
          <w:p>
            <w:pPr>
              <w:spacing w:after="0"/>
              <w:rPr>
                <w:color w:val="auto"/>
                <w:sz w:val="10"/>
                <w:szCs w:val="10"/>
              </w:rPr>
            </w:pPr>
          </w:p>
        </w:tc>
        <w:tc>
          <w:tcPr>
            <w:tcW w:w="1360" w:type="dxa"/>
            <w:vAlign w:val="bottom"/>
          </w:tcPr>
          <w:p>
            <w:pPr>
              <w:spacing w:after="0"/>
              <w:rPr>
                <w:color w:val="auto"/>
                <w:sz w:val="10"/>
                <w:szCs w:val="10"/>
              </w:rPr>
            </w:pPr>
          </w:p>
        </w:tc>
      </w:tr>
      <w:tr>
        <w:tblPrEx>
          <w:tblInd w:w="0" w:type="dxa"/>
          <w:tblLayout w:type="fixed"/>
        </w:tblPrEx>
        <w:trPr>
          <w:trHeight w:val="32"/>
        </w:trPr>
        <w:tc>
          <w:tcPr>
            <w:tcW w:w="3560" w:type="dxa"/>
            <w:vAlign w:val="bottom"/>
          </w:tcPr>
          <w:p>
            <w:pPr>
              <w:spacing w:after="0"/>
              <w:rPr>
                <w:color w:val="auto"/>
                <w:sz w:val="2"/>
                <w:szCs w:val="2"/>
              </w:rPr>
            </w:pPr>
          </w:p>
        </w:tc>
        <w:tc>
          <w:tcPr>
            <w:tcW w:w="2040" w:type="dxa"/>
            <w:vAlign w:val="bottom"/>
          </w:tcPr>
          <w:p>
            <w:pPr>
              <w:spacing w:after="0"/>
              <w:rPr>
                <w:color w:val="auto"/>
                <w:sz w:val="2"/>
                <w:szCs w:val="2"/>
              </w:rPr>
            </w:pPr>
          </w:p>
        </w:tc>
        <w:tc>
          <w:tcPr>
            <w:tcW w:w="1180" w:type="dxa"/>
            <w:vAlign w:val="bottom"/>
          </w:tcPr>
          <w:p>
            <w:pPr>
              <w:spacing w:after="0"/>
              <w:rPr>
                <w:color w:val="auto"/>
                <w:sz w:val="2"/>
                <w:szCs w:val="2"/>
              </w:rPr>
            </w:pPr>
          </w:p>
        </w:tc>
        <w:tc>
          <w:tcPr>
            <w:tcW w:w="1480" w:type="dxa"/>
            <w:gridSpan w:val="2"/>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38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360" w:type="dxa"/>
            <w:tcBorders>
              <w:bottom w:val="single" w:sz="8" w:space="0" w:color="auto"/>
            </w:tcBorders>
            <w:vAlign w:val="bottom"/>
          </w:tcPr>
          <w:p>
            <w:pPr>
              <w:spacing w:after="0"/>
              <w:rPr>
                <w:color w:val="auto"/>
                <w:sz w:val="2"/>
                <w:szCs w:val="2"/>
              </w:rPr>
            </w:pPr>
          </w:p>
        </w:tc>
      </w:tr>
      <w:tr>
        <w:tblPrEx>
          <w:tblInd w:w="0" w:type="dxa"/>
          <w:tblLayout w:type="fixed"/>
        </w:tblPrEx>
        <w:trPr>
          <w:trHeight w:val="70"/>
        </w:trPr>
        <w:tc>
          <w:tcPr>
            <w:tcW w:w="3560" w:type="dxa"/>
            <w:vAlign w:val="bottom"/>
          </w:tcPr>
          <w:p>
            <w:pPr>
              <w:spacing w:after="0"/>
              <w:rPr>
                <w:color w:val="auto"/>
                <w:sz w:val="6"/>
                <w:szCs w:val="6"/>
              </w:rPr>
            </w:pPr>
          </w:p>
        </w:tc>
        <w:tc>
          <w:tcPr>
            <w:tcW w:w="2040" w:type="dxa"/>
            <w:vAlign w:val="bottom"/>
          </w:tcPr>
          <w:p>
            <w:pPr>
              <w:spacing w:after="0"/>
              <w:rPr>
                <w:color w:val="auto"/>
                <w:sz w:val="6"/>
                <w:szCs w:val="6"/>
              </w:rPr>
            </w:pPr>
          </w:p>
        </w:tc>
        <w:tc>
          <w:tcPr>
            <w:tcW w:w="1180" w:type="dxa"/>
            <w:vAlign w:val="bottom"/>
          </w:tcPr>
          <w:p>
            <w:pPr>
              <w:spacing w:after="0"/>
              <w:rPr>
                <w:color w:val="auto"/>
                <w:sz w:val="6"/>
                <w:szCs w:val="6"/>
              </w:rPr>
            </w:pPr>
          </w:p>
        </w:tc>
        <w:tc>
          <w:tcPr>
            <w:tcW w:w="1480" w:type="dxa"/>
            <w:gridSpan w:val="2"/>
            <w:vAlign w:val="bottom"/>
          </w:tcPr>
          <w:p>
            <w:pPr>
              <w:spacing w:after="0" w:line="70" w:lineRule="exact"/>
              <w:jc w:val="center"/>
              <w:rPr>
                <w:color w:val="auto"/>
                <w:sz w:val="20"/>
                <w:szCs w:val="20"/>
              </w:rPr>
            </w:pPr>
            <w:r>
              <w:rPr>
                <w:rFonts w:ascii="Calibri" w:eastAsia="Calibri" w:hAnsi="Calibri" w:cs="Calibri"/>
                <w:b/>
                <w:bCs/>
                <w:color w:val="auto"/>
                <w:sz w:val="7"/>
                <w:szCs w:val="7"/>
              </w:rPr>
              <w:t>Quoted prices in actve markets for</w:t>
            </w:r>
          </w:p>
        </w:tc>
        <w:tc>
          <w:tcPr>
            <w:tcW w:w="140" w:type="dxa"/>
            <w:vAlign w:val="bottom"/>
          </w:tcPr>
          <w:p>
            <w:pPr>
              <w:spacing w:after="0"/>
              <w:rPr>
                <w:color w:val="auto"/>
                <w:sz w:val="6"/>
                <w:szCs w:val="6"/>
              </w:rPr>
            </w:pPr>
          </w:p>
        </w:tc>
        <w:tc>
          <w:tcPr>
            <w:tcW w:w="1380" w:type="dxa"/>
            <w:vAlign w:val="bottom"/>
          </w:tcPr>
          <w:p>
            <w:pPr>
              <w:spacing w:after="0" w:line="70" w:lineRule="exact"/>
              <w:ind w:right="64"/>
              <w:jc w:val="center"/>
              <w:rPr>
                <w:color w:val="auto"/>
                <w:sz w:val="20"/>
                <w:szCs w:val="20"/>
              </w:rPr>
            </w:pPr>
            <w:r>
              <w:rPr>
                <w:rFonts w:ascii="Calibri" w:eastAsia="Calibri" w:hAnsi="Calibri" w:cs="Calibri"/>
                <w:b/>
                <w:bCs/>
                <w:color w:val="auto"/>
                <w:sz w:val="7"/>
                <w:szCs w:val="7"/>
              </w:rPr>
              <w:t>Signifcant other observable</w:t>
            </w:r>
          </w:p>
        </w:tc>
        <w:tc>
          <w:tcPr>
            <w:tcW w:w="140" w:type="dxa"/>
            <w:vAlign w:val="bottom"/>
          </w:tcPr>
          <w:p>
            <w:pPr>
              <w:spacing w:after="0"/>
              <w:rPr>
                <w:color w:val="auto"/>
                <w:sz w:val="6"/>
                <w:szCs w:val="6"/>
              </w:rPr>
            </w:pPr>
          </w:p>
        </w:tc>
        <w:tc>
          <w:tcPr>
            <w:tcW w:w="1360" w:type="dxa"/>
            <w:vAlign w:val="bottom"/>
          </w:tcPr>
          <w:p>
            <w:pPr>
              <w:spacing w:after="0"/>
              <w:rPr>
                <w:color w:val="auto"/>
                <w:sz w:val="6"/>
                <w:szCs w:val="6"/>
              </w:rPr>
            </w:pPr>
          </w:p>
        </w:tc>
      </w:tr>
      <w:tr>
        <w:tblPrEx>
          <w:tblInd w:w="0" w:type="dxa"/>
          <w:tblLayout w:type="fixed"/>
        </w:tblPrEx>
        <w:trPr>
          <w:trHeight w:val="99"/>
        </w:trPr>
        <w:tc>
          <w:tcPr>
            <w:tcW w:w="3560" w:type="dxa"/>
            <w:vAlign w:val="bottom"/>
          </w:tcPr>
          <w:p>
            <w:pPr>
              <w:spacing w:after="0"/>
              <w:rPr>
                <w:color w:val="auto"/>
                <w:sz w:val="8"/>
                <w:szCs w:val="8"/>
              </w:rPr>
            </w:pPr>
          </w:p>
        </w:tc>
        <w:tc>
          <w:tcPr>
            <w:tcW w:w="2040" w:type="dxa"/>
            <w:vAlign w:val="bottom"/>
          </w:tcPr>
          <w:p>
            <w:pPr>
              <w:spacing w:after="0"/>
              <w:rPr>
                <w:color w:val="auto"/>
                <w:sz w:val="8"/>
                <w:szCs w:val="8"/>
              </w:rPr>
            </w:pPr>
          </w:p>
        </w:tc>
        <w:tc>
          <w:tcPr>
            <w:tcW w:w="1180" w:type="dxa"/>
            <w:vAlign w:val="bottom"/>
          </w:tcPr>
          <w:p>
            <w:pPr>
              <w:spacing w:after="0"/>
              <w:rPr>
                <w:color w:val="auto"/>
                <w:sz w:val="8"/>
                <w:szCs w:val="8"/>
              </w:rPr>
            </w:pPr>
          </w:p>
        </w:tc>
        <w:tc>
          <w:tcPr>
            <w:tcW w:w="240" w:type="dxa"/>
            <w:vAlign w:val="bottom"/>
          </w:tcPr>
          <w:p>
            <w:pPr>
              <w:spacing w:after="0"/>
              <w:rPr>
                <w:color w:val="auto"/>
                <w:sz w:val="8"/>
                <w:szCs w:val="8"/>
              </w:rPr>
            </w:pPr>
          </w:p>
        </w:tc>
        <w:tc>
          <w:tcPr>
            <w:tcW w:w="1240" w:type="dxa"/>
            <w:vAlign w:val="bottom"/>
          </w:tcPr>
          <w:p>
            <w:pPr>
              <w:spacing w:after="0" w:line="99" w:lineRule="exact"/>
              <w:ind w:right="182"/>
              <w:jc w:val="center"/>
              <w:rPr>
                <w:color w:val="auto"/>
                <w:sz w:val="20"/>
                <w:szCs w:val="20"/>
              </w:rPr>
            </w:pPr>
            <w:r>
              <w:rPr>
                <w:rFonts w:ascii="Calibri" w:eastAsia="Calibri" w:hAnsi="Calibri" w:cs="Calibri"/>
                <w:b/>
                <w:bCs/>
                <w:color w:val="auto"/>
                <w:w w:val="98"/>
                <w:sz w:val="10"/>
                <w:szCs w:val="10"/>
              </w:rPr>
              <w:t>identcal assets</w:t>
            </w:r>
          </w:p>
        </w:tc>
        <w:tc>
          <w:tcPr>
            <w:tcW w:w="140" w:type="dxa"/>
            <w:vAlign w:val="bottom"/>
          </w:tcPr>
          <w:p>
            <w:pPr>
              <w:spacing w:after="0"/>
              <w:rPr>
                <w:color w:val="auto"/>
                <w:sz w:val="8"/>
                <w:szCs w:val="8"/>
              </w:rPr>
            </w:pPr>
          </w:p>
        </w:tc>
        <w:tc>
          <w:tcPr>
            <w:tcW w:w="1380" w:type="dxa"/>
            <w:vAlign w:val="bottom"/>
          </w:tcPr>
          <w:p>
            <w:pPr>
              <w:spacing w:after="0" w:line="99" w:lineRule="exact"/>
              <w:ind w:right="44"/>
              <w:jc w:val="center"/>
              <w:rPr>
                <w:color w:val="auto"/>
                <w:sz w:val="20"/>
                <w:szCs w:val="20"/>
              </w:rPr>
            </w:pPr>
            <w:r>
              <w:rPr>
                <w:rFonts w:ascii="Calibri" w:eastAsia="Calibri" w:hAnsi="Calibri" w:cs="Calibri"/>
                <w:b/>
                <w:bCs/>
                <w:color w:val="auto"/>
                <w:w w:val="92"/>
                <w:sz w:val="10"/>
                <w:szCs w:val="10"/>
              </w:rPr>
              <w:t>inputs</w:t>
            </w:r>
          </w:p>
        </w:tc>
        <w:tc>
          <w:tcPr>
            <w:tcW w:w="140" w:type="dxa"/>
            <w:vAlign w:val="bottom"/>
          </w:tcPr>
          <w:p>
            <w:pPr>
              <w:spacing w:after="0"/>
              <w:rPr>
                <w:color w:val="auto"/>
                <w:sz w:val="8"/>
                <w:szCs w:val="8"/>
              </w:rPr>
            </w:pPr>
          </w:p>
        </w:tc>
        <w:tc>
          <w:tcPr>
            <w:tcW w:w="1360" w:type="dxa"/>
            <w:vAlign w:val="bottom"/>
          </w:tcPr>
          <w:p>
            <w:pPr>
              <w:spacing w:after="0" w:line="99" w:lineRule="exact"/>
              <w:ind w:right="22"/>
              <w:jc w:val="center"/>
              <w:rPr>
                <w:color w:val="auto"/>
                <w:sz w:val="20"/>
                <w:szCs w:val="20"/>
              </w:rPr>
            </w:pPr>
            <w:r>
              <w:rPr>
                <w:rFonts w:ascii="Calibri" w:eastAsia="Calibri" w:hAnsi="Calibri" w:cs="Calibri"/>
                <w:b/>
                <w:bCs/>
                <w:color w:val="auto"/>
                <w:w w:val="96"/>
                <w:sz w:val="10"/>
                <w:szCs w:val="10"/>
              </w:rPr>
              <w:t>Signifcant unobservable inputs</w:t>
            </w:r>
          </w:p>
        </w:tc>
      </w:tr>
      <w:tr>
        <w:tblPrEx>
          <w:tblInd w:w="0" w:type="dxa"/>
          <w:tblLayout w:type="fixed"/>
        </w:tblPrEx>
        <w:trPr>
          <w:trHeight w:val="112"/>
        </w:trPr>
        <w:tc>
          <w:tcPr>
            <w:tcW w:w="3560" w:type="dxa"/>
            <w:vAlign w:val="bottom"/>
          </w:tcPr>
          <w:p>
            <w:pPr>
              <w:spacing w:after="0" w:line="112" w:lineRule="exact"/>
              <w:rPr>
                <w:color w:val="auto"/>
                <w:sz w:val="20"/>
                <w:szCs w:val="20"/>
              </w:rPr>
            </w:pPr>
            <w:r>
              <w:rPr>
                <w:rFonts w:ascii="Calibri" w:eastAsia="Calibri" w:hAnsi="Calibri" w:cs="Calibri"/>
                <w:b/>
                <w:bCs/>
                <w:color w:val="auto"/>
                <w:sz w:val="10"/>
                <w:szCs w:val="10"/>
              </w:rPr>
              <w:t>(in millions)</w:t>
            </w:r>
          </w:p>
        </w:tc>
        <w:tc>
          <w:tcPr>
            <w:tcW w:w="2040" w:type="dxa"/>
            <w:vAlign w:val="bottom"/>
          </w:tcPr>
          <w:p>
            <w:pPr>
              <w:spacing w:after="0"/>
              <w:rPr>
                <w:color w:val="auto"/>
                <w:sz w:val="9"/>
                <w:szCs w:val="9"/>
              </w:rPr>
            </w:pPr>
          </w:p>
        </w:tc>
        <w:tc>
          <w:tcPr>
            <w:tcW w:w="1180" w:type="dxa"/>
            <w:vAlign w:val="bottom"/>
          </w:tcPr>
          <w:p>
            <w:pPr>
              <w:spacing w:after="0" w:line="112" w:lineRule="exact"/>
              <w:ind w:right="661"/>
              <w:jc w:val="right"/>
              <w:rPr>
                <w:color w:val="auto"/>
                <w:sz w:val="20"/>
                <w:szCs w:val="20"/>
              </w:rPr>
            </w:pPr>
            <w:r>
              <w:rPr>
                <w:rFonts w:ascii="Calibri" w:eastAsia="Calibri" w:hAnsi="Calibri" w:cs="Calibri"/>
                <w:b/>
                <w:bCs/>
                <w:color w:val="auto"/>
                <w:sz w:val="10"/>
                <w:szCs w:val="10"/>
              </w:rPr>
              <w:t>Total</w:t>
            </w:r>
          </w:p>
        </w:tc>
        <w:tc>
          <w:tcPr>
            <w:tcW w:w="240" w:type="dxa"/>
            <w:vAlign w:val="bottom"/>
          </w:tcPr>
          <w:p>
            <w:pPr>
              <w:spacing w:after="0"/>
              <w:rPr>
                <w:color w:val="auto"/>
                <w:sz w:val="9"/>
                <w:szCs w:val="9"/>
              </w:rPr>
            </w:pPr>
          </w:p>
        </w:tc>
        <w:tc>
          <w:tcPr>
            <w:tcW w:w="1240" w:type="dxa"/>
            <w:vAlign w:val="bottom"/>
          </w:tcPr>
          <w:p>
            <w:pPr>
              <w:spacing w:after="0" w:line="112" w:lineRule="exact"/>
              <w:ind w:right="202"/>
              <w:jc w:val="center"/>
              <w:rPr>
                <w:color w:val="auto"/>
                <w:sz w:val="20"/>
                <w:szCs w:val="20"/>
              </w:rPr>
            </w:pPr>
            <w:r>
              <w:rPr>
                <w:rFonts w:ascii="Calibri" w:eastAsia="Calibri" w:hAnsi="Calibri" w:cs="Calibri"/>
                <w:b/>
                <w:bCs/>
                <w:color w:val="auto"/>
                <w:w w:val="96"/>
                <w:sz w:val="10"/>
                <w:szCs w:val="10"/>
              </w:rPr>
              <w:t>(Level 1)</w:t>
            </w:r>
          </w:p>
        </w:tc>
        <w:tc>
          <w:tcPr>
            <w:tcW w:w="140" w:type="dxa"/>
            <w:vAlign w:val="bottom"/>
          </w:tcPr>
          <w:p>
            <w:pPr>
              <w:spacing w:after="0"/>
              <w:rPr>
                <w:color w:val="auto"/>
                <w:sz w:val="9"/>
                <w:szCs w:val="9"/>
              </w:rPr>
            </w:pPr>
          </w:p>
        </w:tc>
        <w:tc>
          <w:tcPr>
            <w:tcW w:w="1380" w:type="dxa"/>
            <w:vAlign w:val="bottom"/>
          </w:tcPr>
          <w:p>
            <w:pPr>
              <w:spacing w:after="0" w:line="112" w:lineRule="exact"/>
              <w:ind w:right="24"/>
              <w:jc w:val="center"/>
              <w:rPr>
                <w:color w:val="auto"/>
                <w:sz w:val="20"/>
                <w:szCs w:val="20"/>
              </w:rPr>
            </w:pPr>
            <w:r>
              <w:rPr>
                <w:rFonts w:ascii="Calibri" w:eastAsia="Calibri" w:hAnsi="Calibri" w:cs="Calibri"/>
                <w:b/>
                <w:bCs/>
                <w:color w:val="auto"/>
                <w:w w:val="96"/>
                <w:sz w:val="10"/>
                <w:szCs w:val="10"/>
              </w:rPr>
              <w:t>(Level 2)</w:t>
            </w:r>
          </w:p>
        </w:tc>
        <w:tc>
          <w:tcPr>
            <w:tcW w:w="140" w:type="dxa"/>
            <w:vAlign w:val="bottom"/>
          </w:tcPr>
          <w:p>
            <w:pPr>
              <w:spacing w:after="0"/>
              <w:rPr>
                <w:color w:val="auto"/>
                <w:sz w:val="9"/>
                <w:szCs w:val="9"/>
              </w:rPr>
            </w:pPr>
          </w:p>
        </w:tc>
        <w:tc>
          <w:tcPr>
            <w:tcW w:w="1360" w:type="dxa"/>
            <w:vAlign w:val="bottom"/>
          </w:tcPr>
          <w:p>
            <w:pPr>
              <w:spacing w:after="0" w:line="112" w:lineRule="exact"/>
              <w:ind w:right="2"/>
              <w:jc w:val="center"/>
              <w:rPr>
                <w:color w:val="auto"/>
                <w:sz w:val="20"/>
                <w:szCs w:val="20"/>
              </w:rPr>
            </w:pPr>
            <w:r>
              <w:rPr>
                <w:rFonts w:ascii="Calibri" w:eastAsia="Calibri" w:hAnsi="Calibri" w:cs="Calibri"/>
                <w:b/>
                <w:bCs/>
                <w:color w:val="auto"/>
                <w:w w:val="96"/>
                <w:sz w:val="10"/>
                <w:szCs w:val="10"/>
              </w:rPr>
              <w:t>(Level 3)</w:t>
            </w:r>
          </w:p>
        </w:tc>
      </w:tr>
      <w:tr>
        <w:tblPrEx>
          <w:tblInd w:w="0" w:type="dxa"/>
          <w:tblLayout w:type="fixed"/>
        </w:tblPrEx>
        <w:trPr>
          <w:trHeight w:val="32"/>
        </w:trPr>
        <w:tc>
          <w:tcPr>
            <w:tcW w:w="3560" w:type="dxa"/>
            <w:tcBorders>
              <w:bottom w:val="single" w:sz="8" w:space="0" w:color="auto"/>
            </w:tcBorders>
            <w:vAlign w:val="bottom"/>
          </w:tcPr>
          <w:p>
            <w:pPr>
              <w:spacing w:after="0"/>
              <w:rPr>
                <w:color w:val="auto"/>
                <w:sz w:val="2"/>
                <w:szCs w:val="2"/>
              </w:rPr>
            </w:pPr>
          </w:p>
        </w:tc>
        <w:tc>
          <w:tcPr>
            <w:tcW w:w="204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24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38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36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3560" w:type="dxa"/>
            <w:vAlign w:val="bottom"/>
          </w:tcPr>
          <w:p>
            <w:pPr>
              <w:spacing w:after="0" w:line="137" w:lineRule="exact"/>
              <w:rPr>
                <w:color w:val="auto"/>
                <w:sz w:val="20"/>
                <w:szCs w:val="20"/>
              </w:rPr>
            </w:pPr>
            <w:r>
              <w:rPr>
                <w:rFonts w:ascii="Calibri" w:eastAsia="Calibri" w:hAnsi="Calibri" w:cs="Calibri"/>
                <w:b/>
                <w:bCs/>
                <w:color w:val="auto"/>
                <w:sz w:val="12"/>
                <w:szCs w:val="12"/>
              </w:rPr>
              <w:t>Assets</w:t>
            </w:r>
          </w:p>
        </w:tc>
        <w:tc>
          <w:tcPr>
            <w:tcW w:w="2040" w:type="dxa"/>
            <w:vAlign w:val="bottom"/>
          </w:tcPr>
          <w:p>
            <w:pPr>
              <w:spacing w:after="0"/>
              <w:rPr>
                <w:color w:val="auto"/>
                <w:sz w:val="11"/>
                <w:szCs w:val="11"/>
              </w:rPr>
            </w:pPr>
          </w:p>
        </w:tc>
        <w:tc>
          <w:tcPr>
            <w:tcW w:w="1180" w:type="dxa"/>
            <w:vAlign w:val="bottom"/>
          </w:tcPr>
          <w:p>
            <w:pPr>
              <w:spacing w:after="0"/>
              <w:rPr>
                <w:color w:val="auto"/>
                <w:sz w:val="11"/>
                <w:szCs w:val="11"/>
              </w:rPr>
            </w:pPr>
          </w:p>
        </w:tc>
        <w:tc>
          <w:tcPr>
            <w:tcW w:w="240" w:type="dxa"/>
            <w:vAlign w:val="bottom"/>
          </w:tcPr>
          <w:p>
            <w:pPr>
              <w:spacing w:after="0"/>
              <w:rPr>
                <w:color w:val="auto"/>
                <w:sz w:val="11"/>
                <w:szCs w:val="11"/>
              </w:rPr>
            </w:pPr>
          </w:p>
        </w:tc>
        <w:tc>
          <w:tcPr>
            <w:tcW w:w="124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138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1360" w:type="dxa"/>
            <w:vAlign w:val="bottom"/>
          </w:tcPr>
          <w:p>
            <w:pPr>
              <w:spacing w:after="0"/>
              <w:rPr>
                <w:color w:val="auto"/>
                <w:sz w:val="11"/>
                <w:szCs w:val="11"/>
              </w:rPr>
            </w:pPr>
          </w:p>
        </w:tc>
      </w:tr>
      <w:tr>
        <w:tblPrEx>
          <w:tblInd w:w="0" w:type="dxa"/>
          <w:tblLayout w:type="fixed"/>
        </w:tblPrEx>
        <w:trPr>
          <w:trHeight w:val="159"/>
        </w:trPr>
        <w:tc>
          <w:tcPr>
            <w:tcW w:w="3560" w:type="dxa"/>
            <w:shd w:val="clear" w:color="auto" w:fill="CCEEFF"/>
            <w:vAlign w:val="bottom"/>
          </w:tcPr>
          <w:p>
            <w:pPr>
              <w:spacing w:after="0"/>
              <w:rPr>
                <w:color w:val="auto"/>
                <w:sz w:val="20"/>
                <w:szCs w:val="20"/>
              </w:rPr>
            </w:pPr>
            <w:r>
              <w:rPr>
                <w:rFonts w:ascii="Calibri" w:eastAsia="Calibri" w:hAnsi="Calibri" w:cs="Calibri"/>
                <w:color w:val="auto"/>
                <w:sz w:val="12"/>
                <w:szCs w:val="12"/>
              </w:rPr>
              <w:t>Cash and equivalents</w:t>
            </w:r>
          </w:p>
        </w:tc>
        <w:tc>
          <w:tcPr>
            <w:tcW w:w="204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80" w:type="dxa"/>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5,524</w:t>
            </w:r>
          </w:p>
        </w:tc>
        <w:tc>
          <w:tcPr>
            <w:tcW w:w="240" w:type="dxa"/>
            <w:shd w:val="clear" w:color="auto" w:fill="CCEEFF"/>
            <w:vAlign w:val="bottom"/>
          </w:tcPr>
          <w:p>
            <w:pPr>
              <w:spacing w:after="0"/>
              <w:ind w:right="104"/>
              <w:jc w:val="right"/>
              <w:rPr>
                <w:color w:val="auto"/>
                <w:sz w:val="20"/>
                <w:szCs w:val="20"/>
              </w:rPr>
            </w:pPr>
            <w:r>
              <w:rPr>
                <w:rFonts w:ascii="Calibri" w:eastAsia="Calibri" w:hAnsi="Calibri" w:cs="Calibri"/>
                <w:color w:val="auto"/>
                <w:w w:val="97"/>
                <w:sz w:val="12"/>
                <w:szCs w:val="12"/>
              </w:rPr>
              <w:t>$</w:t>
            </w: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5,179</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380" w:type="dxa"/>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345</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3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Money market funds and tme deposits</w:t>
            </w:r>
          </w:p>
        </w:tc>
        <w:tc>
          <w:tcPr>
            <w:tcW w:w="2040" w:type="dxa"/>
            <w:vAlign w:val="bottom"/>
          </w:tcPr>
          <w:p>
            <w:pPr>
              <w:spacing w:after="0"/>
              <w:rPr>
                <w:color w:val="auto"/>
                <w:sz w:val="12"/>
                <w:szCs w:val="12"/>
              </w:rPr>
            </w:pPr>
          </w:p>
        </w:tc>
        <w:tc>
          <w:tcPr>
            <w:tcW w:w="1180" w:type="dxa"/>
            <w:vAlign w:val="bottom"/>
          </w:tcPr>
          <w:p>
            <w:pPr>
              <w:spacing w:after="0" w:line="142" w:lineRule="exact"/>
              <w:ind w:right="81"/>
              <w:jc w:val="right"/>
              <w:rPr>
                <w:color w:val="auto"/>
                <w:sz w:val="20"/>
                <w:szCs w:val="20"/>
              </w:rPr>
            </w:pPr>
            <w:r>
              <w:rPr>
                <w:rFonts w:ascii="Calibri" w:eastAsia="Calibri" w:hAnsi="Calibri" w:cs="Calibri"/>
                <w:color w:val="auto"/>
                <w:sz w:val="12"/>
                <w:szCs w:val="12"/>
              </w:rPr>
              <w:t>10</w:t>
            </w:r>
          </w:p>
        </w:tc>
        <w:tc>
          <w:tcPr>
            <w:tcW w:w="240" w:type="dxa"/>
            <w:vAlign w:val="bottom"/>
          </w:tcPr>
          <w:p>
            <w:pPr>
              <w:spacing w:after="0"/>
              <w:rPr>
                <w:color w:val="auto"/>
                <w:sz w:val="12"/>
                <w:szCs w:val="12"/>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140" w:type="dxa"/>
            <w:vAlign w:val="bottom"/>
          </w:tcPr>
          <w:p>
            <w:pPr>
              <w:spacing w:after="0"/>
              <w:rPr>
                <w:color w:val="auto"/>
                <w:sz w:val="12"/>
                <w:szCs w:val="12"/>
              </w:rPr>
            </w:pPr>
          </w:p>
        </w:tc>
        <w:tc>
          <w:tcPr>
            <w:tcW w:w="1380" w:type="dxa"/>
            <w:vAlign w:val="bottom"/>
          </w:tcPr>
          <w:p>
            <w:pPr>
              <w:spacing w:after="0" w:line="142" w:lineRule="exact"/>
              <w:ind w:right="24"/>
              <w:jc w:val="right"/>
              <w:rPr>
                <w:color w:val="auto"/>
                <w:sz w:val="20"/>
                <w:szCs w:val="20"/>
              </w:rPr>
            </w:pPr>
            <w:r>
              <w:rPr>
                <w:rFonts w:ascii="Calibri" w:eastAsia="Calibri" w:hAnsi="Calibri" w:cs="Calibri"/>
                <w:color w:val="auto"/>
                <w:sz w:val="12"/>
                <w:szCs w:val="12"/>
              </w:rPr>
              <w:t>10</w:t>
            </w:r>
          </w:p>
        </w:tc>
        <w:tc>
          <w:tcPr>
            <w:tcW w:w="140" w:type="dxa"/>
            <w:vAlign w:val="bottom"/>
          </w:tcPr>
          <w:p>
            <w:pPr>
              <w:spacing w:after="0"/>
              <w:rPr>
                <w:color w:val="auto"/>
                <w:sz w:val="12"/>
                <w:szCs w:val="12"/>
              </w:rPr>
            </w:pPr>
          </w:p>
        </w:tc>
        <w:tc>
          <w:tcPr>
            <w:tcW w:w="13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3560" w:type="dxa"/>
            <w:shd w:val="clear" w:color="auto" w:fill="CCEEFF"/>
            <w:vAlign w:val="bottom"/>
          </w:tcPr>
          <w:p>
            <w:pPr>
              <w:spacing w:after="0"/>
              <w:rPr>
                <w:color w:val="auto"/>
                <w:sz w:val="20"/>
                <w:szCs w:val="20"/>
              </w:rPr>
            </w:pPr>
            <w:r>
              <w:rPr>
                <w:rFonts w:ascii="Calibri" w:eastAsia="Calibri" w:hAnsi="Calibri" w:cs="Calibri"/>
                <w:color w:val="auto"/>
                <w:sz w:val="12"/>
                <w:szCs w:val="12"/>
              </w:rPr>
              <w:t>Debt securites</w:t>
            </w:r>
          </w:p>
        </w:tc>
        <w:tc>
          <w:tcPr>
            <w:tcW w:w="20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33</w:t>
            </w: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w:t>
            </w:r>
          </w:p>
        </w:tc>
        <w:tc>
          <w:tcPr>
            <w:tcW w:w="140" w:type="dxa"/>
            <w:shd w:val="clear" w:color="auto" w:fill="CCEEFF"/>
            <w:vAlign w:val="bottom"/>
          </w:tcPr>
          <w:p>
            <w:pPr>
              <w:spacing w:after="0"/>
              <w:rPr>
                <w:color w:val="auto"/>
                <w:sz w:val="13"/>
                <w:szCs w:val="13"/>
              </w:rPr>
            </w:pPr>
          </w:p>
        </w:tc>
        <w:tc>
          <w:tcPr>
            <w:tcW w:w="1380" w:type="dxa"/>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33</w:t>
            </w:r>
          </w:p>
        </w:tc>
        <w:tc>
          <w:tcPr>
            <w:tcW w:w="14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Equity securites</w:t>
            </w:r>
          </w:p>
        </w:tc>
        <w:tc>
          <w:tcPr>
            <w:tcW w:w="2040" w:type="dxa"/>
            <w:vAlign w:val="bottom"/>
          </w:tcPr>
          <w:p>
            <w:pPr>
              <w:spacing w:after="0"/>
              <w:rPr>
                <w:color w:val="auto"/>
                <w:sz w:val="12"/>
                <w:szCs w:val="12"/>
              </w:rPr>
            </w:pPr>
          </w:p>
        </w:tc>
        <w:tc>
          <w:tcPr>
            <w:tcW w:w="1180" w:type="dxa"/>
            <w:vAlign w:val="bottom"/>
          </w:tcPr>
          <w:p>
            <w:pPr>
              <w:spacing w:after="0" w:line="142" w:lineRule="exact"/>
              <w:ind w:right="81"/>
              <w:jc w:val="right"/>
              <w:rPr>
                <w:color w:val="auto"/>
                <w:sz w:val="20"/>
                <w:szCs w:val="20"/>
              </w:rPr>
            </w:pPr>
            <w:r>
              <w:rPr>
                <w:rFonts w:ascii="Calibri" w:eastAsia="Calibri" w:hAnsi="Calibri" w:cs="Calibri"/>
                <w:color w:val="auto"/>
                <w:sz w:val="12"/>
                <w:szCs w:val="12"/>
              </w:rPr>
              <w:t>98</w:t>
            </w:r>
          </w:p>
        </w:tc>
        <w:tc>
          <w:tcPr>
            <w:tcW w:w="240" w:type="dxa"/>
            <w:vAlign w:val="bottom"/>
          </w:tcPr>
          <w:p>
            <w:pPr>
              <w:spacing w:after="0"/>
              <w:rPr>
                <w:color w:val="auto"/>
                <w:sz w:val="12"/>
                <w:szCs w:val="12"/>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70</w:t>
            </w:r>
          </w:p>
        </w:tc>
        <w:tc>
          <w:tcPr>
            <w:tcW w:w="140" w:type="dxa"/>
            <w:vAlign w:val="bottom"/>
          </w:tcPr>
          <w:p>
            <w:pPr>
              <w:spacing w:after="0"/>
              <w:rPr>
                <w:color w:val="auto"/>
                <w:sz w:val="12"/>
                <w:szCs w:val="12"/>
              </w:rPr>
            </w:pPr>
          </w:p>
        </w:tc>
        <w:tc>
          <w:tcPr>
            <w:tcW w:w="1380" w:type="dxa"/>
            <w:vAlign w:val="bottom"/>
          </w:tcPr>
          <w:p>
            <w:pPr>
              <w:spacing w:after="0" w:line="142" w:lineRule="exact"/>
              <w:ind w:right="24"/>
              <w:jc w:val="right"/>
              <w:rPr>
                <w:color w:val="auto"/>
                <w:sz w:val="20"/>
                <w:szCs w:val="20"/>
              </w:rPr>
            </w:pPr>
            <w:r>
              <w:rPr>
                <w:rFonts w:ascii="Calibri" w:eastAsia="Calibri" w:hAnsi="Calibri" w:cs="Calibri"/>
                <w:color w:val="auto"/>
                <w:sz w:val="12"/>
                <w:szCs w:val="12"/>
              </w:rPr>
              <w:t>28</w:t>
            </w:r>
          </w:p>
        </w:tc>
        <w:tc>
          <w:tcPr>
            <w:tcW w:w="140" w:type="dxa"/>
            <w:vAlign w:val="bottom"/>
          </w:tcPr>
          <w:p>
            <w:pPr>
              <w:spacing w:after="0"/>
              <w:rPr>
                <w:color w:val="auto"/>
                <w:sz w:val="12"/>
                <w:szCs w:val="12"/>
              </w:rPr>
            </w:pPr>
          </w:p>
        </w:tc>
        <w:tc>
          <w:tcPr>
            <w:tcW w:w="13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3"/>
        </w:trPr>
        <w:tc>
          <w:tcPr>
            <w:tcW w:w="35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Foreign currency contracts</w:t>
            </w:r>
          </w:p>
        </w:tc>
        <w:tc>
          <w:tcPr>
            <w:tcW w:w="2040" w:type="dxa"/>
            <w:tcBorders>
              <w:bottom w:val="single" w:sz="8" w:space="0" w:color="auto"/>
            </w:tcBorders>
            <w:shd w:val="clear" w:color="auto" w:fill="CCEEFF"/>
            <w:vAlign w:val="bottom"/>
          </w:tcPr>
          <w:p>
            <w:pPr>
              <w:spacing w:after="0"/>
              <w:rPr>
                <w:color w:val="auto"/>
                <w:sz w:val="13"/>
                <w:szCs w:val="13"/>
              </w:rPr>
            </w:pPr>
          </w:p>
        </w:tc>
        <w:tc>
          <w:tcPr>
            <w:tcW w:w="1180" w:type="dxa"/>
            <w:tcBorders>
              <w:bottom w:val="single" w:sz="8" w:space="0" w:color="auto"/>
            </w:tcBorders>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313</w:t>
            </w:r>
          </w:p>
        </w:tc>
        <w:tc>
          <w:tcPr>
            <w:tcW w:w="240" w:type="dxa"/>
            <w:tcBorders>
              <w:bottom w:val="single" w:sz="8" w:space="0" w:color="auto"/>
            </w:tcBorders>
            <w:shd w:val="clear" w:color="auto" w:fill="CCEEFF"/>
            <w:vAlign w:val="bottom"/>
          </w:tcPr>
          <w:p>
            <w:pPr>
              <w:spacing w:after="0"/>
              <w:rPr>
                <w:color w:val="auto"/>
                <w:sz w:val="13"/>
                <w:szCs w:val="13"/>
              </w:rPr>
            </w:pPr>
          </w:p>
        </w:tc>
        <w:tc>
          <w:tcPr>
            <w:tcW w:w="1240" w:type="dxa"/>
            <w:tcBorders>
              <w:bottom w:val="single" w:sz="8" w:space="0" w:color="auto"/>
            </w:tcBorders>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w:t>
            </w:r>
          </w:p>
        </w:tc>
        <w:tc>
          <w:tcPr>
            <w:tcW w:w="140" w:type="dxa"/>
            <w:tcBorders>
              <w:bottom w:val="single" w:sz="8" w:space="0" w:color="auto"/>
            </w:tcBorders>
            <w:shd w:val="clear" w:color="auto" w:fill="CCEEFF"/>
            <w:vAlign w:val="bottom"/>
          </w:tcPr>
          <w:p>
            <w:pPr>
              <w:spacing w:after="0"/>
              <w:rPr>
                <w:color w:val="auto"/>
                <w:sz w:val="13"/>
                <w:szCs w:val="13"/>
              </w:rPr>
            </w:pPr>
          </w:p>
        </w:tc>
        <w:tc>
          <w:tcPr>
            <w:tcW w:w="1380" w:type="dxa"/>
            <w:tcBorders>
              <w:bottom w:val="single" w:sz="8" w:space="0" w:color="auto"/>
            </w:tcBorders>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313</w:t>
            </w:r>
          </w:p>
        </w:tc>
        <w:tc>
          <w:tcPr>
            <w:tcW w:w="140" w:type="dxa"/>
            <w:tcBorders>
              <w:bottom w:val="single" w:sz="8" w:space="0" w:color="auto"/>
            </w:tcBorders>
            <w:shd w:val="clear" w:color="auto" w:fill="CCEEFF"/>
            <w:vAlign w:val="bottom"/>
          </w:tcPr>
          <w:p>
            <w:pPr>
              <w:spacing w:after="0"/>
              <w:rPr>
                <w:color w:val="auto"/>
                <w:sz w:val="13"/>
                <w:szCs w:val="13"/>
              </w:rPr>
            </w:pPr>
          </w:p>
        </w:tc>
        <w:tc>
          <w:tcPr>
            <w:tcW w:w="136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64"/>
        </w:trPr>
        <w:tc>
          <w:tcPr>
            <w:tcW w:w="3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assets</w:t>
            </w:r>
          </w:p>
        </w:tc>
        <w:tc>
          <w:tcPr>
            <w:tcW w:w="204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80" w:type="dxa"/>
            <w:tcBorders>
              <w:bottom w:val="single" w:sz="8" w:space="0" w:color="auto"/>
            </w:tcBorders>
            <w:vAlign w:val="bottom"/>
          </w:tcPr>
          <w:p>
            <w:pPr>
              <w:spacing w:after="0" w:line="142" w:lineRule="exact"/>
              <w:ind w:right="81"/>
              <w:jc w:val="right"/>
              <w:rPr>
                <w:color w:val="auto"/>
                <w:sz w:val="20"/>
                <w:szCs w:val="20"/>
              </w:rPr>
            </w:pPr>
            <w:r>
              <w:rPr>
                <w:rFonts w:ascii="Calibri" w:eastAsia="Calibri" w:hAnsi="Calibri" w:cs="Calibri"/>
                <w:color w:val="auto"/>
                <w:sz w:val="12"/>
                <w:szCs w:val="12"/>
              </w:rPr>
              <w:t>5,978</w:t>
            </w:r>
          </w:p>
        </w:tc>
        <w:tc>
          <w:tcPr>
            <w:tcW w:w="240" w:type="dxa"/>
            <w:tcBorders>
              <w:bottom w:val="single" w:sz="8" w:space="0" w:color="auto"/>
            </w:tcBorders>
            <w:vAlign w:val="bottom"/>
          </w:tcPr>
          <w:p>
            <w:pPr>
              <w:spacing w:after="0" w:line="142" w:lineRule="exact"/>
              <w:ind w:right="104"/>
              <w:jc w:val="right"/>
              <w:rPr>
                <w:color w:val="auto"/>
                <w:sz w:val="20"/>
                <w:szCs w:val="20"/>
              </w:rPr>
            </w:pPr>
            <w:r>
              <w:rPr>
                <w:rFonts w:ascii="Calibri" w:eastAsia="Calibri" w:hAnsi="Calibri" w:cs="Calibri"/>
                <w:color w:val="auto"/>
                <w:w w:val="97"/>
                <w:sz w:val="12"/>
                <w:szCs w:val="12"/>
              </w:rPr>
              <w:t>$</w:t>
            </w:r>
          </w:p>
        </w:tc>
        <w:tc>
          <w:tcPr>
            <w:tcW w:w="124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5,249</w:t>
            </w:r>
          </w:p>
        </w:tc>
        <w:tc>
          <w:tcPr>
            <w:tcW w:w="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80" w:type="dxa"/>
            <w:tcBorders>
              <w:bottom w:val="single" w:sz="8" w:space="0" w:color="auto"/>
            </w:tcBorders>
            <w:vAlign w:val="bottom"/>
          </w:tcPr>
          <w:p>
            <w:pPr>
              <w:spacing w:after="0" w:line="142" w:lineRule="exact"/>
              <w:ind w:right="24"/>
              <w:jc w:val="right"/>
              <w:rPr>
                <w:color w:val="auto"/>
                <w:sz w:val="20"/>
                <w:szCs w:val="20"/>
              </w:rPr>
            </w:pPr>
            <w:r>
              <w:rPr>
                <w:rFonts w:ascii="Calibri" w:eastAsia="Calibri" w:hAnsi="Calibri" w:cs="Calibri"/>
                <w:color w:val="auto"/>
                <w:sz w:val="12"/>
                <w:szCs w:val="12"/>
              </w:rPr>
              <w:t>729</w:t>
            </w:r>
          </w:p>
        </w:tc>
        <w:tc>
          <w:tcPr>
            <w:tcW w:w="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3"/>
        </w:trPr>
        <w:tc>
          <w:tcPr>
            <w:tcW w:w="3560" w:type="dxa"/>
            <w:shd w:val="clear" w:color="auto" w:fill="CCEEFF"/>
            <w:vAlign w:val="bottom"/>
          </w:tcPr>
          <w:p>
            <w:pPr>
              <w:spacing w:after="0" w:line="142" w:lineRule="exact"/>
              <w:rPr>
                <w:color w:val="auto"/>
                <w:sz w:val="20"/>
                <w:szCs w:val="20"/>
              </w:rPr>
            </w:pPr>
            <w:r>
              <w:rPr>
                <w:rFonts w:ascii="Calibri" w:eastAsia="Calibri" w:hAnsi="Calibri" w:cs="Calibri"/>
                <w:b/>
                <w:bCs/>
                <w:color w:val="auto"/>
                <w:sz w:val="12"/>
                <w:szCs w:val="12"/>
              </w:rPr>
              <w:t>Liabilites</w:t>
            </w:r>
          </w:p>
        </w:tc>
        <w:tc>
          <w:tcPr>
            <w:tcW w:w="20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rPr>
                <w:color w:val="auto"/>
                <w:sz w:val="13"/>
                <w:szCs w:val="13"/>
              </w:rPr>
            </w:pPr>
          </w:p>
        </w:tc>
        <w:tc>
          <w:tcPr>
            <w:tcW w:w="140" w:type="dxa"/>
            <w:shd w:val="clear" w:color="auto" w:fill="CCEEFF"/>
            <w:vAlign w:val="bottom"/>
          </w:tcPr>
          <w:p>
            <w:pPr>
              <w:spacing w:after="0"/>
              <w:rPr>
                <w:color w:val="auto"/>
                <w:sz w:val="13"/>
                <w:szCs w:val="13"/>
              </w:rPr>
            </w:pPr>
          </w:p>
        </w:tc>
        <w:tc>
          <w:tcPr>
            <w:tcW w:w="1380" w:type="dxa"/>
            <w:shd w:val="clear" w:color="auto" w:fill="CCEEFF"/>
            <w:vAlign w:val="bottom"/>
          </w:tcPr>
          <w:p>
            <w:pPr>
              <w:spacing w:after="0"/>
              <w:rPr>
                <w:color w:val="auto"/>
                <w:sz w:val="13"/>
                <w:szCs w:val="13"/>
              </w:rPr>
            </w:pPr>
          </w:p>
        </w:tc>
        <w:tc>
          <w:tcPr>
            <w:tcW w:w="14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rPr>
                <w:color w:val="auto"/>
                <w:sz w:val="13"/>
                <w:szCs w:val="13"/>
              </w:rPr>
            </w:pPr>
          </w:p>
        </w:tc>
      </w:tr>
      <w:tr>
        <w:tblPrEx>
          <w:tblInd w:w="0"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Interest rate swap contracts</w:t>
            </w:r>
          </w:p>
        </w:tc>
        <w:tc>
          <w:tcPr>
            <w:tcW w:w="2040" w:type="dxa"/>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80" w:type="dxa"/>
            <w:vAlign w:val="bottom"/>
          </w:tcPr>
          <w:p>
            <w:pPr>
              <w:spacing w:after="0" w:line="142" w:lineRule="exact"/>
              <w:ind w:right="81"/>
              <w:jc w:val="right"/>
              <w:rPr>
                <w:color w:val="auto"/>
                <w:sz w:val="20"/>
                <w:szCs w:val="20"/>
              </w:rPr>
            </w:pPr>
            <w:r>
              <w:rPr>
                <w:rFonts w:ascii="Calibri" w:eastAsia="Calibri" w:hAnsi="Calibri" w:cs="Calibri"/>
                <w:color w:val="auto"/>
                <w:sz w:val="12"/>
                <w:szCs w:val="12"/>
              </w:rPr>
              <w:t>231</w:t>
            </w:r>
          </w:p>
        </w:tc>
        <w:tc>
          <w:tcPr>
            <w:tcW w:w="240" w:type="dxa"/>
            <w:vAlign w:val="bottom"/>
          </w:tcPr>
          <w:p>
            <w:pPr>
              <w:spacing w:after="0" w:line="142" w:lineRule="exact"/>
              <w:ind w:right="104"/>
              <w:jc w:val="right"/>
              <w:rPr>
                <w:color w:val="auto"/>
                <w:sz w:val="20"/>
                <w:szCs w:val="20"/>
              </w:rPr>
            </w:pPr>
            <w:r>
              <w:rPr>
                <w:rFonts w:ascii="Calibri" w:eastAsia="Calibri" w:hAnsi="Calibri" w:cs="Calibri"/>
                <w:color w:val="auto"/>
                <w:w w:val="97"/>
                <w:sz w:val="12"/>
                <w:szCs w:val="12"/>
              </w:rPr>
              <w:t>$</w:t>
            </w: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14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80" w:type="dxa"/>
            <w:vAlign w:val="bottom"/>
          </w:tcPr>
          <w:p>
            <w:pPr>
              <w:spacing w:after="0" w:line="142" w:lineRule="exact"/>
              <w:ind w:right="24"/>
              <w:jc w:val="right"/>
              <w:rPr>
                <w:color w:val="auto"/>
                <w:sz w:val="20"/>
                <w:szCs w:val="20"/>
              </w:rPr>
            </w:pPr>
            <w:r>
              <w:rPr>
                <w:rFonts w:ascii="Calibri" w:eastAsia="Calibri" w:hAnsi="Calibri" w:cs="Calibri"/>
                <w:color w:val="auto"/>
                <w:sz w:val="12"/>
                <w:szCs w:val="12"/>
              </w:rPr>
              <w:t>231</w:t>
            </w:r>
          </w:p>
        </w:tc>
        <w:tc>
          <w:tcPr>
            <w:tcW w:w="14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3560" w:type="dxa"/>
            <w:shd w:val="clear" w:color="auto" w:fill="CCEEFF"/>
            <w:vAlign w:val="bottom"/>
          </w:tcPr>
          <w:p>
            <w:pPr>
              <w:spacing w:after="0"/>
              <w:rPr>
                <w:color w:val="auto"/>
                <w:sz w:val="20"/>
                <w:szCs w:val="20"/>
              </w:rPr>
            </w:pPr>
            <w:r>
              <w:rPr>
                <w:rFonts w:ascii="Calibri" w:eastAsia="Calibri" w:hAnsi="Calibri" w:cs="Calibri"/>
                <w:color w:val="auto"/>
                <w:sz w:val="12"/>
                <w:szCs w:val="12"/>
              </w:rPr>
              <w:t>Foreign currency contracts</w:t>
            </w:r>
          </w:p>
        </w:tc>
        <w:tc>
          <w:tcPr>
            <w:tcW w:w="20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35</w:t>
            </w: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w:t>
            </w:r>
          </w:p>
        </w:tc>
        <w:tc>
          <w:tcPr>
            <w:tcW w:w="140" w:type="dxa"/>
            <w:shd w:val="clear" w:color="auto" w:fill="CCEEFF"/>
            <w:vAlign w:val="bottom"/>
          </w:tcPr>
          <w:p>
            <w:pPr>
              <w:spacing w:after="0"/>
              <w:rPr>
                <w:color w:val="auto"/>
                <w:sz w:val="13"/>
                <w:szCs w:val="13"/>
              </w:rPr>
            </w:pPr>
          </w:p>
        </w:tc>
        <w:tc>
          <w:tcPr>
            <w:tcW w:w="1380" w:type="dxa"/>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35</w:t>
            </w:r>
          </w:p>
        </w:tc>
        <w:tc>
          <w:tcPr>
            <w:tcW w:w="14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Financing liability</w:t>
            </w:r>
          </w:p>
        </w:tc>
        <w:tc>
          <w:tcPr>
            <w:tcW w:w="2040" w:type="dxa"/>
            <w:vAlign w:val="bottom"/>
          </w:tcPr>
          <w:p>
            <w:pPr>
              <w:spacing w:after="0"/>
              <w:rPr>
                <w:color w:val="auto"/>
                <w:sz w:val="12"/>
                <w:szCs w:val="12"/>
              </w:rPr>
            </w:pPr>
          </w:p>
        </w:tc>
        <w:tc>
          <w:tcPr>
            <w:tcW w:w="1180" w:type="dxa"/>
            <w:vAlign w:val="bottom"/>
          </w:tcPr>
          <w:p>
            <w:pPr>
              <w:spacing w:after="0" w:line="142" w:lineRule="exact"/>
              <w:ind w:right="81"/>
              <w:jc w:val="right"/>
              <w:rPr>
                <w:color w:val="auto"/>
                <w:sz w:val="20"/>
                <w:szCs w:val="20"/>
              </w:rPr>
            </w:pPr>
            <w:r>
              <w:rPr>
                <w:rFonts w:ascii="Calibri" w:eastAsia="Calibri" w:hAnsi="Calibri" w:cs="Calibri"/>
                <w:color w:val="auto"/>
                <w:sz w:val="12"/>
                <w:szCs w:val="12"/>
              </w:rPr>
              <w:t>328</w:t>
            </w:r>
          </w:p>
        </w:tc>
        <w:tc>
          <w:tcPr>
            <w:tcW w:w="240" w:type="dxa"/>
            <w:vAlign w:val="bottom"/>
          </w:tcPr>
          <w:p>
            <w:pPr>
              <w:spacing w:after="0"/>
              <w:rPr>
                <w:color w:val="auto"/>
                <w:sz w:val="12"/>
                <w:szCs w:val="12"/>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140" w:type="dxa"/>
            <w:vAlign w:val="bottom"/>
          </w:tcPr>
          <w:p>
            <w:pPr>
              <w:spacing w:after="0"/>
              <w:rPr>
                <w:color w:val="auto"/>
                <w:sz w:val="12"/>
                <w:szCs w:val="12"/>
              </w:rPr>
            </w:pPr>
          </w:p>
        </w:tc>
        <w:tc>
          <w:tcPr>
            <w:tcW w:w="1380" w:type="dxa"/>
            <w:vAlign w:val="bottom"/>
          </w:tcPr>
          <w:p>
            <w:pPr>
              <w:spacing w:after="0" w:line="142" w:lineRule="exact"/>
              <w:ind w:right="24"/>
              <w:jc w:val="right"/>
              <w:rPr>
                <w:color w:val="auto"/>
                <w:sz w:val="20"/>
                <w:szCs w:val="20"/>
              </w:rPr>
            </w:pPr>
            <w:r>
              <w:rPr>
                <w:rFonts w:ascii="Calibri" w:eastAsia="Calibri" w:hAnsi="Calibri" w:cs="Calibri"/>
                <w:color w:val="auto"/>
                <w:sz w:val="12"/>
                <w:szCs w:val="12"/>
              </w:rPr>
              <w:t>—</w:t>
            </w:r>
          </w:p>
        </w:tc>
        <w:tc>
          <w:tcPr>
            <w:tcW w:w="140" w:type="dxa"/>
            <w:vAlign w:val="bottom"/>
          </w:tcPr>
          <w:p>
            <w:pPr>
              <w:spacing w:after="0"/>
              <w:rPr>
                <w:color w:val="auto"/>
                <w:sz w:val="12"/>
                <w:szCs w:val="12"/>
              </w:rPr>
            </w:pPr>
          </w:p>
        </w:tc>
        <w:tc>
          <w:tcPr>
            <w:tcW w:w="13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328</w:t>
            </w:r>
          </w:p>
        </w:tc>
      </w:tr>
      <w:tr>
        <w:tblPrEx>
          <w:tblInd w:w="0" w:type="dxa"/>
          <w:tblLayout w:type="fixed"/>
        </w:tblPrEx>
        <w:trPr>
          <w:trHeight w:val="153"/>
        </w:trPr>
        <w:tc>
          <w:tcPr>
            <w:tcW w:w="35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Contngent consideraton</w:t>
            </w:r>
          </w:p>
        </w:tc>
        <w:tc>
          <w:tcPr>
            <w:tcW w:w="2040" w:type="dxa"/>
            <w:tcBorders>
              <w:bottom w:val="single" w:sz="8" w:space="0" w:color="auto"/>
            </w:tcBorders>
            <w:shd w:val="clear" w:color="auto" w:fill="CCEEFF"/>
            <w:vAlign w:val="bottom"/>
          </w:tcPr>
          <w:p>
            <w:pPr>
              <w:spacing w:after="0"/>
              <w:rPr>
                <w:color w:val="auto"/>
                <w:sz w:val="13"/>
                <w:szCs w:val="13"/>
              </w:rPr>
            </w:pPr>
          </w:p>
        </w:tc>
        <w:tc>
          <w:tcPr>
            <w:tcW w:w="1180" w:type="dxa"/>
            <w:tcBorders>
              <w:bottom w:val="single" w:sz="8" w:space="0" w:color="auto"/>
            </w:tcBorders>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21,666</w:t>
            </w:r>
          </w:p>
        </w:tc>
        <w:tc>
          <w:tcPr>
            <w:tcW w:w="240" w:type="dxa"/>
            <w:tcBorders>
              <w:bottom w:val="single" w:sz="8" w:space="0" w:color="auto"/>
            </w:tcBorders>
            <w:shd w:val="clear" w:color="auto" w:fill="CCEEFF"/>
            <w:vAlign w:val="bottom"/>
          </w:tcPr>
          <w:p>
            <w:pPr>
              <w:spacing w:after="0"/>
              <w:rPr>
                <w:color w:val="auto"/>
                <w:sz w:val="13"/>
                <w:szCs w:val="13"/>
              </w:rPr>
            </w:pPr>
          </w:p>
        </w:tc>
        <w:tc>
          <w:tcPr>
            <w:tcW w:w="1240" w:type="dxa"/>
            <w:tcBorders>
              <w:bottom w:val="single" w:sz="8" w:space="0" w:color="auto"/>
            </w:tcBorders>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w:t>
            </w:r>
          </w:p>
        </w:tc>
        <w:tc>
          <w:tcPr>
            <w:tcW w:w="140" w:type="dxa"/>
            <w:tcBorders>
              <w:bottom w:val="single" w:sz="8" w:space="0" w:color="auto"/>
            </w:tcBorders>
            <w:shd w:val="clear" w:color="auto" w:fill="CCEEFF"/>
            <w:vAlign w:val="bottom"/>
          </w:tcPr>
          <w:p>
            <w:pPr>
              <w:spacing w:after="0"/>
              <w:rPr>
                <w:color w:val="auto"/>
                <w:sz w:val="13"/>
                <w:szCs w:val="13"/>
              </w:rPr>
            </w:pPr>
          </w:p>
        </w:tc>
        <w:tc>
          <w:tcPr>
            <w:tcW w:w="1380" w:type="dxa"/>
            <w:tcBorders>
              <w:bottom w:val="single" w:sz="8" w:space="0" w:color="auto"/>
            </w:tcBorders>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w:t>
            </w:r>
          </w:p>
        </w:tc>
        <w:tc>
          <w:tcPr>
            <w:tcW w:w="140" w:type="dxa"/>
            <w:tcBorders>
              <w:bottom w:val="single" w:sz="8" w:space="0" w:color="auto"/>
            </w:tcBorders>
            <w:shd w:val="clear" w:color="auto" w:fill="CCEEFF"/>
            <w:vAlign w:val="bottom"/>
          </w:tcPr>
          <w:p>
            <w:pPr>
              <w:spacing w:after="0"/>
              <w:rPr>
                <w:color w:val="auto"/>
                <w:sz w:val="13"/>
                <w:szCs w:val="13"/>
              </w:rPr>
            </w:pPr>
          </w:p>
        </w:tc>
        <w:tc>
          <w:tcPr>
            <w:tcW w:w="136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21,666</w:t>
            </w:r>
          </w:p>
        </w:tc>
      </w:tr>
      <w:tr>
        <w:tblPrEx>
          <w:tblInd w:w="0" w:type="dxa"/>
          <w:tblLayout w:type="fixed"/>
        </w:tblPrEx>
        <w:trPr>
          <w:trHeight w:val="142"/>
        </w:trPr>
        <w:tc>
          <w:tcPr>
            <w:tcW w:w="3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liabilites</w:t>
            </w:r>
          </w:p>
        </w:tc>
        <w:tc>
          <w:tcPr>
            <w:tcW w:w="204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80" w:type="dxa"/>
            <w:tcBorders>
              <w:bottom w:val="single" w:sz="8" w:space="0" w:color="auto"/>
            </w:tcBorders>
            <w:vAlign w:val="bottom"/>
          </w:tcPr>
          <w:p>
            <w:pPr>
              <w:spacing w:after="0" w:line="142" w:lineRule="exact"/>
              <w:ind w:right="81"/>
              <w:jc w:val="right"/>
              <w:rPr>
                <w:color w:val="auto"/>
                <w:sz w:val="20"/>
                <w:szCs w:val="20"/>
              </w:rPr>
            </w:pPr>
            <w:r>
              <w:rPr>
                <w:rFonts w:ascii="Calibri" w:eastAsia="Calibri" w:hAnsi="Calibri" w:cs="Calibri"/>
                <w:color w:val="auto"/>
                <w:sz w:val="12"/>
                <w:szCs w:val="12"/>
              </w:rPr>
              <w:t>22,260</w:t>
            </w:r>
          </w:p>
        </w:tc>
        <w:tc>
          <w:tcPr>
            <w:tcW w:w="240" w:type="dxa"/>
            <w:tcBorders>
              <w:bottom w:val="single" w:sz="8" w:space="0" w:color="auto"/>
            </w:tcBorders>
            <w:vAlign w:val="bottom"/>
          </w:tcPr>
          <w:p>
            <w:pPr>
              <w:spacing w:after="0" w:line="142" w:lineRule="exact"/>
              <w:ind w:right="104"/>
              <w:jc w:val="right"/>
              <w:rPr>
                <w:color w:val="auto"/>
                <w:sz w:val="20"/>
                <w:szCs w:val="20"/>
              </w:rPr>
            </w:pPr>
            <w:r>
              <w:rPr>
                <w:rFonts w:ascii="Calibri" w:eastAsia="Calibri" w:hAnsi="Calibri" w:cs="Calibri"/>
                <w:color w:val="auto"/>
                <w:w w:val="97"/>
                <w:sz w:val="12"/>
                <w:szCs w:val="12"/>
              </w:rPr>
              <w:t>$</w:t>
            </w:r>
          </w:p>
        </w:tc>
        <w:tc>
          <w:tcPr>
            <w:tcW w:w="124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80" w:type="dxa"/>
            <w:tcBorders>
              <w:bottom w:val="single" w:sz="8" w:space="0" w:color="auto"/>
            </w:tcBorders>
            <w:vAlign w:val="bottom"/>
          </w:tcPr>
          <w:p>
            <w:pPr>
              <w:spacing w:after="0" w:line="142" w:lineRule="exact"/>
              <w:ind w:right="24"/>
              <w:jc w:val="right"/>
              <w:rPr>
                <w:color w:val="auto"/>
                <w:sz w:val="20"/>
                <w:szCs w:val="20"/>
              </w:rPr>
            </w:pPr>
            <w:r>
              <w:rPr>
                <w:rFonts w:ascii="Calibri" w:eastAsia="Calibri" w:hAnsi="Calibri" w:cs="Calibri"/>
                <w:color w:val="auto"/>
                <w:sz w:val="12"/>
                <w:szCs w:val="12"/>
              </w:rPr>
              <w:t>266</w:t>
            </w:r>
          </w:p>
        </w:tc>
        <w:tc>
          <w:tcPr>
            <w:tcW w:w="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21,994</w:t>
            </w:r>
          </w:p>
        </w:tc>
      </w:tr>
      <w:tr>
        <w:tblPrEx>
          <w:tblInd w:w="0" w:type="dxa"/>
          <w:tblLayout w:type="fixed"/>
        </w:tblPrEx>
        <w:trPr>
          <w:trHeight w:val="20"/>
        </w:trPr>
        <w:tc>
          <w:tcPr>
            <w:tcW w:w="9780" w:type="dxa"/>
            <w:gridSpan w:val="7"/>
            <w:tcBorders>
              <w:bottom w:val="single" w:sz="8" w:space="0" w:color="auto"/>
            </w:tcBorders>
            <w:vAlign w:val="bottom"/>
          </w:tcPr>
          <w:p>
            <w:pPr>
              <w:spacing w:after="0" w:line="20" w:lineRule="exact"/>
              <w:rPr>
                <w:color w:val="auto"/>
                <w:sz w:val="1"/>
                <w:szCs w:val="1"/>
              </w:rPr>
            </w:pPr>
          </w:p>
        </w:tc>
        <w:tc>
          <w:tcPr>
            <w:tcW w:w="140" w:type="dxa"/>
            <w:tcBorders>
              <w:bottom w:val="single" w:sz="8" w:space="0" w:color="auto"/>
            </w:tcBorders>
            <w:vAlign w:val="bottom"/>
          </w:tcPr>
          <w:p>
            <w:pPr>
              <w:spacing w:after="0" w:line="20" w:lineRule="exact"/>
              <w:rPr>
                <w:color w:val="auto"/>
                <w:sz w:val="1"/>
                <w:szCs w:val="1"/>
              </w:rPr>
            </w:pPr>
          </w:p>
        </w:tc>
        <w:tc>
          <w:tcPr>
            <w:tcW w:w="1360" w:type="dxa"/>
            <w:tcBorders>
              <w:bottom w:val="single" w:sz="8" w:space="0" w:color="auto"/>
            </w:tcBorders>
            <w:vAlign w:val="bottom"/>
          </w:tcPr>
          <w:p>
            <w:pPr>
              <w:spacing w:after="0" w:line="20" w:lineRule="exact"/>
              <w:rPr>
                <w:color w:val="auto"/>
                <w:sz w:val="1"/>
                <w:szCs w:val="1"/>
              </w:rPr>
            </w:pPr>
          </w:p>
        </w:tc>
      </w:tr>
      <w:tr>
        <w:tblPrEx>
          <w:tblInd w:w="0" w:type="dxa"/>
          <w:tblLayout w:type="fixed"/>
        </w:tblPrEx>
        <w:trPr>
          <w:trHeight w:val="262"/>
        </w:trPr>
        <w:tc>
          <w:tcPr>
            <w:tcW w:w="9780" w:type="dxa"/>
            <w:gridSpan w:val="7"/>
            <w:vAlign w:val="bottom"/>
          </w:tcPr>
          <w:p>
            <w:pPr>
              <w:spacing w:after="0"/>
              <w:ind w:left="280"/>
              <w:rPr>
                <w:color w:val="auto"/>
                <w:sz w:val="20"/>
                <w:szCs w:val="20"/>
              </w:rPr>
            </w:pPr>
            <w:r>
              <w:rPr>
                <w:rFonts w:ascii="Calibri" w:eastAsia="Calibri" w:hAnsi="Calibri" w:cs="Calibri"/>
                <w:color w:val="auto"/>
                <w:sz w:val="12"/>
                <w:szCs w:val="12"/>
              </w:rPr>
              <w:t>The following table summarizes the bases used to measure certain assets and liabilites carried at fair value on a recurring basis on the consolidated balance sheet as of December 31, 2023:</w:t>
            </w:r>
          </w:p>
        </w:tc>
        <w:tc>
          <w:tcPr>
            <w:tcW w:w="140" w:type="dxa"/>
            <w:vAlign w:val="bottom"/>
          </w:tcPr>
          <w:p>
            <w:pPr>
              <w:spacing w:after="0"/>
              <w:rPr>
                <w:color w:val="auto"/>
                <w:sz w:val="22"/>
                <w:szCs w:val="22"/>
              </w:rPr>
            </w:pPr>
          </w:p>
        </w:tc>
        <w:tc>
          <w:tcPr>
            <w:tcW w:w="1360" w:type="dxa"/>
            <w:vAlign w:val="bottom"/>
          </w:tcPr>
          <w:p>
            <w:pPr>
              <w:spacing w:after="0"/>
              <w:rPr>
                <w:color w:val="auto"/>
                <w:sz w:val="22"/>
                <w:szCs w:val="22"/>
              </w:rPr>
            </w:pPr>
          </w:p>
        </w:tc>
      </w:tr>
      <w:tr>
        <w:tblPrEx>
          <w:tblInd w:w="0" w:type="dxa"/>
          <w:tblLayout w:type="fixed"/>
        </w:tblPrEx>
        <w:trPr>
          <w:trHeight w:val="138"/>
        </w:trPr>
        <w:tc>
          <w:tcPr>
            <w:tcW w:w="3560" w:type="dxa"/>
            <w:vAlign w:val="bottom"/>
          </w:tcPr>
          <w:p>
            <w:pPr>
              <w:spacing w:after="0"/>
              <w:rPr>
                <w:color w:val="auto"/>
                <w:sz w:val="12"/>
                <w:szCs w:val="12"/>
              </w:rPr>
            </w:pPr>
          </w:p>
        </w:tc>
        <w:tc>
          <w:tcPr>
            <w:tcW w:w="2040" w:type="dxa"/>
            <w:vAlign w:val="bottom"/>
          </w:tcPr>
          <w:p>
            <w:pPr>
              <w:spacing w:after="0"/>
              <w:rPr>
                <w:color w:val="auto"/>
                <w:sz w:val="12"/>
                <w:szCs w:val="12"/>
              </w:rPr>
            </w:pPr>
          </w:p>
        </w:tc>
        <w:tc>
          <w:tcPr>
            <w:tcW w:w="1180" w:type="dxa"/>
            <w:vAlign w:val="bottom"/>
          </w:tcPr>
          <w:p>
            <w:pPr>
              <w:spacing w:after="0"/>
              <w:rPr>
                <w:color w:val="auto"/>
                <w:sz w:val="12"/>
                <w:szCs w:val="12"/>
              </w:rPr>
            </w:pPr>
          </w:p>
        </w:tc>
        <w:tc>
          <w:tcPr>
            <w:tcW w:w="240" w:type="dxa"/>
            <w:vAlign w:val="bottom"/>
          </w:tcPr>
          <w:p>
            <w:pPr>
              <w:spacing w:after="0"/>
              <w:rPr>
                <w:color w:val="auto"/>
                <w:sz w:val="12"/>
                <w:szCs w:val="12"/>
              </w:rPr>
            </w:pPr>
          </w:p>
        </w:tc>
        <w:tc>
          <w:tcPr>
            <w:tcW w:w="1240" w:type="dxa"/>
            <w:vAlign w:val="bottom"/>
          </w:tcPr>
          <w:p>
            <w:pPr>
              <w:spacing w:after="0"/>
              <w:rPr>
                <w:color w:val="auto"/>
                <w:sz w:val="12"/>
                <w:szCs w:val="12"/>
              </w:rPr>
            </w:pPr>
          </w:p>
        </w:tc>
        <w:tc>
          <w:tcPr>
            <w:tcW w:w="140" w:type="dxa"/>
            <w:vAlign w:val="bottom"/>
          </w:tcPr>
          <w:p>
            <w:pPr>
              <w:spacing w:after="0"/>
              <w:rPr>
                <w:color w:val="auto"/>
                <w:sz w:val="12"/>
                <w:szCs w:val="12"/>
              </w:rPr>
            </w:pPr>
          </w:p>
        </w:tc>
        <w:tc>
          <w:tcPr>
            <w:tcW w:w="1380" w:type="dxa"/>
            <w:vAlign w:val="bottom"/>
          </w:tcPr>
          <w:p>
            <w:pPr>
              <w:spacing w:after="0"/>
              <w:ind w:right="64"/>
              <w:jc w:val="center"/>
              <w:rPr>
                <w:color w:val="auto"/>
                <w:sz w:val="20"/>
                <w:szCs w:val="20"/>
              </w:rPr>
            </w:pPr>
            <w:r>
              <w:rPr>
                <w:rFonts w:ascii="Calibri" w:eastAsia="Calibri" w:hAnsi="Calibri" w:cs="Calibri"/>
                <w:b/>
                <w:bCs/>
                <w:color w:val="auto"/>
                <w:w w:val="94"/>
                <w:sz w:val="10"/>
                <w:szCs w:val="10"/>
              </w:rPr>
              <w:t>Basis of fair value measurement</w:t>
            </w:r>
          </w:p>
        </w:tc>
        <w:tc>
          <w:tcPr>
            <w:tcW w:w="140" w:type="dxa"/>
            <w:vAlign w:val="bottom"/>
          </w:tcPr>
          <w:p>
            <w:pPr>
              <w:spacing w:after="0"/>
              <w:rPr>
                <w:color w:val="auto"/>
                <w:sz w:val="12"/>
                <w:szCs w:val="12"/>
              </w:rPr>
            </w:pPr>
          </w:p>
        </w:tc>
        <w:tc>
          <w:tcPr>
            <w:tcW w:w="1360" w:type="dxa"/>
            <w:vAlign w:val="bottom"/>
          </w:tcPr>
          <w:p>
            <w:pPr>
              <w:spacing w:after="0"/>
              <w:rPr>
                <w:color w:val="auto"/>
                <w:sz w:val="12"/>
                <w:szCs w:val="12"/>
              </w:rPr>
            </w:pPr>
          </w:p>
        </w:tc>
      </w:tr>
      <w:tr>
        <w:tblPrEx>
          <w:tblInd w:w="0" w:type="dxa"/>
          <w:tblLayout w:type="fixed"/>
        </w:tblPrEx>
        <w:trPr>
          <w:trHeight w:val="32"/>
        </w:trPr>
        <w:tc>
          <w:tcPr>
            <w:tcW w:w="3560" w:type="dxa"/>
            <w:vAlign w:val="bottom"/>
          </w:tcPr>
          <w:p>
            <w:pPr>
              <w:spacing w:after="0"/>
              <w:rPr>
                <w:color w:val="auto"/>
                <w:sz w:val="2"/>
                <w:szCs w:val="2"/>
              </w:rPr>
            </w:pPr>
          </w:p>
        </w:tc>
        <w:tc>
          <w:tcPr>
            <w:tcW w:w="2040" w:type="dxa"/>
            <w:vAlign w:val="bottom"/>
          </w:tcPr>
          <w:p>
            <w:pPr>
              <w:spacing w:after="0"/>
              <w:rPr>
                <w:color w:val="auto"/>
                <w:sz w:val="2"/>
                <w:szCs w:val="2"/>
              </w:rPr>
            </w:pPr>
          </w:p>
        </w:tc>
        <w:tc>
          <w:tcPr>
            <w:tcW w:w="1180" w:type="dxa"/>
            <w:vAlign w:val="bottom"/>
          </w:tcPr>
          <w:p>
            <w:pPr>
              <w:spacing w:after="0"/>
              <w:rPr>
                <w:color w:val="auto"/>
                <w:sz w:val="2"/>
                <w:szCs w:val="2"/>
              </w:rPr>
            </w:pPr>
          </w:p>
        </w:tc>
        <w:tc>
          <w:tcPr>
            <w:tcW w:w="1480" w:type="dxa"/>
            <w:gridSpan w:val="2"/>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38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360" w:type="dxa"/>
            <w:tcBorders>
              <w:bottom w:val="single" w:sz="8" w:space="0" w:color="auto"/>
            </w:tcBorders>
            <w:vAlign w:val="bottom"/>
          </w:tcPr>
          <w:p>
            <w:pPr>
              <w:spacing w:after="0"/>
              <w:rPr>
                <w:color w:val="auto"/>
                <w:sz w:val="2"/>
                <w:szCs w:val="2"/>
              </w:rPr>
            </w:pPr>
          </w:p>
        </w:tc>
      </w:tr>
      <w:tr>
        <w:tblPrEx>
          <w:tblInd w:w="0" w:type="dxa"/>
          <w:tblLayout w:type="fixed"/>
        </w:tblPrEx>
        <w:trPr>
          <w:trHeight w:val="79"/>
        </w:trPr>
        <w:tc>
          <w:tcPr>
            <w:tcW w:w="3560" w:type="dxa"/>
            <w:vAlign w:val="bottom"/>
          </w:tcPr>
          <w:p>
            <w:pPr>
              <w:spacing w:after="0"/>
              <w:rPr>
                <w:color w:val="auto"/>
                <w:sz w:val="6"/>
                <w:szCs w:val="6"/>
              </w:rPr>
            </w:pPr>
          </w:p>
        </w:tc>
        <w:tc>
          <w:tcPr>
            <w:tcW w:w="2040" w:type="dxa"/>
            <w:vAlign w:val="bottom"/>
          </w:tcPr>
          <w:p>
            <w:pPr>
              <w:spacing w:after="0"/>
              <w:rPr>
                <w:color w:val="auto"/>
                <w:sz w:val="6"/>
                <w:szCs w:val="6"/>
              </w:rPr>
            </w:pPr>
          </w:p>
        </w:tc>
        <w:tc>
          <w:tcPr>
            <w:tcW w:w="1180" w:type="dxa"/>
            <w:vAlign w:val="bottom"/>
          </w:tcPr>
          <w:p>
            <w:pPr>
              <w:spacing w:after="0"/>
              <w:rPr>
                <w:color w:val="auto"/>
                <w:sz w:val="6"/>
                <w:szCs w:val="6"/>
              </w:rPr>
            </w:pPr>
          </w:p>
        </w:tc>
        <w:tc>
          <w:tcPr>
            <w:tcW w:w="1480" w:type="dxa"/>
            <w:gridSpan w:val="2"/>
            <w:vAlign w:val="bottom"/>
          </w:tcPr>
          <w:p>
            <w:pPr>
              <w:spacing w:after="0" w:line="79" w:lineRule="exact"/>
              <w:jc w:val="center"/>
              <w:rPr>
                <w:color w:val="auto"/>
                <w:sz w:val="20"/>
                <w:szCs w:val="20"/>
              </w:rPr>
            </w:pPr>
            <w:r>
              <w:rPr>
                <w:rFonts w:ascii="Calibri" w:eastAsia="Calibri" w:hAnsi="Calibri" w:cs="Calibri"/>
                <w:b/>
                <w:bCs/>
                <w:color w:val="auto"/>
                <w:sz w:val="8"/>
                <w:szCs w:val="8"/>
              </w:rPr>
              <w:t>Quoted prices in actve markets for</w:t>
            </w:r>
          </w:p>
        </w:tc>
        <w:tc>
          <w:tcPr>
            <w:tcW w:w="140" w:type="dxa"/>
            <w:vAlign w:val="bottom"/>
          </w:tcPr>
          <w:p>
            <w:pPr>
              <w:spacing w:after="0"/>
              <w:rPr>
                <w:color w:val="auto"/>
                <w:sz w:val="6"/>
                <w:szCs w:val="6"/>
              </w:rPr>
            </w:pPr>
          </w:p>
        </w:tc>
        <w:tc>
          <w:tcPr>
            <w:tcW w:w="1380" w:type="dxa"/>
            <w:vAlign w:val="bottom"/>
          </w:tcPr>
          <w:p>
            <w:pPr>
              <w:spacing w:after="0" w:line="79" w:lineRule="exact"/>
              <w:ind w:right="64"/>
              <w:jc w:val="center"/>
              <w:rPr>
                <w:color w:val="auto"/>
                <w:sz w:val="20"/>
                <w:szCs w:val="20"/>
              </w:rPr>
            </w:pPr>
            <w:r>
              <w:rPr>
                <w:rFonts w:ascii="Calibri" w:eastAsia="Calibri" w:hAnsi="Calibri" w:cs="Calibri"/>
                <w:b/>
                <w:bCs/>
                <w:color w:val="auto"/>
                <w:sz w:val="8"/>
                <w:szCs w:val="8"/>
              </w:rPr>
              <w:t>Signifcant other observable</w:t>
            </w:r>
          </w:p>
        </w:tc>
        <w:tc>
          <w:tcPr>
            <w:tcW w:w="140" w:type="dxa"/>
            <w:vAlign w:val="bottom"/>
          </w:tcPr>
          <w:p>
            <w:pPr>
              <w:spacing w:after="0"/>
              <w:rPr>
                <w:color w:val="auto"/>
                <w:sz w:val="6"/>
                <w:szCs w:val="6"/>
              </w:rPr>
            </w:pPr>
          </w:p>
        </w:tc>
        <w:tc>
          <w:tcPr>
            <w:tcW w:w="1360" w:type="dxa"/>
            <w:vAlign w:val="bottom"/>
          </w:tcPr>
          <w:p>
            <w:pPr>
              <w:spacing w:after="0"/>
              <w:rPr>
                <w:color w:val="auto"/>
                <w:sz w:val="6"/>
                <w:szCs w:val="6"/>
              </w:rPr>
            </w:pPr>
          </w:p>
        </w:tc>
      </w:tr>
      <w:tr>
        <w:tblPrEx>
          <w:tblInd w:w="0" w:type="dxa"/>
          <w:tblLayout w:type="fixed"/>
        </w:tblPrEx>
        <w:trPr>
          <w:trHeight w:val="90"/>
        </w:trPr>
        <w:tc>
          <w:tcPr>
            <w:tcW w:w="3560" w:type="dxa"/>
            <w:vAlign w:val="bottom"/>
          </w:tcPr>
          <w:p>
            <w:pPr>
              <w:spacing w:after="0"/>
              <w:rPr>
                <w:color w:val="auto"/>
                <w:sz w:val="7"/>
                <w:szCs w:val="7"/>
              </w:rPr>
            </w:pPr>
          </w:p>
        </w:tc>
        <w:tc>
          <w:tcPr>
            <w:tcW w:w="2040" w:type="dxa"/>
            <w:vAlign w:val="bottom"/>
          </w:tcPr>
          <w:p>
            <w:pPr>
              <w:spacing w:after="0"/>
              <w:rPr>
                <w:color w:val="auto"/>
                <w:sz w:val="7"/>
                <w:szCs w:val="7"/>
              </w:rPr>
            </w:pPr>
          </w:p>
        </w:tc>
        <w:tc>
          <w:tcPr>
            <w:tcW w:w="1180" w:type="dxa"/>
            <w:vAlign w:val="bottom"/>
          </w:tcPr>
          <w:p>
            <w:pPr>
              <w:spacing w:after="0"/>
              <w:rPr>
                <w:color w:val="auto"/>
                <w:sz w:val="7"/>
                <w:szCs w:val="7"/>
              </w:rPr>
            </w:pPr>
          </w:p>
        </w:tc>
        <w:tc>
          <w:tcPr>
            <w:tcW w:w="240" w:type="dxa"/>
            <w:vAlign w:val="bottom"/>
          </w:tcPr>
          <w:p>
            <w:pPr>
              <w:spacing w:after="0"/>
              <w:rPr>
                <w:color w:val="auto"/>
                <w:sz w:val="7"/>
                <w:szCs w:val="7"/>
              </w:rPr>
            </w:pPr>
          </w:p>
        </w:tc>
        <w:tc>
          <w:tcPr>
            <w:tcW w:w="1240" w:type="dxa"/>
            <w:vAlign w:val="bottom"/>
          </w:tcPr>
          <w:p>
            <w:pPr>
              <w:spacing w:after="0" w:line="90" w:lineRule="exact"/>
              <w:ind w:right="242"/>
              <w:jc w:val="center"/>
              <w:rPr>
                <w:color w:val="auto"/>
                <w:sz w:val="20"/>
                <w:szCs w:val="20"/>
              </w:rPr>
            </w:pPr>
            <w:r>
              <w:rPr>
                <w:rFonts w:ascii="Calibri" w:eastAsia="Calibri" w:hAnsi="Calibri" w:cs="Calibri"/>
                <w:b/>
                <w:bCs/>
                <w:color w:val="auto"/>
                <w:sz w:val="8"/>
                <w:szCs w:val="8"/>
              </w:rPr>
              <w:t>identcal assets</w:t>
            </w:r>
          </w:p>
        </w:tc>
        <w:tc>
          <w:tcPr>
            <w:tcW w:w="140" w:type="dxa"/>
            <w:vAlign w:val="bottom"/>
          </w:tcPr>
          <w:p>
            <w:pPr>
              <w:spacing w:after="0"/>
              <w:rPr>
                <w:color w:val="auto"/>
                <w:sz w:val="7"/>
                <w:szCs w:val="7"/>
              </w:rPr>
            </w:pPr>
          </w:p>
        </w:tc>
        <w:tc>
          <w:tcPr>
            <w:tcW w:w="1380" w:type="dxa"/>
            <w:vAlign w:val="bottom"/>
          </w:tcPr>
          <w:p>
            <w:pPr>
              <w:spacing w:after="0" w:line="90" w:lineRule="exact"/>
              <w:ind w:right="44"/>
              <w:jc w:val="center"/>
              <w:rPr>
                <w:color w:val="auto"/>
                <w:sz w:val="20"/>
                <w:szCs w:val="20"/>
              </w:rPr>
            </w:pPr>
            <w:r>
              <w:rPr>
                <w:rFonts w:ascii="Calibri" w:eastAsia="Calibri" w:hAnsi="Calibri" w:cs="Calibri"/>
                <w:b/>
                <w:bCs/>
                <w:color w:val="auto"/>
                <w:sz w:val="8"/>
                <w:szCs w:val="8"/>
              </w:rPr>
              <w:t>inputs</w:t>
            </w:r>
          </w:p>
        </w:tc>
        <w:tc>
          <w:tcPr>
            <w:tcW w:w="140" w:type="dxa"/>
            <w:vAlign w:val="bottom"/>
          </w:tcPr>
          <w:p>
            <w:pPr>
              <w:spacing w:after="0"/>
              <w:rPr>
                <w:color w:val="auto"/>
                <w:sz w:val="7"/>
                <w:szCs w:val="7"/>
              </w:rPr>
            </w:pPr>
          </w:p>
        </w:tc>
        <w:tc>
          <w:tcPr>
            <w:tcW w:w="1360" w:type="dxa"/>
            <w:vAlign w:val="bottom"/>
          </w:tcPr>
          <w:p>
            <w:pPr>
              <w:spacing w:after="0" w:line="90" w:lineRule="exact"/>
              <w:ind w:right="22"/>
              <w:jc w:val="center"/>
              <w:rPr>
                <w:color w:val="auto"/>
                <w:sz w:val="20"/>
                <w:szCs w:val="20"/>
              </w:rPr>
            </w:pPr>
            <w:r>
              <w:rPr>
                <w:rFonts w:ascii="Calibri" w:eastAsia="Calibri" w:hAnsi="Calibri" w:cs="Calibri"/>
                <w:b/>
                <w:bCs/>
                <w:color w:val="auto"/>
                <w:sz w:val="8"/>
                <w:szCs w:val="8"/>
              </w:rPr>
              <w:t>Signifcant unobservable inputs</w:t>
            </w:r>
          </w:p>
        </w:tc>
      </w:tr>
      <w:tr>
        <w:tblPrEx>
          <w:tblInd w:w="0" w:type="dxa"/>
          <w:tblLayout w:type="fixed"/>
        </w:tblPrEx>
        <w:trPr>
          <w:trHeight w:val="121"/>
        </w:trPr>
        <w:tc>
          <w:tcPr>
            <w:tcW w:w="3560" w:type="dxa"/>
            <w:vAlign w:val="bottom"/>
          </w:tcPr>
          <w:p>
            <w:pPr>
              <w:spacing w:after="0" w:line="112" w:lineRule="exact"/>
              <w:rPr>
                <w:color w:val="auto"/>
                <w:sz w:val="20"/>
                <w:szCs w:val="20"/>
              </w:rPr>
            </w:pPr>
            <w:r>
              <w:rPr>
                <w:rFonts w:ascii="Calibri" w:eastAsia="Calibri" w:hAnsi="Calibri" w:cs="Calibri"/>
                <w:b/>
                <w:bCs/>
                <w:color w:val="auto"/>
                <w:sz w:val="10"/>
                <w:szCs w:val="10"/>
              </w:rPr>
              <w:t>(in millions)</w:t>
            </w:r>
          </w:p>
        </w:tc>
        <w:tc>
          <w:tcPr>
            <w:tcW w:w="2040" w:type="dxa"/>
            <w:vAlign w:val="bottom"/>
          </w:tcPr>
          <w:p>
            <w:pPr>
              <w:spacing w:after="0"/>
              <w:rPr>
                <w:color w:val="auto"/>
                <w:sz w:val="10"/>
                <w:szCs w:val="10"/>
              </w:rPr>
            </w:pPr>
          </w:p>
        </w:tc>
        <w:tc>
          <w:tcPr>
            <w:tcW w:w="1180" w:type="dxa"/>
            <w:vAlign w:val="bottom"/>
          </w:tcPr>
          <w:p>
            <w:pPr>
              <w:spacing w:after="0" w:line="112" w:lineRule="exact"/>
              <w:ind w:right="661"/>
              <w:jc w:val="right"/>
              <w:rPr>
                <w:color w:val="auto"/>
                <w:sz w:val="20"/>
                <w:szCs w:val="20"/>
              </w:rPr>
            </w:pPr>
            <w:r>
              <w:rPr>
                <w:rFonts w:ascii="Calibri" w:eastAsia="Calibri" w:hAnsi="Calibri" w:cs="Calibri"/>
                <w:b/>
                <w:bCs/>
                <w:color w:val="auto"/>
                <w:sz w:val="10"/>
                <w:szCs w:val="10"/>
              </w:rPr>
              <w:t>Total</w:t>
            </w:r>
          </w:p>
        </w:tc>
        <w:tc>
          <w:tcPr>
            <w:tcW w:w="240" w:type="dxa"/>
            <w:vAlign w:val="bottom"/>
          </w:tcPr>
          <w:p>
            <w:pPr>
              <w:spacing w:after="0"/>
              <w:rPr>
                <w:color w:val="auto"/>
                <w:sz w:val="10"/>
                <w:szCs w:val="10"/>
              </w:rPr>
            </w:pPr>
          </w:p>
        </w:tc>
        <w:tc>
          <w:tcPr>
            <w:tcW w:w="1240" w:type="dxa"/>
            <w:vAlign w:val="bottom"/>
          </w:tcPr>
          <w:p>
            <w:pPr>
              <w:spacing w:after="0" w:line="112" w:lineRule="exact"/>
              <w:ind w:right="202"/>
              <w:jc w:val="center"/>
              <w:rPr>
                <w:color w:val="auto"/>
                <w:sz w:val="20"/>
                <w:szCs w:val="20"/>
              </w:rPr>
            </w:pPr>
            <w:r>
              <w:rPr>
                <w:rFonts w:ascii="Calibri" w:eastAsia="Calibri" w:hAnsi="Calibri" w:cs="Calibri"/>
                <w:b/>
                <w:bCs/>
                <w:color w:val="auto"/>
                <w:w w:val="96"/>
                <w:sz w:val="10"/>
                <w:szCs w:val="10"/>
              </w:rPr>
              <w:t>(Level 1)</w:t>
            </w:r>
          </w:p>
        </w:tc>
        <w:tc>
          <w:tcPr>
            <w:tcW w:w="140" w:type="dxa"/>
            <w:vAlign w:val="bottom"/>
          </w:tcPr>
          <w:p>
            <w:pPr>
              <w:spacing w:after="0"/>
              <w:rPr>
                <w:color w:val="auto"/>
                <w:sz w:val="10"/>
                <w:szCs w:val="10"/>
              </w:rPr>
            </w:pPr>
          </w:p>
        </w:tc>
        <w:tc>
          <w:tcPr>
            <w:tcW w:w="1380" w:type="dxa"/>
            <w:vAlign w:val="bottom"/>
          </w:tcPr>
          <w:p>
            <w:pPr>
              <w:spacing w:after="0" w:line="112" w:lineRule="exact"/>
              <w:ind w:right="24"/>
              <w:jc w:val="center"/>
              <w:rPr>
                <w:color w:val="auto"/>
                <w:sz w:val="20"/>
                <w:szCs w:val="20"/>
              </w:rPr>
            </w:pPr>
            <w:r>
              <w:rPr>
                <w:rFonts w:ascii="Calibri" w:eastAsia="Calibri" w:hAnsi="Calibri" w:cs="Calibri"/>
                <w:b/>
                <w:bCs/>
                <w:color w:val="auto"/>
                <w:w w:val="96"/>
                <w:sz w:val="10"/>
                <w:szCs w:val="10"/>
              </w:rPr>
              <w:t>(Level 2)</w:t>
            </w:r>
          </w:p>
        </w:tc>
        <w:tc>
          <w:tcPr>
            <w:tcW w:w="140" w:type="dxa"/>
            <w:vAlign w:val="bottom"/>
          </w:tcPr>
          <w:p>
            <w:pPr>
              <w:spacing w:after="0"/>
              <w:rPr>
                <w:color w:val="auto"/>
                <w:sz w:val="10"/>
                <w:szCs w:val="10"/>
              </w:rPr>
            </w:pPr>
          </w:p>
        </w:tc>
        <w:tc>
          <w:tcPr>
            <w:tcW w:w="1360" w:type="dxa"/>
            <w:vAlign w:val="bottom"/>
          </w:tcPr>
          <w:p>
            <w:pPr>
              <w:spacing w:after="0" w:line="121" w:lineRule="exact"/>
              <w:ind w:right="2"/>
              <w:jc w:val="center"/>
              <w:rPr>
                <w:color w:val="auto"/>
                <w:sz w:val="20"/>
                <w:szCs w:val="20"/>
              </w:rPr>
            </w:pPr>
            <w:r>
              <w:rPr>
                <w:rFonts w:ascii="Calibri" w:eastAsia="Calibri" w:hAnsi="Calibri" w:cs="Calibri"/>
                <w:b/>
                <w:bCs/>
                <w:color w:val="auto"/>
                <w:w w:val="96"/>
                <w:sz w:val="10"/>
                <w:szCs w:val="10"/>
              </w:rPr>
              <w:t>(Level 3)</w:t>
            </w:r>
          </w:p>
        </w:tc>
      </w:tr>
      <w:tr>
        <w:tblPrEx>
          <w:tblInd w:w="0" w:type="dxa"/>
          <w:tblLayout w:type="fixed"/>
        </w:tblPrEx>
        <w:trPr>
          <w:trHeight w:val="23"/>
        </w:trPr>
        <w:tc>
          <w:tcPr>
            <w:tcW w:w="3560" w:type="dxa"/>
            <w:tcBorders>
              <w:bottom w:val="single" w:sz="8" w:space="0" w:color="auto"/>
            </w:tcBorders>
            <w:vAlign w:val="bottom"/>
          </w:tcPr>
          <w:p>
            <w:pPr>
              <w:spacing w:after="0"/>
              <w:rPr>
                <w:color w:val="auto"/>
                <w:sz w:val="2"/>
                <w:szCs w:val="2"/>
              </w:rPr>
            </w:pPr>
          </w:p>
        </w:tc>
        <w:tc>
          <w:tcPr>
            <w:tcW w:w="2040" w:type="dxa"/>
            <w:tcBorders>
              <w:bottom w:val="single" w:sz="8" w:space="0" w:color="auto"/>
            </w:tcBorders>
            <w:vAlign w:val="bottom"/>
          </w:tcPr>
          <w:p>
            <w:pPr>
              <w:spacing w:after="0"/>
              <w:rPr>
                <w:color w:val="auto"/>
                <w:sz w:val="2"/>
                <w:szCs w:val="2"/>
              </w:rPr>
            </w:pPr>
          </w:p>
        </w:tc>
        <w:tc>
          <w:tcPr>
            <w:tcW w:w="1180" w:type="dxa"/>
            <w:tcBorders>
              <w:bottom w:val="single" w:sz="8" w:space="0" w:color="auto"/>
            </w:tcBorders>
            <w:vAlign w:val="bottom"/>
          </w:tcPr>
          <w:p>
            <w:pPr>
              <w:spacing w:after="0"/>
              <w:rPr>
                <w:color w:val="auto"/>
                <w:sz w:val="2"/>
                <w:szCs w:val="2"/>
              </w:rPr>
            </w:pPr>
          </w:p>
        </w:tc>
        <w:tc>
          <w:tcPr>
            <w:tcW w:w="24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38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36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3560" w:type="dxa"/>
            <w:vAlign w:val="bottom"/>
          </w:tcPr>
          <w:p>
            <w:pPr>
              <w:spacing w:after="0" w:line="137" w:lineRule="exact"/>
              <w:rPr>
                <w:color w:val="auto"/>
                <w:sz w:val="20"/>
                <w:szCs w:val="20"/>
              </w:rPr>
            </w:pPr>
            <w:r>
              <w:rPr>
                <w:rFonts w:ascii="Calibri" w:eastAsia="Calibri" w:hAnsi="Calibri" w:cs="Calibri"/>
                <w:b/>
                <w:bCs/>
                <w:color w:val="auto"/>
                <w:sz w:val="12"/>
                <w:szCs w:val="12"/>
              </w:rPr>
              <w:t>Assets</w:t>
            </w:r>
          </w:p>
        </w:tc>
        <w:tc>
          <w:tcPr>
            <w:tcW w:w="2040" w:type="dxa"/>
            <w:vAlign w:val="bottom"/>
          </w:tcPr>
          <w:p>
            <w:pPr>
              <w:spacing w:after="0"/>
              <w:rPr>
                <w:color w:val="auto"/>
                <w:sz w:val="11"/>
                <w:szCs w:val="11"/>
              </w:rPr>
            </w:pPr>
          </w:p>
        </w:tc>
        <w:tc>
          <w:tcPr>
            <w:tcW w:w="1180" w:type="dxa"/>
            <w:vAlign w:val="bottom"/>
          </w:tcPr>
          <w:p>
            <w:pPr>
              <w:spacing w:after="0"/>
              <w:rPr>
                <w:color w:val="auto"/>
                <w:sz w:val="11"/>
                <w:szCs w:val="11"/>
              </w:rPr>
            </w:pPr>
          </w:p>
        </w:tc>
        <w:tc>
          <w:tcPr>
            <w:tcW w:w="240" w:type="dxa"/>
            <w:vAlign w:val="bottom"/>
          </w:tcPr>
          <w:p>
            <w:pPr>
              <w:spacing w:after="0"/>
              <w:rPr>
                <w:color w:val="auto"/>
                <w:sz w:val="11"/>
                <w:szCs w:val="11"/>
              </w:rPr>
            </w:pPr>
          </w:p>
        </w:tc>
        <w:tc>
          <w:tcPr>
            <w:tcW w:w="124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138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1360" w:type="dxa"/>
            <w:vAlign w:val="bottom"/>
          </w:tcPr>
          <w:p>
            <w:pPr>
              <w:spacing w:after="0"/>
              <w:rPr>
                <w:color w:val="auto"/>
                <w:sz w:val="11"/>
                <w:szCs w:val="11"/>
              </w:rPr>
            </w:pPr>
          </w:p>
        </w:tc>
      </w:tr>
      <w:tr>
        <w:tblPrEx>
          <w:tblInd w:w="0" w:type="dxa"/>
          <w:tblLayout w:type="fixed"/>
        </w:tblPrEx>
        <w:trPr>
          <w:trHeight w:val="159"/>
        </w:trPr>
        <w:tc>
          <w:tcPr>
            <w:tcW w:w="3560" w:type="dxa"/>
            <w:shd w:val="clear" w:color="auto" w:fill="CCEEFF"/>
            <w:vAlign w:val="bottom"/>
          </w:tcPr>
          <w:p>
            <w:pPr>
              <w:spacing w:after="0"/>
              <w:rPr>
                <w:color w:val="auto"/>
                <w:sz w:val="20"/>
                <w:szCs w:val="20"/>
              </w:rPr>
            </w:pPr>
            <w:r>
              <w:rPr>
                <w:rFonts w:ascii="Calibri" w:eastAsia="Calibri" w:hAnsi="Calibri" w:cs="Calibri"/>
                <w:color w:val="auto"/>
                <w:sz w:val="12"/>
                <w:szCs w:val="12"/>
              </w:rPr>
              <w:t>Cash and equivalents</w:t>
            </w:r>
          </w:p>
        </w:tc>
        <w:tc>
          <w:tcPr>
            <w:tcW w:w="204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80" w:type="dxa"/>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12,814</w:t>
            </w:r>
          </w:p>
        </w:tc>
        <w:tc>
          <w:tcPr>
            <w:tcW w:w="240" w:type="dxa"/>
            <w:shd w:val="clear" w:color="auto" w:fill="CCEEFF"/>
            <w:vAlign w:val="bottom"/>
          </w:tcPr>
          <w:p>
            <w:pPr>
              <w:spacing w:after="0"/>
              <w:ind w:right="104"/>
              <w:jc w:val="right"/>
              <w:rPr>
                <w:color w:val="auto"/>
                <w:sz w:val="20"/>
                <w:szCs w:val="20"/>
              </w:rPr>
            </w:pPr>
            <w:r>
              <w:rPr>
                <w:rFonts w:ascii="Calibri" w:eastAsia="Calibri" w:hAnsi="Calibri" w:cs="Calibri"/>
                <w:color w:val="auto"/>
                <w:w w:val="97"/>
                <w:sz w:val="12"/>
                <w:szCs w:val="12"/>
              </w:rPr>
              <w:t>$</w:t>
            </w: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6,223</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380" w:type="dxa"/>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6,591</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3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Money market funds and tme deposits</w:t>
            </w:r>
          </w:p>
        </w:tc>
        <w:tc>
          <w:tcPr>
            <w:tcW w:w="2040" w:type="dxa"/>
            <w:vAlign w:val="bottom"/>
          </w:tcPr>
          <w:p>
            <w:pPr>
              <w:spacing w:after="0"/>
              <w:rPr>
                <w:color w:val="auto"/>
                <w:sz w:val="12"/>
                <w:szCs w:val="12"/>
              </w:rPr>
            </w:pPr>
          </w:p>
        </w:tc>
        <w:tc>
          <w:tcPr>
            <w:tcW w:w="1180" w:type="dxa"/>
            <w:vAlign w:val="bottom"/>
          </w:tcPr>
          <w:p>
            <w:pPr>
              <w:spacing w:after="0" w:line="142" w:lineRule="exact"/>
              <w:ind w:right="81"/>
              <w:jc w:val="right"/>
              <w:rPr>
                <w:color w:val="auto"/>
                <w:sz w:val="20"/>
                <w:szCs w:val="20"/>
              </w:rPr>
            </w:pPr>
            <w:r>
              <w:rPr>
                <w:rFonts w:ascii="Calibri" w:eastAsia="Calibri" w:hAnsi="Calibri" w:cs="Calibri"/>
                <w:color w:val="auto"/>
                <w:sz w:val="12"/>
                <w:szCs w:val="12"/>
              </w:rPr>
              <w:t>10</w:t>
            </w:r>
          </w:p>
        </w:tc>
        <w:tc>
          <w:tcPr>
            <w:tcW w:w="240" w:type="dxa"/>
            <w:vAlign w:val="bottom"/>
          </w:tcPr>
          <w:p>
            <w:pPr>
              <w:spacing w:after="0"/>
              <w:rPr>
                <w:color w:val="auto"/>
                <w:sz w:val="12"/>
                <w:szCs w:val="12"/>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140" w:type="dxa"/>
            <w:vAlign w:val="bottom"/>
          </w:tcPr>
          <w:p>
            <w:pPr>
              <w:spacing w:after="0"/>
              <w:rPr>
                <w:color w:val="auto"/>
                <w:sz w:val="12"/>
                <w:szCs w:val="12"/>
              </w:rPr>
            </w:pPr>
          </w:p>
        </w:tc>
        <w:tc>
          <w:tcPr>
            <w:tcW w:w="1380" w:type="dxa"/>
            <w:vAlign w:val="bottom"/>
          </w:tcPr>
          <w:p>
            <w:pPr>
              <w:spacing w:after="0" w:line="142" w:lineRule="exact"/>
              <w:ind w:right="24"/>
              <w:jc w:val="right"/>
              <w:rPr>
                <w:color w:val="auto"/>
                <w:sz w:val="20"/>
                <w:szCs w:val="20"/>
              </w:rPr>
            </w:pPr>
            <w:r>
              <w:rPr>
                <w:rFonts w:ascii="Calibri" w:eastAsia="Calibri" w:hAnsi="Calibri" w:cs="Calibri"/>
                <w:color w:val="auto"/>
                <w:sz w:val="12"/>
                <w:szCs w:val="12"/>
              </w:rPr>
              <w:t>10</w:t>
            </w:r>
          </w:p>
        </w:tc>
        <w:tc>
          <w:tcPr>
            <w:tcW w:w="140" w:type="dxa"/>
            <w:vAlign w:val="bottom"/>
          </w:tcPr>
          <w:p>
            <w:pPr>
              <w:spacing w:after="0"/>
              <w:rPr>
                <w:color w:val="auto"/>
                <w:sz w:val="12"/>
                <w:szCs w:val="12"/>
              </w:rPr>
            </w:pPr>
          </w:p>
        </w:tc>
        <w:tc>
          <w:tcPr>
            <w:tcW w:w="13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3560" w:type="dxa"/>
            <w:shd w:val="clear" w:color="auto" w:fill="CCEEFF"/>
            <w:vAlign w:val="bottom"/>
          </w:tcPr>
          <w:p>
            <w:pPr>
              <w:spacing w:after="0"/>
              <w:rPr>
                <w:color w:val="auto"/>
                <w:sz w:val="20"/>
                <w:szCs w:val="20"/>
              </w:rPr>
            </w:pPr>
            <w:r>
              <w:rPr>
                <w:rFonts w:ascii="Calibri" w:eastAsia="Calibri" w:hAnsi="Calibri" w:cs="Calibri"/>
                <w:color w:val="auto"/>
                <w:sz w:val="12"/>
                <w:szCs w:val="12"/>
              </w:rPr>
              <w:t>Debt securites</w:t>
            </w:r>
          </w:p>
        </w:tc>
        <w:tc>
          <w:tcPr>
            <w:tcW w:w="20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26</w:t>
            </w: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w:t>
            </w:r>
          </w:p>
        </w:tc>
        <w:tc>
          <w:tcPr>
            <w:tcW w:w="140" w:type="dxa"/>
            <w:shd w:val="clear" w:color="auto" w:fill="CCEEFF"/>
            <w:vAlign w:val="bottom"/>
          </w:tcPr>
          <w:p>
            <w:pPr>
              <w:spacing w:after="0"/>
              <w:rPr>
                <w:color w:val="auto"/>
                <w:sz w:val="13"/>
                <w:szCs w:val="13"/>
              </w:rPr>
            </w:pPr>
          </w:p>
        </w:tc>
        <w:tc>
          <w:tcPr>
            <w:tcW w:w="1380" w:type="dxa"/>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26</w:t>
            </w:r>
          </w:p>
        </w:tc>
        <w:tc>
          <w:tcPr>
            <w:tcW w:w="14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Equity securites</w:t>
            </w:r>
          </w:p>
        </w:tc>
        <w:tc>
          <w:tcPr>
            <w:tcW w:w="2040" w:type="dxa"/>
            <w:vAlign w:val="bottom"/>
          </w:tcPr>
          <w:p>
            <w:pPr>
              <w:spacing w:after="0"/>
              <w:rPr>
                <w:color w:val="auto"/>
                <w:sz w:val="12"/>
                <w:szCs w:val="12"/>
              </w:rPr>
            </w:pPr>
          </w:p>
        </w:tc>
        <w:tc>
          <w:tcPr>
            <w:tcW w:w="1180" w:type="dxa"/>
            <w:vAlign w:val="bottom"/>
          </w:tcPr>
          <w:p>
            <w:pPr>
              <w:spacing w:after="0" w:line="142" w:lineRule="exact"/>
              <w:ind w:right="81"/>
              <w:jc w:val="right"/>
              <w:rPr>
                <w:color w:val="auto"/>
                <w:sz w:val="20"/>
                <w:szCs w:val="20"/>
              </w:rPr>
            </w:pPr>
            <w:r>
              <w:rPr>
                <w:rFonts w:ascii="Calibri" w:eastAsia="Calibri" w:hAnsi="Calibri" w:cs="Calibri"/>
                <w:color w:val="auto"/>
                <w:sz w:val="12"/>
                <w:szCs w:val="12"/>
              </w:rPr>
              <w:t>111</w:t>
            </w:r>
          </w:p>
        </w:tc>
        <w:tc>
          <w:tcPr>
            <w:tcW w:w="240" w:type="dxa"/>
            <w:vAlign w:val="bottom"/>
          </w:tcPr>
          <w:p>
            <w:pPr>
              <w:spacing w:after="0"/>
              <w:rPr>
                <w:color w:val="auto"/>
                <w:sz w:val="12"/>
                <w:szCs w:val="12"/>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86</w:t>
            </w:r>
          </w:p>
        </w:tc>
        <w:tc>
          <w:tcPr>
            <w:tcW w:w="140" w:type="dxa"/>
            <w:vAlign w:val="bottom"/>
          </w:tcPr>
          <w:p>
            <w:pPr>
              <w:spacing w:after="0"/>
              <w:rPr>
                <w:color w:val="auto"/>
                <w:sz w:val="12"/>
                <w:szCs w:val="12"/>
              </w:rPr>
            </w:pPr>
          </w:p>
        </w:tc>
        <w:tc>
          <w:tcPr>
            <w:tcW w:w="1380" w:type="dxa"/>
            <w:vAlign w:val="bottom"/>
          </w:tcPr>
          <w:p>
            <w:pPr>
              <w:spacing w:after="0" w:line="142" w:lineRule="exact"/>
              <w:ind w:right="24"/>
              <w:jc w:val="right"/>
              <w:rPr>
                <w:color w:val="auto"/>
                <w:sz w:val="20"/>
                <w:szCs w:val="20"/>
              </w:rPr>
            </w:pPr>
            <w:r>
              <w:rPr>
                <w:rFonts w:ascii="Calibri" w:eastAsia="Calibri" w:hAnsi="Calibri" w:cs="Calibri"/>
                <w:color w:val="auto"/>
                <w:sz w:val="12"/>
                <w:szCs w:val="12"/>
              </w:rPr>
              <w:t>25</w:t>
            </w:r>
          </w:p>
        </w:tc>
        <w:tc>
          <w:tcPr>
            <w:tcW w:w="140" w:type="dxa"/>
            <w:vAlign w:val="bottom"/>
          </w:tcPr>
          <w:p>
            <w:pPr>
              <w:spacing w:after="0"/>
              <w:rPr>
                <w:color w:val="auto"/>
                <w:sz w:val="12"/>
                <w:szCs w:val="12"/>
              </w:rPr>
            </w:pPr>
          </w:p>
        </w:tc>
        <w:tc>
          <w:tcPr>
            <w:tcW w:w="13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3"/>
        </w:trPr>
        <w:tc>
          <w:tcPr>
            <w:tcW w:w="35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Foreign currency contracts</w:t>
            </w:r>
          </w:p>
        </w:tc>
        <w:tc>
          <w:tcPr>
            <w:tcW w:w="2040" w:type="dxa"/>
            <w:tcBorders>
              <w:bottom w:val="single" w:sz="8" w:space="0" w:color="auto"/>
            </w:tcBorders>
            <w:shd w:val="clear" w:color="auto" w:fill="CCEEFF"/>
            <w:vAlign w:val="bottom"/>
          </w:tcPr>
          <w:p>
            <w:pPr>
              <w:spacing w:after="0"/>
              <w:rPr>
                <w:color w:val="auto"/>
                <w:sz w:val="13"/>
                <w:szCs w:val="13"/>
              </w:rPr>
            </w:pPr>
          </w:p>
        </w:tc>
        <w:tc>
          <w:tcPr>
            <w:tcW w:w="1180" w:type="dxa"/>
            <w:tcBorders>
              <w:bottom w:val="single" w:sz="8" w:space="0" w:color="auto"/>
            </w:tcBorders>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66</w:t>
            </w:r>
          </w:p>
        </w:tc>
        <w:tc>
          <w:tcPr>
            <w:tcW w:w="240" w:type="dxa"/>
            <w:tcBorders>
              <w:bottom w:val="single" w:sz="8" w:space="0" w:color="auto"/>
            </w:tcBorders>
            <w:shd w:val="clear" w:color="auto" w:fill="CCEEFF"/>
            <w:vAlign w:val="bottom"/>
          </w:tcPr>
          <w:p>
            <w:pPr>
              <w:spacing w:after="0"/>
              <w:rPr>
                <w:color w:val="auto"/>
                <w:sz w:val="13"/>
                <w:szCs w:val="13"/>
              </w:rPr>
            </w:pPr>
          </w:p>
        </w:tc>
        <w:tc>
          <w:tcPr>
            <w:tcW w:w="1240" w:type="dxa"/>
            <w:tcBorders>
              <w:bottom w:val="single" w:sz="8" w:space="0" w:color="auto"/>
            </w:tcBorders>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w:t>
            </w:r>
          </w:p>
        </w:tc>
        <w:tc>
          <w:tcPr>
            <w:tcW w:w="140" w:type="dxa"/>
            <w:tcBorders>
              <w:bottom w:val="single" w:sz="8" w:space="0" w:color="auto"/>
            </w:tcBorders>
            <w:shd w:val="clear" w:color="auto" w:fill="CCEEFF"/>
            <w:vAlign w:val="bottom"/>
          </w:tcPr>
          <w:p>
            <w:pPr>
              <w:spacing w:after="0"/>
              <w:rPr>
                <w:color w:val="auto"/>
                <w:sz w:val="13"/>
                <w:szCs w:val="13"/>
              </w:rPr>
            </w:pPr>
          </w:p>
        </w:tc>
        <w:tc>
          <w:tcPr>
            <w:tcW w:w="1380" w:type="dxa"/>
            <w:tcBorders>
              <w:bottom w:val="single" w:sz="8" w:space="0" w:color="auto"/>
            </w:tcBorders>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66</w:t>
            </w:r>
          </w:p>
        </w:tc>
        <w:tc>
          <w:tcPr>
            <w:tcW w:w="140" w:type="dxa"/>
            <w:tcBorders>
              <w:bottom w:val="single" w:sz="8" w:space="0" w:color="auto"/>
            </w:tcBorders>
            <w:shd w:val="clear" w:color="auto" w:fill="CCEEFF"/>
            <w:vAlign w:val="bottom"/>
          </w:tcPr>
          <w:p>
            <w:pPr>
              <w:spacing w:after="0"/>
              <w:rPr>
                <w:color w:val="auto"/>
                <w:sz w:val="13"/>
                <w:szCs w:val="13"/>
              </w:rPr>
            </w:pPr>
          </w:p>
        </w:tc>
        <w:tc>
          <w:tcPr>
            <w:tcW w:w="136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64"/>
        </w:trPr>
        <w:tc>
          <w:tcPr>
            <w:tcW w:w="3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assets</w:t>
            </w:r>
          </w:p>
        </w:tc>
        <w:tc>
          <w:tcPr>
            <w:tcW w:w="204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80" w:type="dxa"/>
            <w:tcBorders>
              <w:bottom w:val="single" w:sz="8" w:space="0" w:color="auto"/>
            </w:tcBorders>
            <w:vAlign w:val="bottom"/>
          </w:tcPr>
          <w:p>
            <w:pPr>
              <w:spacing w:after="0" w:line="142" w:lineRule="exact"/>
              <w:ind w:right="81"/>
              <w:jc w:val="right"/>
              <w:rPr>
                <w:color w:val="auto"/>
                <w:sz w:val="20"/>
                <w:szCs w:val="20"/>
              </w:rPr>
            </w:pPr>
            <w:r>
              <w:rPr>
                <w:rFonts w:ascii="Calibri" w:eastAsia="Calibri" w:hAnsi="Calibri" w:cs="Calibri"/>
                <w:color w:val="auto"/>
                <w:sz w:val="12"/>
                <w:szCs w:val="12"/>
              </w:rPr>
              <w:t>13,027</w:t>
            </w:r>
          </w:p>
        </w:tc>
        <w:tc>
          <w:tcPr>
            <w:tcW w:w="240" w:type="dxa"/>
            <w:tcBorders>
              <w:bottom w:val="single" w:sz="8" w:space="0" w:color="auto"/>
            </w:tcBorders>
            <w:vAlign w:val="bottom"/>
          </w:tcPr>
          <w:p>
            <w:pPr>
              <w:spacing w:after="0" w:line="142" w:lineRule="exact"/>
              <w:ind w:right="104"/>
              <w:jc w:val="right"/>
              <w:rPr>
                <w:color w:val="auto"/>
                <w:sz w:val="20"/>
                <w:szCs w:val="20"/>
              </w:rPr>
            </w:pPr>
            <w:r>
              <w:rPr>
                <w:rFonts w:ascii="Calibri" w:eastAsia="Calibri" w:hAnsi="Calibri" w:cs="Calibri"/>
                <w:color w:val="auto"/>
                <w:w w:val="97"/>
                <w:sz w:val="12"/>
                <w:szCs w:val="12"/>
              </w:rPr>
              <w:t>$</w:t>
            </w:r>
          </w:p>
        </w:tc>
        <w:tc>
          <w:tcPr>
            <w:tcW w:w="124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6,309</w:t>
            </w:r>
          </w:p>
        </w:tc>
        <w:tc>
          <w:tcPr>
            <w:tcW w:w="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80" w:type="dxa"/>
            <w:tcBorders>
              <w:bottom w:val="single" w:sz="8" w:space="0" w:color="auto"/>
            </w:tcBorders>
            <w:vAlign w:val="bottom"/>
          </w:tcPr>
          <w:p>
            <w:pPr>
              <w:spacing w:after="0" w:line="142" w:lineRule="exact"/>
              <w:ind w:right="24"/>
              <w:jc w:val="right"/>
              <w:rPr>
                <w:color w:val="auto"/>
                <w:sz w:val="20"/>
                <w:szCs w:val="20"/>
              </w:rPr>
            </w:pPr>
            <w:r>
              <w:rPr>
                <w:rFonts w:ascii="Calibri" w:eastAsia="Calibri" w:hAnsi="Calibri" w:cs="Calibri"/>
                <w:color w:val="auto"/>
                <w:sz w:val="12"/>
                <w:szCs w:val="12"/>
              </w:rPr>
              <w:t>6,718</w:t>
            </w:r>
          </w:p>
        </w:tc>
        <w:tc>
          <w:tcPr>
            <w:tcW w:w="1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3"/>
        </w:trPr>
        <w:tc>
          <w:tcPr>
            <w:tcW w:w="3560" w:type="dxa"/>
            <w:shd w:val="clear" w:color="auto" w:fill="CCEEFF"/>
            <w:vAlign w:val="bottom"/>
          </w:tcPr>
          <w:p>
            <w:pPr>
              <w:spacing w:after="0" w:line="142" w:lineRule="exact"/>
              <w:rPr>
                <w:color w:val="auto"/>
                <w:sz w:val="20"/>
                <w:szCs w:val="20"/>
              </w:rPr>
            </w:pPr>
            <w:r>
              <w:rPr>
                <w:rFonts w:ascii="Calibri" w:eastAsia="Calibri" w:hAnsi="Calibri" w:cs="Calibri"/>
                <w:b/>
                <w:bCs/>
                <w:color w:val="auto"/>
                <w:sz w:val="12"/>
                <w:szCs w:val="12"/>
              </w:rPr>
              <w:t>Liabilites</w:t>
            </w:r>
          </w:p>
        </w:tc>
        <w:tc>
          <w:tcPr>
            <w:tcW w:w="20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rPr>
                <w:color w:val="auto"/>
                <w:sz w:val="13"/>
                <w:szCs w:val="13"/>
              </w:rPr>
            </w:pPr>
          </w:p>
        </w:tc>
        <w:tc>
          <w:tcPr>
            <w:tcW w:w="140" w:type="dxa"/>
            <w:shd w:val="clear" w:color="auto" w:fill="CCEEFF"/>
            <w:vAlign w:val="bottom"/>
          </w:tcPr>
          <w:p>
            <w:pPr>
              <w:spacing w:after="0"/>
              <w:rPr>
                <w:color w:val="auto"/>
                <w:sz w:val="13"/>
                <w:szCs w:val="13"/>
              </w:rPr>
            </w:pPr>
          </w:p>
        </w:tc>
        <w:tc>
          <w:tcPr>
            <w:tcW w:w="1380" w:type="dxa"/>
            <w:shd w:val="clear" w:color="auto" w:fill="CCEEFF"/>
            <w:vAlign w:val="bottom"/>
          </w:tcPr>
          <w:p>
            <w:pPr>
              <w:spacing w:after="0"/>
              <w:rPr>
                <w:color w:val="auto"/>
                <w:sz w:val="13"/>
                <w:szCs w:val="13"/>
              </w:rPr>
            </w:pPr>
          </w:p>
        </w:tc>
        <w:tc>
          <w:tcPr>
            <w:tcW w:w="14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rPr>
                <w:color w:val="auto"/>
                <w:sz w:val="13"/>
                <w:szCs w:val="13"/>
              </w:rPr>
            </w:pPr>
          </w:p>
        </w:tc>
      </w:tr>
      <w:tr>
        <w:tblPrEx>
          <w:tblInd w:w="0"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Interest rate swap contracts</w:t>
            </w:r>
          </w:p>
        </w:tc>
        <w:tc>
          <w:tcPr>
            <w:tcW w:w="2040" w:type="dxa"/>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80" w:type="dxa"/>
            <w:vAlign w:val="bottom"/>
          </w:tcPr>
          <w:p>
            <w:pPr>
              <w:spacing w:after="0" w:line="142" w:lineRule="exact"/>
              <w:ind w:right="81"/>
              <w:jc w:val="right"/>
              <w:rPr>
                <w:color w:val="auto"/>
                <w:sz w:val="20"/>
                <w:szCs w:val="20"/>
              </w:rPr>
            </w:pPr>
            <w:r>
              <w:rPr>
                <w:rFonts w:ascii="Calibri" w:eastAsia="Calibri" w:hAnsi="Calibri" w:cs="Calibri"/>
                <w:color w:val="auto"/>
                <w:sz w:val="12"/>
                <w:szCs w:val="12"/>
              </w:rPr>
              <w:t>293</w:t>
            </w:r>
          </w:p>
        </w:tc>
        <w:tc>
          <w:tcPr>
            <w:tcW w:w="240" w:type="dxa"/>
            <w:vAlign w:val="bottom"/>
          </w:tcPr>
          <w:p>
            <w:pPr>
              <w:spacing w:after="0" w:line="142" w:lineRule="exact"/>
              <w:ind w:right="104"/>
              <w:jc w:val="right"/>
              <w:rPr>
                <w:color w:val="auto"/>
                <w:sz w:val="20"/>
                <w:szCs w:val="20"/>
              </w:rPr>
            </w:pPr>
            <w:r>
              <w:rPr>
                <w:rFonts w:ascii="Calibri" w:eastAsia="Calibri" w:hAnsi="Calibri" w:cs="Calibri"/>
                <w:color w:val="auto"/>
                <w:w w:val="97"/>
                <w:sz w:val="12"/>
                <w:szCs w:val="12"/>
              </w:rPr>
              <w:t>$</w:t>
            </w: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14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80" w:type="dxa"/>
            <w:vAlign w:val="bottom"/>
          </w:tcPr>
          <w:p>
            <w:pPr>
              <w:spacing w:after="0" w:line="142" w:lineRule="exact"/>
              <w:ind w:right="24"/>
              <w:jc w:val="right"/>
              <w:rPr>
                <w:color w:val="auto"/>
                <w:sz w:val="20"/>
                <w:szCs w:val="20"/>
              </w:rPr>
            </w:pPr>
            <w:r>
              <w:rPr>
                <w:rFonts w:ascii="Calibri" w:eastAsia="Calibri" w:hAnsi="Calibri" w:cs="Calibri"/>
                <w:color w:val="auto"/>
                <w:sz w:val="12"/>
                <w:szCs w:val="12"/>
              </w:rPr>
              <w:t>293</w:t>
            </w:r>
          </w:p>
        </w:tc>
        <w:tc>
          <w:tcPr>
            <w:tcW w:w="140" w:type="dxa"/>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6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9"/>
        </w:trPr>
        <w:tc>
          <w:tcPr>
            <w:tcW w:w="3560" w:type="dxa"/>
            <w:shd w:val="clear" w:color="auto" w:fill="CCEEFF"/>
            <w:vAlign w:val="bottom"/>
          </w:tcPr>
          <w:p>
            <w:pPr>
              <w:spacing w:after="0"/>
              <w:rPr>
                <w:color w:val="auto"/>
                <w:sz w:val="20"/>
                <w:szCs w:val="20"/>
              </w:rPr>
            </w:pPr>
            <w:r>
              <w:rPr>
                <w:rFonts w:ascii="Calibri" w:eastAsia="Calibri" w:hAnsi="Calibri" w:cs="Calibri"/>
                <w:color w:val="auto"/>
                <w:sz w:val="12"/>
                <w:szCs w:val="12"/>
              </w:rPr>
              <w:t>Foreign currency contracts</w:t>
            </w:r>
          </w:p>
        </w:tc>
        <w:tc>
          <w:tcPr>
            <w:tcW w:w="2040" w:type="dxa"/>
            <w:shd w:val="clear" w:color="auto" w:fill="CCEEFF"/>
            <w:vAlign w:val="bottom"/>
          </w:tcPr>
          <w:p>
            <w:pPr>
              <w:spacing w:after="0"/>
              <w:rPr>
                <w:color w:val="auto"/>
                <w:sz w:val="13"/>
                <w:szCs w:val="13"/>
              </w:rPr>
            </w:pPr>
          </w:p>
        </w:tc>
        <w:tc>
          <w:tcPr>
            <w:tcW w:w="1180" w:type="dxa"/>
            <w:shd w:val="clear" w:color="auto" w:fill="CCEEFF"/>
            <w:vAlign w:val="bottom"/>
          </w:tcPr>
          <w:p>
            <w:pPr>
              <w:spacing w:after="0"/>
              <w:ind w:right="81"/>
              <w:jc w:val="right"/>
              <w:rPr>
                <w:color w:val="auto"/>
                <w:sz w:val="20"/>
                <w:szCs w:val="20"/>
              </w:rPr>
            </w:pPr>
            <w:r>
              <w:rPr>
                <w:rFonts w:ascii="Calibri" w:eastAsia="Calibri" w:hAnsi="Calibri" w:cs="Calibri"/>
                <w:color w:val="auto"/>
                <w:sz w:val="12"/>
                <w:szCs w:val="12"/>
              </w:rPr>
              <w:t>203</w:t>
            </w: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w:t>
            </w:r>
          </w:p>
        </w:tc>
        <w:tc>
          <w:tcPr>
            <w:tcW w:w="140" w:type="dxa"/>
            <w:shd w:val="clear" w:color="auto" w:fill="CCEEFF"/>
            <w:vAlign w:val="bottom"/>
          </w:tcPr>
          <w:p>
            <w:pPr>
              <w:spacing w:after="0"/>
              <w:rPr>
                <w:color w:val="auto"/>
                <w:sz w:val="13"/>
                <w:szCs w:val="13"/>
              </w:rPr>
            </w:pPr>
          </w:p>
        </w:tc>
        <w:tc>
          <w:tcPr>
            <w:tcW w:w="1380" w:type="dxa"/>
            <w:shd w:val="clear" w:color="auto" w:fill="CCEEFF"/>
            <w:vAlign w:val="bottom"/>
          </w:tcPr>
          <w:p>
            <w:pPr>
              <w:spacing w:after="0"/>
              <w:ind w:right="24"/>
              <w:jc w:val="right"/>
              <w:rPr>
                <w:color w:val="auto"/>
                <w:sz w:val="20"/>
                <w:szCs w:val="20"/>
              </w:rPr>
            </w:pPr>
            <w:r>
              <w:rPr>
                <w:rFonts w:ascii="Calibri" w:eastAsia="Calibri" w:hAnsi="Calibri" w:cs="Calibri"/>
                <w:color w:val="auto"/>
                <w:sz w:val="12"/>
                <w:szCs w:val="12"/>
              </w:rPr>
              <w:t>203</w:t>
            </w:r>
          </w:p>
        </w:tc>
        <w:tc>
          <w:tcPr>
            <w:tcW w:w="14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3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Contngent consideraton</w:t>
            </w:r>
          </w:p>
        </w:tc>
        <w:tc>
          <w:tcPr>
            <w:tcW w:w="2040" w:type="dxa"/>
            <w:tcBorders>
              <w:bottom w:val="single" w:sz="8" w:space="0" w:color="auto"/>
            </w:tcBorders>
            <w:vAlign w:val="bottom"/>
          </w:tcPr>
          <w:p>
            <w:pPr>
              <w:spacing w:after="0"/>
              <w:rPr>
                <w:color w:val="auto"/>
                <w:sz w:val="12"/>
                <w:szCs w:val="12"/>
              </w:rPr>
            </w:pPr>
          </w:p>
        </w:tc>
        <w:tc>
          <w:tcPr>
            <w:tcW w:w="1180" w:type="dxa"/>
            <w:tcBorders>
              <w:bottom w:val="single" w:sz="8" w:space="0" w:color="auto"/>
            </w:tcBorders>
            <w:vAlign w:val="bottom"/>
          </w:tcPr>
          <w:p>
            <w:pPr>
              <w:spacing w:after="0" w:line="142" w:lineRule="exact"/>
              <w:ind w:right="81"/>
              <w:jc w:val="right"/>
              <w:rPr>
                <w:color w:val="auto"/>
                <w:sz w:val="20"/>
                <w:szCs w:val="20"/>
              </w:rPr>
            </w:pPr>
            <w:r>
              <w:rPr>
                <w:rFonts w:ascii="Calibri" w:eastAsia="Calibri" w:hAnsi="Calibri" w:cs="Calibri"/>
                <w:color w:val="auto"/>
                <w:sz w:val="12"/>
                <w:szCs w:val="12"/>
              </w:rPr>
              <w:t>19,890</w:t>
            </w:r>
          </w:p>
        </w:tc>
        <w:tc>
          <w:tcPr>
            <w:tcW w:w="240" w:type="dxa"/>
            <w:tcBorders>
              <w:bottom w:val="single" w:sz="8" w:space="0" w:color="auto"/>
            </w:tcBorders>
            <w:vAlign w:val="bottom"/>
          </w:tcPr>
          <w:p>
            <w:pPr>
              <w:spacing w:after="0"/>
              <w:rPr>
                <w:color w:val="auto"/>
                <w:sz w:val="12"/>
                <w:szCs w:val="12"/>
              </w:rPr>
            </w:pPr>
          </w:p>
        </w:tc>
        <w:tc>
          <w:tcPr>
            <w:tcW w:w="124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140" w:type="dxa"/>
            <w:tcBorders>
              <w:bottom w:val="single" w:sz="8" w:space="0" w:color="auto"/>
            </w:tcBorders>
            <w:vAlign w:val="bottom"/>
          </w:tcPr>
          <w:p>
            <w:pPr>
              <w:spacing w:after="0"/>
              <w:rPr>
                <w:color w:val="auto"/>
                <w:sz w:val="12"/>
                <w:szCs w:val="12"/>
              </w:rPr>
            </w:pPr>
          </w:p>
        </w:tc>
        <w:tc>
          <w:tcPr>
            <w:tcW w:w="1380" w:type="dxa"/>
            <w:tcBorders>
              <w:bottom w:val="single" w:sz="8" w:space="0" w:color="auto"/>
            </w:tcBorders>
            <w:vAlign w:val="bottom"/>
          </w:tcPr>
          <w:p>
            <w:pPr>
              <w:spacing w:after="0" w:line="142" w:lineRule="exact"/>
              <w:ind w:right="24"/>
              <w:jc w:val="right"/>
              <w:rPr>
                <w:color w:val="auto"/>
                <w:sz w:val="20"/>
                <w:szCs w:val="20"/>
              </w:rPr>
            </w:pPr>
            <w:r>
              <w:rPr>
                <w:rFonts w:ascii="Calibri" w:eastAsia="Calibri" w:hAnsi="Calibri" w:cs="Calibri"/>
                <w:color w:val="auto"/>
                <w:sz w:val="12"/>
                <w:szCs w:val="12"/>
              </w:rPr>
              <w:t>—</w:t>
            </w:r>
          </w:p>
        </w:tc>
        <w:tc>
          <w:tcPr>
            <w:tcW w:w="140" w:type="dxa"/>
            <w:tcBorders>
              <w:bottom w:val="single" w:sz="8" w:space="0" w:color="auto"/>
            </w:tcBorders>
            <w:vAlign w:val="bottom"/>
          </w:tcPr>
          <w:p>
            <w:pPr>
              <w:spacing w:after="0"/>
              <w:rPr>
                <w:color w:val="auto"/>
                <w:sz w:val="12"/>
                <w:szCs w:val="12"/>
              </w:rPr>
            </w:pPr>
          </w:p>
        </w:tc>
        <w:tc>
          <w:tcPr>
            <w:tcW w:w="13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19,890</w:t>
            </w:r>
          </w:p>
        </w:tc>
      </w:tr>
      <w:tr>
        <w:tblPrEx>
          <w:tblInd w:w="0" w:type="dxa"/>
          <w:tblLayout w:type="fixed"/>
        </w:tblPrEx>
        <w:trPr>
          <w:trHeight w:val="164"/>
        </w:trPr>
        <w:tc>
          <w:tcPr>
            <w:tcW w:w="35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liabilites</w:t>
            </w:r>
          </w:p>
        </w:tc>
        <w:tc>
          <w:tcPr>
            <w:tcW w:w="204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80" w:type="dxa"/>
            <w:tcBorders>
              <w:bottom w:val="single" w:sz="8" w:space="0" w:color="auto"/>
            </w:tcBorders>
            <w:shd w:val="clear" w:color="auto" w:fill="CCEEFF"/>
            <w:vAlign w:val="bottom"/>
          </w:tcPr>
          <w:p>
            <w:pPr>
              <w:spacing w:after="0" w:line="142" w:lineRule="exact"/>
              <w:ind w:right="81"/>
              <w:jc w:val="right"/>
              <w:rPr>
                <w:color w:val="auto"/>
                <w:sz w:val="20"/>
                <w:szCs w:val="20"/>
              </w:rPr>
            </w:pPr>
            <w:r>
              <w:rPr>
                <w:rFonts w:ascii="Calibri" w:eastAsia="Calibri" w:hAnsi="Calibri" w:cs="Calibri"/>
                <w:color w:val="auto"/>
                <w:sz w:val="12"/>
                <w:szCs w:val="12"/>
              </w:rPr>
              <w:t>20,386</w:t>
            </w:r>
          </w:p>
        </w:tc>
        <w:tc>
          <w:tcPr>
            <w:tcW w:w="240" w:type="dxa"/>
            <w:tcBorders>
              <w:bottom w:val="single" w:sz="8" w:space="0" w:color="auto"/>
            </w:tcBorders>
            <w:shd w:val="clear" w:color="auto" w:fill="CCEEFF"/>
            <w:vAlign w:val="bottom"/>
          </w:tcPr>
          <w:p>
            <w:pPr>
              <w:spacing w:after="0" w:line="142" w:lineRule="exact"/>
              <w:ind w:right="104"/>
              <w:jc w:val="right"/>
              <w:rPr>
                <w:color w:val="auto"/>
                <w:sz w:val="20"/>
                <w:szCs w:val="20"/>
              </w:rPr>
            </w:pPr>
            <w:r>
              <w:rPr>
                <w:rFonts w:ascii="Calibri" w:eastAsia="Calibri" w:hAnsi="Calibri" w:cs="Calibri"/>
                <w:color w:val="auto"/>
                <w:w w:val="97"/>
                <w:sz w:val="12"/>
                <w:szCs w:val="12"/>
              </w:rPr>
              <w:t>$</w:t>
            </w:r>
          </w:p>
        </w:tc>
        <w:tc>
          <w:tcPr>
            <w:tcW w:w="1240" w:type="dxa"/>
            <w:tcBorders>
              <w:bottom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1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80" w:type="dxa"/>
            <w:tcBorders>
              <w:bottom w:val="single" w:sz="8" w:space="0" w:color="auto"/>
            </w:tcBorders>
            <w:shd w:val="clear" w:color="auto" w:fill="CCEEFF"/>
            <w:vAlign w:val="bottom"/>
          </w:tcPr>
          <w:p>
            <w:pPr>
              <w:spacing w:after="0" w:line="142" w:lineRule="exact"/>
              <w:ind w:right="24"/>
              <w:jc w:val="right"/>
              <w:rPr>
                <w:color w:val="auto"/>
                <w:sz w:val="20"/>
                <w:szCs w:val="20"/>
              </w:rPr>
            </w:pPr>
            <w:r>
              <w:rPr>
                <w:rFonts w:ascii="Calibri" w:eastAsia="Calibri" w:hAnsi="Calibri" w:cs="Calibri"/>
                <w:color w:val="auto"/>
                <w:sz w:val="12"/>
                <w:szCs w:val="12"/>
              </w:rPr>
              <w:t>496</w:t>
            </w:r>
          </w:p>
        </w:tc>
        <w:tc>
          <w:tcPr>
            <w:tcW w:w="1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6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19,890</w:t>
            </w:r>
          </w:p>
        </w:tc>
      </w:tr>
    </w:tbl>
    <w:p>
      <w:pPr>
        <w:spacing w:after="0" w:line="138" w:lineRule="exact"/>
        <w:rPr>
          <w:color w:val="auto"/>
          <w:sz w:val="20"/>
          <w:szCs w:val="20"/>
        </w:rPr>
      </w:pPr>
    </w:p>
    <w:p>
      <w:pPr>
        <w:spacing w:after="0" w:line="234" w:lineRule="auto"/>
        <w:ind w:right="40" w:firstLine="297"/>
        <w:jc w:val="both"/>
        <w:rPr>
          <w:color w:val="auto"/>
          <w:sz w:val="20"/>
          <w:szCs w:val="20"/>
        </w:rPr>
      </w:pPr>
      <w:r>
        <w:rPr>
          <w:rFonts w:ascii="Calibri" w:eastAsia="Calibri" w:hAnsi="Calibri" w:cs="Calibri"/>
          <w:color w:val="auto"/>
          <w:sz w:val="12"/>
          <w:szCs w:val="12"/>
        </w:rPr>
        <w:t>Money market funds and tme deposits are valued using relevant observable market inputs including quoted prices for similar assets and interest rate curves. Equity securites primarily consist of investments for which the fair values were determined by using the published market prices per unit multplied by the number of units held, without consideraton of transacton costs. The derivatves entered into by the company were valued using observable market inputs including published interest rate curves and both forward and spot prices for foreign currencies.</w:t>
      </w:r>
    </w:p>
    <w:p>
      <w:pPr>
        <w:spacing w:after="0" w:line="103" w:lineRule="exact"/>
        <w:rPr>
          <w:color w:val="auto"/>
          <w:sz w:val="20"/>
          <w:szCs w:val="20"/>
        </w:rPr>
      </w:pPr>
    </w:p>
    <w:p>
      <w:pPr>
        <w:spacing w:after="0" w:line="235" w:lineRule="auto"/>
        <w:ind w:right="160" w:firstLine="297"/>
        <w:rPr>
          <w:color w:val="auto"/>
          <w:sz w:val="20"/>
          <w:szCs w:val="20"/>
        </w:rPr>
      </w:pPr>
      <w:r>
        <w:rPr>
          <w:rFonts w:ascii="Calibri" w:eastAsia="Calibri" w:hAnsi="Calibri" w:cs="Calibri"/>
          <w:color w:val="auto"/>
          <w:sz w:val="12"/>
          <w:szCs w:val="12"/>
        </w:rPr>
        <w:t xml:space="preserve">The fnancing liability is related to funding agreements entered into by Cerevel Therapeutcs prior to the acquisiton and assumed by AbbVie. The funding agreements represent fnancial instruments that are accounted for as fnancing arrangements and the company elected to account for the fnancing liability in accordance with the fair value opton, as permited under ASC 825 </w:t>
      </w:r>
      <w:r>
        <w:rPr>
          <w:rFonts w:ascii="Calibri" w:eastAsia="Calibri" w:hAnsi="Calibri" w:cs="Calibri"/>
          <w:i/>
          <w:iCs/>
          <w:color w:val="auto"/>
          <w:sz w:val="12"/>
          <w:szCs w:val="12"/>
        </w:rPr>
        <w:t>Financial Instruments</w:t>
      </w:r>
      <w:r>
        <w:rPr>
          <w:rFonts w:ascii="Calibri" w:eastAsia="Calibri" w:hAnsi="Calibri" w:cs="Calibri"/>
          <w:color w:val="auto"/>
          <w:sz w:val="12"/>
          <w:szCs w:val="12"/>
        </w:rPr>
        <w:t>. The fair value measurement of the fnancing liability was determined based on signifcant unobservable inputs. Potental payments are estmated by applying a probability-weighted expected payment model for regulatory milestone payments and a Monte Carlo simulaton model for sales milestones and royalty payments, which are then discounted to present value. Changes to the fair value of the fnancing liability can result from changes to one</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81</w:t>
      </w:r>
      <w:r>
        <w:rPr>
          <w:color w:val="auto"/>
          <w:sz w:val="20"/>
          <w:szCs w:val="20"/>
        </w:rPr>
        <w:tab/>
      </w:r>
      <w:r>
        <w:rPr>
          <w:color w:val="auto"/>
          <w:sz w:val="1"/>
          <w:szCs w:val="1"/>
        </w:rPr>
        <w:drawing>
          <wp:inline distT="0" distB="0" distL="0" distR="0">
            <wp:extent cx="400050" cy="7429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66112" behindDoc="1" locked="0" layoutInCell="0" allowOverlap="1">
            <wp:simplePos x="0" y="0"/>
            <wp:positionH relativeFrom="column">
              <wp:posOffset>-17145</wp:posOffset>
            </wp:positionH>
            <wp:positionV relativeFrom="paragraph">
              <wp:posOffset>133985</wp:posOffset>
            </wp:positionV>
            <wp:extent cx="7203440" cy="3683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83" w:name="page84"/>
    <w:bookmarkEnd w:id="83"/>
    <w:p>
      <w:pPr>
        <w:spacing w:after="0" w:line="234" w:lineRule="auto"/>
        <w:ind w:left="8" w:right="80"/>
        <w:rPr>
          <w:color w:val="auto"/>
          <w:sz w:val="20"/>
          <w:szCs w:val="20"/>
        </w:rPr>
      </w:pPr>
      <w:r>
        <w:rPr>
          <w:rFonts w:ascii="Calibri" w:eastAsia="Calibri" w:hAnsi="Calibri" w:cs="Calibri"/>
          <w:color w:val="auto"/>
          <w:sz w:val="12"/>
          <w:szCs w:val="12"/>
        </w:rPr>
        <w:t>or a number of inputs, including discount rates, estmated probabilites and tming of achieving milestones and estmated amounts of future sales. The change in fair value recognized in net earnings is recorded in other expense, net in the consolidated statements of earnings and included a charge of $82 million in 2024. The change in fair value atributable to instrument-specifc credit risk is recognized in other comprehensive loss and was not signifcant.</w:t>
      </w:r>
    </w:p>
    <w:p>
      <w:pPr>
        <w:spacing w:after="0" w:line="92" w:lineRule="exact"/>
        <w:rPr>
          <w:color w:val="auto"/>
          <w:sz w:val="20"/>
          <w:szCs w:val="20"/>
        </w:rPr>
      </w:pPr>
    </w:p>
    <w:p>
      <w:pPr>
        <w:spacing w:after="0" w:line="235" w:lineRule="auto"/>
        <w:ind w:left="8" w:right="40" w:firstLine="297"/>
        <w:rPr>
          <w:color w:val="auto"/>
          <w:sz w:val="20"/>
          <w:szCs w:val="20"/>
        </w:rPr>
      </w:pPr>
      <w:r>
        <w:rPr>
          <w:rFonts w:ascii="Calibri" w:eastAsia="Calibri" w:hAnsi="Calibri" w:cs="Calibri"/>
          <w:color w:val="auto"/>
          <w:sz w:val="12"/>
          <w:szCs w:val="12"/>
        </w:rPr>
        <w:t>The fair value measurements of the contngent consideraton liabilites were determined based on signifcant unobservable inputs, including the discount rate, estmated probabilites and tming of achieving specifed development, regulatory and commercial milestones and the estmated amount of future sales of the acquired products. The potental contngent consideraton payments are estmated by applying a probability-weighted expected payment model for contngent milestone payments and a Monte Carlo simulaton model for contngent royalty payments, which are then discounted to present value. Changes to the fair value of the contngent consideraton liabilites can result from changes to one or a number of inputs, including discount rates, the probabilites of achieving the milestones, the tme required to achieve the milestones and estmated future sales. Signifcant judgment is employed in determining the appropriateness of certain of these inputs. Changes to the inputs described above could have a material impact on the company's fnancial positon and results of operatons in any given period.</w:t>
      </w:r>
    </w:p>
    <w:p>
      <w:pPr>
        <w:spacing w:after="0" w:line="97" w:lineRule="exact"/>
        <w:rPr>
          <w:color w:val="auto"/>
          <w:sz w:val="20"/>
          <w:szCs w:val="20"/>
        </w:rPr>
      </w:pPr>
    </w:p>
    <w:p>
      <w:pPr>
        <w:spacing w:after="0"/>
        <w:ind w:left="288"/>
        <w:rPr>
          <w:color w:val="auto"/>
          <w:sz w:val="20"/>
          <w:szCs w:val="20"/>
        </w:rPr>
      </w:pPr>
      <w:r>
        <w:rPr>
          <w:rFonts w:ascii="Calibri" w:eastAsia="Calibri" w:hAnsi="Calibri" w:cs="Calibri"/>
          <w:color w:val="auto"/>
          <w:sz w:val="12"/>
          <w:szCs w:val="12"/>
        </w:rPr>
        <w:t>The fair value of the company's contngent consideraton liabilites was calculated using the following signifcant unobservable inputs:</w:t>
      </w:r>
    </w:p>
    <w:p>
      <w:pPr>
        <w:spacing w:after="0" w:line="16" w:lineRule="exact"/>
        <w:rPr>
          <w:color w:val="auto"/>
          <w:sz w:val="20"/>
          <w:szCs w:val="20"/>
        </w:rPr>
      </w:pPr>
    </w:p>
    <w:tbl>
      <w:tblPr>
        <w:tblInd w:w="8" w:type="dxa"/>
        <w:tblLayout w:type="fixed"/>
        <w:tblCellMar>
          <w:top w:w="0" w:type="dxa"/>
          <w:left w:w="0" w:type="dxa"/>
          <w:bottom w:w="0" w:type="dxa"/>
          <w:right w:w="0" w:type="dxa"/>
        </w:tblCellMar>
      </w:tblPr>
      <w:tblGrid>
        <w:gridCol w:w="5140"/>
        <w:gridCol w:w="900"/>
        <w:gridCol w:w="1780"/>
        <w:gridCol w:w="300"/>
        <w:gridCol w:w="100"/>
        <w:gridCol w:w="1760"/>
        <w:gridCol w:w="1320"/>
        <w:gridCol w:w="20"/>
      </w:tblGrid>
      <w:tr>
        <w:tblPrEx>
          <w:tblInd w:w="8" w:type="dxa"/>
          <w:tblLayout w:type="fixed"/>
        </w:tblPrEx>
        <w:trPr>
          <w:trHeight w:val="122"/>
        </w:trPr>
        <w:tc>
          <w:tcPr>
            <w:tcW w:w="5140" w:type="dxa"/>
            <w:vAlign w:val="bottom"/>
          </w:tcPr>
          <w:p>
            <w:pPr>
              <w:spacing w:after="0"/>
              <w:rPr>
                <w:color w:val="auto"/>
                <w:sz w:val="10"/>
                <w:szCs w:val="10"/>
              </w:rPr>
            </w:pPr>
          </w:p>
        </w:tc>
        <w:tc>
          <w:tcPr>
            <w:tcW w:w="900" w:type="dxa"/>
            <w:vAlign w:val="bottom"/>
          </w:tcPr>
          <w:p>
            <w:pPr>
              <w:spacing w:after="0"/>
              <w:rPr>
                <w:color w:val="auto"/>
                <w:sz w:val="10"/>
                <w:szCs w:val="10"/>
              </w:rPr>
            </w:pPr>
          </w:p>
        </w:tc>
        <w:tc>
          <w:tcPr>
            <w:tcW w:w="1780" w:type="dxa"/>
            <w:vAlign w:val="bottom"/>
          </w:tcPr>
          <w:p>
            <w:pPr>
              <w:spacing w:after="0"/>
              <w:ind w:right="1025"/>
              <w:jc w:val="right"/>
              <w:rPr>
                <w:color w:val="auto"/>
                <w:sz w:val="20"/>
                <w:szCs w:val="20"/>
              </w:rPr>
            </w:pPr>
            <w:r>
              <w:rPr>
                <w:rFonts w:ascii="Calibri" w:eastAsia="Calibri" w:hAnsi="Calibri" w:cs="Calibri"/>
                <w:b/>
                <w:bCs/>
                <w:color w:val="auto"/>
                <w:sz w:val="10"/>
                <w:szCs w:val="10"/>
              </w:rPr>
              <w:t>2024</w:t>
            </w:r>
          </w:p>
        </w:tc>
        <w:tc>
          <w:tcPr>
            <w:tcW w:w="30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1760" w:type="dxa"/>
            <w:vAlign w:val="bottom"/>
          </w:tcPr>
          <w:p>
            <w:pPr>
              <w:spacing w:after="0"/>
              <w:ind w:right="65"/>
              <w:jc w:val="right"/>
              <w:rPr>
                <w:color w:val="auto"/>
                <w:sz w:val="20"/>
                <w:szCs w:val="20"/>
              </w:rPr>
            </w:pPr>
            <w:r>
              <w:rPr>
                <w:rFonts w:ascii="Calibri" w:eastAsia="Calibri" w:hAnsi="Calibri" w:cs="Calibri"/>
                <w:b/>
                <w:bCs/>
                <w:color w:val="auto"/>
                <w:sz w:val="10"/>
                <w:szCs w:val="10"/>
              </w:rPr>
              <w:t>2023</w:t>
            </w:r>
          </w:p>
        </w:tc>
        <w:tc>
          <w:tcPr>
            <w:tcW w:w="132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8" w:type="dxa"/>
          <w:tblLayout w:type="fixed"/>
        </w:tblPrEx>
        <w:trPr>
          <w:trHeight w:val="32"/>
        </w:trPr>
        <w:tc>
          <w:tcPr>
            <w:tcW w:w="5140" w:type="dxa"/>
            <w:vMerge w:val="restart"/>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900" w:type="dxa"/>
            <w:tcBorders>
              <w:bottom w:val="single" w:sz="8" w:space="0" w:color="auto"/>
            </w:tcBorders>
            <w:vAlign w:val="bottom"/>
          </w:tcPr>
          <w:p>
            <w:pPr>
              <w:spacing w:after="0"/>
              <w:rPr>
                <w:color w:val="auto"/>
                <w:sz w:val="2"/>
                <w:szCs w:val="2"/>
              </w:rPr>
            </w:pPr>
          </w:p>
        </w:tc>
        <w:tc>
          <w:tcPr>
            <w:tcW w:w="1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100" w:type="dxa"/>
            <w:vAlign w:val="bottom"/>
          </w:tcPr>
          <w:p>
            <w:pPr>
              <w:spacing w:after="0"/>
              <w:rPr>
                <w:color w:val="auto"/>
                <w:sz w:val="2"/>
                <w:szCs w:val="2"/>
              </w:rPr>
            </w:pPr>
          </w:p>
        </w:tc>
        <w:tc>
          <w:tcPr>
            <w:tcW w:w="176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8" w:type="dxa"/>
          <w:tblLayout w:type="fixed"/>
        </w:tblPrEx>
        <w:trPr>
          <w:trHeight w:val="124"/>
        </w:trPr>
        <w:tc>
          <w:tcPr>
            <w:tcW w:w="5140" w:type="dxa"/>
            <w:vMerge/>
            <w:tcBorders>
              <w:bottom w:val="single" w:sz="8" w:space="0" w:color="auto"/>
            </w:tcBorders>
            <w:vAlign w:val="bottom"/>
          </w:tcPr>
          <w:p>
            <w:pPr>
              <w:spacing w:after="0"/>
              <w:rPr>
                <w:color w:val="auto"/>
                <w:sz w:val="10"/>
                <w:szCs w:val="10"/>
              </w:rPr>
            </w:pPr>
          </w:p>
        </w:tc>
        <w:tc>
          <w:tcPr>
            <w:tcW w:w="900" w:type="dxa"/>
            <w:tcBorders>
              <w:bottom w:val="single" w:sz="8" w:space="0" w:color="auto"/>
            </w:tcBorders>
            <w:vAlign w:val="bottom"/>
          </w:tcPr>
          <w:p>
            <w:pPr>
              <w:spacing w:after="0" w:line="112" w:lineRule="exact"/>
              <w:ind w:left="620"/>
              <w:rPr>
                <w:color w:val="auto"/>
                <w:sz w:val="20"/>
                <w:szCs w:val="20"/>
              </w:rPr>
            </w:pPr>
            <w:r>
              <w:rPr>
                <w:rFonts w:ascii="Calibri" w:eastAsia="Calibri" w:hAnsi="Calibri" w:cs="Calibri"/>
                <w:b/>
                <w:bCs/>
                <w:color w:val="auto"/>
                <w:sz w:val="10"/>
                <w:szCs w:val="10"/>
              </w:rPr>
              <w:t>Range</w:t>
            </w:r>
          </w:p>
        </w:tc>
        <w:tc>
          <w:tcPr>
            <w:tcW w:w="1780" w:type="dxa"/>
            <w:tcBorders>
              <w:bottom w:val="single" w:sz="8" w:space="0" w:color="auto"/>
            </w:tcBorders>
            <w:vAlign w:val="bottom"/>
          </w:tcPr>
          <w:p>
            <w:pPr>
              <w:spacing w:after="0" w:line="124" w:lineRule="exact"/>
              <w:jc w:val="right"/>
              <w:rPr>
                <w:color w:val="auto"/>
                <w:sz w:val="20"/>
                <w:szCs w:val="20"/>
              </w:rPr>
            </w:pPr>
            <w:r>
              <w:rPr>
                <w:rFonts w:ascii="Calibri" w:eastAsia="Calibri" w:hAnsi="Calibri" w:cs="Calibri"/>
                <w:b/>
                <w:bCs/>
                <w:color w:val="auto"/>
                <w:sz w:val="10"/>
                <w:szCs w:val="10"/>
              </w:rPr>
              <w:t>Weighted Average</w:t>
            </w:r>
            <w:r>
              <w:rPr>
                <w:rFonts w:ascii="Calibri" w:eastAsia="Calibri" w:hAnsi="Calibri" w:cs="Calibri"/>
                <w:b/>
                <w:bCs/>
                <w:color w:val="auto"/>
                <w:sz w:val="12"/>
                <w:szCs w:val="12"/>
                <w:vertAlign w:val="superscript"/>
              </w:rPr>
              <w:t>(a)</w:t>
            </w:r>
          </w:p>
        </w:tc>
        <w:tc>
          <w:tcPr>
            <w:tcW w:w="300" w:type="dxa"/>
            <w:tcBorders>
              <w:bottom w:val="single" w:sz="8" w:space="0" w:color="auto"/>
            </w:tcBorders>
            <w:vAlign w:val="bottom"/>
          </w:tcPr>
          <w:p>
            <w:pPr>
              <w:spacing w:after="0"/>
              <w:rPr>
                <w:color w:val="auto"/>
                <w:sz w:val="10"/>
                <w:szCs w:val="10"/>
              </w:rPr>
            </w:pPr>
          </w:p>
        </w:tc>
        <w:tc>
          <w:tcPr>
            <w:tcW w:w="100" w:type="dxa"/>
            <w:tcBorders>
              <w:bottom w:val="single" w:sz="8" w:space="0" w:color="auto"/>
            </w:tcBorders>
            <w:vAlign w:val="bottom"/>
          </w:tcPr>
          <w:p>
            <w:pPr>
              <w:spacing w:after="0"/>
              <w:rPr>
                <w:color w:val="auto"/>
                <w:sz w:val="10"/>
                <w:szCs w:val="10"/>
              </w:rPr>
            </w:pPr>
          </w:p>
        </w:tc>
        <w:tc>
          <w:tcPr>
            <w:tcW w:w="1760" w:type="dxa"/>
            <w:tcBorders>
              <w:bottom w:val="single" w:sz="8" w:space="0" w:color="auto"/>
            </w:tcBorders>
            <w:vAlign w:val="bottom"/>
          </w:tcPr>
          <w:p>
            <w:pPr>
              <w:spacing w:after="0" w:line="112" w:lineRule="exact"/>
              <w:ind w:right="845"/>
              <w:jc w:val="right"/>
              <w:rPr>
                <w:color w:val="auto"/>
                <w:sz w:val="20"/>
                <w:szCs w:val="20"/>
              </w:rPr>
            </w:pPr>
            <w:r>
              <w:rPr>
                <w:rFonts w:ascii="Calibri" w:eastAsia="Calibri" w:hAnsi="Calibri" w:cs="Calibri"/>
                <w:b/>
                <w:bCs/>
                <w:color w:val="auto"/>
                <w:sz w:val="10"/>
                <w:szCs w:val="10"/>
              </w:rPr>
              <w:t>Range</w:t>
            </w:r>
          </w:p>
        </w:tc>
        <w:tc>
          <w:tcPr>
            <w:tcW w:w="1320" w:type="dxa"/>
            <w:tcBorders>
              <w:bottom w:val="single" w:sz="8" w:space="0" w:color="auto"/>
            </w:tcBorders>
            <w:vAlign w:val="bottom"/>
          </w:tcPr>
          <w:p>
            <w:pPr>
              <w:spacing w:after="0" w:line="124" w:lineRule="exact"/>
              <w:ind w:right="343"/>
              <w:jc w:val="right"/>
              <w:rPr>
                <w:color w:val="auto"/>
                <w:sz w:val="20"/>
                <w:szCs w:val="20"/>
              </w:rPr>
            </w:pPr>
            <w:r>
              <w:rPr>
                <w:rFonts w:ascii="Calibri" w:eastAsia="Calibri" w:hAnsi="Calibri" w:cs="Calibri"/>
                <w:b/>
                <w:bCs/>
                <w:color w:val="auto"/>
                <w:sz w:val="10"/>
                <w:szCs w:val="10"/>
              </w:rPr>
              <w:t>Weighted Average</w:t>
            </w:r>
            <w:r>
              <w:rPr>
                <w:rFonts w:ascii="Calibri" w:eastAsia="Calibri" w:hAnsi="Calibri" w:cs="Calibri"/>
                <w:b/>
                <w:bCs/>
                <w:color w:val="auto"/>
                <w:sz w:val="12"/>
                <w:szCs w:val="12"/>
                <w:vertAlign w:val="superscript"/>
              </w:rPr>
              <w:t>(a)</w:t>
            </w:r>
          </w:p>
        </w:tc>
        <w:tc>
          <w:tcPr>
            <w:tcW w:w="1" w:type="dxa"/>
            <w:vAlign w:val="bottom"/>
          </w:tcPr>
          <w:p>
            <w:pPr>
              <w:spacing w:after="0"/>
              <w:rPr>
                <w:color w:val="auto"/>
                <w:sz w:val="1"/>
                <w:szCs w:val="1"/>
              </w:rPr>
            </w:pPr>
          </w:p>
        </w:tc>
      </w:tr>
      <w:tr>
        <w:tblPrEx>
          <w:tblInd w:w="8" w:type="dxa"/>
          <w:tblLayout w:type="fixed"/>
        </w:tblPrEx>
        <w:trPr>
          <w:trHeight w:val="142"/>
        </w:trPr>
        <w:tc>
          <w:tcPr>
            <w:tcW w:w="51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Discount rate</w:t>
            </w:r>
          </w:p>
        </w:tc>
        <w:tc>
          <w:tcPr>
            <w:tcW w:w="900" w:type="dxa"/>
            <w:shd w:val="clear" w:color="auto" w:fill="CCEEFF"/>
            <w:vAlign w:val="bottom"/>
          </w:tcPr>
          <w:p>
            <w:pPr>
              <w:spacing w:after="0"/>
              <w:rPr>
                <w:color w:val="auto"/>
                <w:sz w:val="12"/>
                <w:szCs w:val="12"/>
              </w:rPr>
            </w:pPr>
          </w:p>
        </w:tc>
        <w:tc>
          <w:tcPr>
            <w:tcW w:w="1780" w:type="dxa"/>
            <w:shd w:val="clear" w:color="auto" w:fill="CCEEFF"/>
            <w:vAlign w:val="bottom"/>
          </w:tcPr>
          <w:p>
            <w:pPr>
              <w:spacing w:after="0" w:line="142" w:lineRule="exact"/>
              <w:ind w:right="1145"/>
              <w:jc w:val="right"/>
              <w:rPr>
                <w:color w:val="auto"/>
                <w:sz w:val="20"/>
                <w:szCs w:val="20"/>
              </w:rPr>
            </w:pPr>
            <w:r>
              <w:rPr>
                <w:rFonts w:ascii="Calibri" w:eastAsia="Calibri" w:hAnsi="Calibri" w:cs="Calibri"/>
                <w:color w:val="auto"/>
                <w:w w:val="98"/>
                <w:sz w:val="12"/>
                <w:szCs w:val="12"/>
              </w:rPr>
              <w:t>4.6% - 5.2%</w:t>
            </w:r>
          </w:p>
        </w:tc>
        <w:tc>
          <w:tcPr>
            <w:tcW w:w="3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4.8%</w:t>
            </w:r>
          </w:p>
        </w:tc>
        <w:tc>
          <w:tcPr>
            <w:tcW w:w="100" w:type="dxa"/>
            <w:shd w:val="clear" w:color="auto" w:fill="CCEEFF"/>
            <w:vAlign w:val="bottom"/>
          </w:tcPr>
          <w:p>
            <w:pPr>
              <w:spacing w:after="0"/>
              <w:rPr>
                <w:color w:val="auto"/>
                <w:sz w:val="12"/>
                <w:szCs w:val="12"/>
              </w:rPr>
            </w:pPr>
          </w:p>
        </w:tc>
        <w:tc>
          <w:tcPr>
            <w:tcW w:w="1760" w:type="dxa"/>
            <w:shd w:val="clear" w:color="auto" w:fill="CCEEFF"/>
            <w:vAlign w:val="bottom"/>
          </w:tcPr>
          <w:p>
            <w:pPr>
              <w:spacing w:after="0" w:line="142" w:lineRule="exact"/>
              <w:ind w:right="225"/>
              <w:jc w:val="right"/>
              <w:rPr>
                <w:color w:val="auto"/>
                <w:sz w:val="20"/>
                <w:szCs w:val="20"/>
              </w:rPr>
            </w:pPr>
            <w:r>
              <w:rPr>
                <w:rFonts w:ascii="Calibri" w:eastAsia="Calibri" w:hAnsi="Calibri" w:cs="Calibri"/>
                <w:color w:val="auto"/>
                <w:sz w:val="12"/>
                <w:szCs w:val="12"/>
              </w:rPr>
              <w:t>4.3% - 5.9%</w:t>
            </w:r>
          </w:p>
        </w:tc>
        <w:tc>
          <w:tcPr>
            <w:tcW w:w="132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4.5 %</w:t>
            </w:r>
          </w:p>
        </w:tc>
        <w:tc>
          <w:tcPr>
            <w:tcW w:w="1" w:type="dxa"/>
            <w:vAlign w:val="bottom"/>
          </w:tcPr>
          <w:p>
            <w:pPr>
              <w:spacing w:after="0"/>
              <w:rPr>
                <w:color w:val="auto"/>
                <w:sz w:val="1"/>
                <w:szCs w:val="1"/>
              </w:rPr>
            </w:pPr>
          </w:p>
        </w:tc>
      </w:tr>
      <w:tr>
        <w:tblPrEx>
          <w:tblInd w:w="8" w:type="dxa"/>
          <w:tblLayout w:type="fixed"/>
        </w:tblPrEx>
        <w:trPr>
          <w:trHeight w:val="153"/>
        </w:trPr>
        <w:tc>
          <w:tcPr>
            <w:tcW w:w="5140" w:type="dxa"/>
            <w:vAlign w:val="bottom"/>
          </w:tcPr>
          <w:p>
            <w:pPr>
              <w:spacing w:after="0" w:line="153" w:lineRule="exact"/>
              <w:rPr>
                <w:color w:val="auto"/>
                <w:sz w:val="20"/>
                <w:szCs w:val="20"/>
              </w:rPr>
            </w:pPr>
            <w:r>
              <w:rPr>
                <w:rFonts w:ascii="Calibri" w:eastAsia="Calibri" w:hAnsi="Calibri" w:cs="Calibri"/>
                <w:color w:val="auto"/>
                <w:sz w:val="12"/>
                <w:szCs w:val="12"/>
              </w:rPr>
              <w:t>Probability of payment for royaltes by indicaton</w:t>
            </w:r>
            <w:r>
              <w:rPr>
                <w:rFonts w:ascii="Calibri" w:eastAsia="Calibri" w:hAnsi="Calibri" w:cs="Calibri"/>
                <w:color w:val="auto"/>
                <w:sz w:val="15"/>
                <w:szCs w:val="15"/>
                <w:vertAlign w:val="superscript"/>
              </w:rPr>
              <w:t>(b)</w:t>
            </w:r>
          </w:p>
        </w:tc>
        <w:tc>
          <w:tcPr>
            <w:tcW w:w="900" w:type="dxa"/>
            <w:vAlign w:val="bottom"/>
          </w:tcPr>
          <w:p>
            <w:pPr>
              <w:spacing w:after="0"/>
              <w:rPr>
                <w:color w:val="auto"/>
                <w:sz w:val="13"/>
                <w:szCs w:val="13"/>
              </w:rPr>
            </w:pPr>
          </w:p>
        </w:tc>
        <w:tc>
          <w:tcPr>
            <w:tcW w:w="1780" w:type="dxa"/>
            <w:vAlign w:val="bottom"/>
          </w:tcPr>
          <w:p>
            <w:pPr>
              <w:spacing w:after="0" w:line="142" w:lineRule="exact"/>
              <w:ind w:right="1145"/>
              <w:jc w:val="right"/>
              <w:rPr>
                <w:color w:val="auto"/>
                <w:sz w:val="20"/>
                <w:szCs w:val="20"/>
              </w:rPr>
            </w:pPr>
            <w:r>
              <w:rPr>
                <w:rFonts w:ascii="Calibri" w:eastAsia="Calibri" w:hAnsi="Calibri" w:cs="Calibri"/>
                <w:color w:val="auto"/>
                <w:sz w:val="12"/>
                <w:szCs w:val="12"/>
              </w:rPr>
              <w:t>100%</w:t>
            </w:r>
          </w:p>
        </w:tc>
        <w:tc>
          <w:tcPr>
            <w:tcW w:w="300" w:type="dxa"/>
            <w:vAlign w:val="bottom"/>
          </w:tcPr>
          <w:p>
            <w:pPr>
              <w:spacing w:after="0" w:line="142" w:lineRule="exact"/>
              <w:jc w:val="right"/>
              <w:rPr>
                <w:color w:val="auto"/>
                <w:sz w:val="20"/>
                <w:szCs w:val="20"/>
              </w:rPr>
            </w:pPr>
            <w:r>
              <w:rPr>
                <w:rFonts w:ascii="Calibri" w:eastAsia="Calibri" w:hAnsi="Calibri" w:cs="Calibri"/>
                <w:color w:val="auto"/>
                <w:sz w:val="12"/>
                <w:szCs w:val="12"/>
              </w:rPr>
              <w:t>100%</w:t>
            </w:r>
          </w:p>
        </w:tc>
        <w:tc>
          <w:tcPr>
            <w:tcW w:w="100" w:type="dxa"/>
            <w:vAlign w:val="bottom"/>
          </w:tcPr>
          <w:p>
            <w:pPr>
              <w:spacing w:after="0"/>
              <w:rPr>
                <w:color w:val="auto"/>
                <w:sz w:val="13"/>
                <w:szCs w:val="13"/>
              </w:rPr>
            </w:pPr>
          </w:p>
        </w:tc>
        <w:tc>
          <w:tcPr>
            <w:tcW w:w="1760" w:type="dxa"/>
            <w:vAlign w:val="bottom"/>
          </w:tcPr>
          <w:p>
            <w:pPr>
              <w:spacing w:after="0" w:line="142" w:lineRule="exact"/>
              <w:ind w:right="225"/>
              <w:jc w:val="right"/>
              <w:rPr>
                <w:color w:val="auto"/>
                <w:sz w:val="20"/>
                <w:szCs w:val="20"/>
              </w:rPr>
            </w:pPr>
            <w:r>
              <w:rPr>
                <w:rFonts w:ascii="Calibri" w:eastAsia="Calibri" w:hAnsi="Calibri" w:cs="Calibri"/>
                <w:color w:val="auto"/>
                <w:sz w:val="12"/>
                <w:szCs w:val="12"/>
              </w:rPr>
              <w:t>89% - 100%</w:t>
            </w:r>
          </w:p>
        </w:tc>
        <w:tc>
          <w:tcPr>
            <w:tcW w:w="1320" w:type="dxa"/>
            <w:vAlign w:val="bottom"/>
          </w:tcPr>
          <w:p>
            <w:pPr>
              <w:spacing w:after="0" w:line="142" w:lineRule="exact"/>
              <w:jc w:val="right"/>
              <w:rPr>
                <w:color w:val="auto"/>
                <w:sz w:val="20"/>
                <w:szCs w:val="20"/>
              </w:rPr>
            </w:pPr>
            <w:r>
              <w:rPr>
                <w:rFonts w:ascii="Calibri" w:eastAsia="Calibri" w:hAnsi="Calibri" w:cs="Calibri"/>
                <w:color w:val="auto"/>
                <w:sz w:val="12"/>
                <w:szCs w:val="12"/>
              </w:rPr>
              <w:t>99 %</w:t>
            </w:r>
          </w:p>
        </w:tc>
        <w:tc>
          <w:tcPr>
            <w:tcW w:w="1" w:type="dxa"/>
            <w:vAlign w:val="bottom"/>
          </w:tcPr>
          <w:p>
            <w:pPr>
              <w:spacing w:after="0"/>
              <w:rPr>
                <w:color w:val="auto"/>
                <w:sz w:val="1"/>
                <w:szCs w:val="1"/>
              </w:rPr>
            </w:pPr>
          </w:p>
        </w:tc>
      </w:tr>
      <w:tr>
        <w:tblPrEx>
          <w:tblInd w:w="8" w:type="dxa"/>
          <w:tblLayout w:type="fixed"/>
        </w:tblPrEx>
        <w:trPr>
          <w:trHeight w:val="147"/>
        </w:trPr>
        <w:tc>
          <w:tcPr>
            <w:tcW w:w="51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Projected year of payments</w:t>
            </w:r>
          </w:p>
        </w:tc>
        <w:tc>
          <w:tcPr>
            <w:tcW w:w="900" w:type="dxa"/>
            <w:tcBorders>
              <w:bottom w:val="single" w:sz="8" w:space="0" w:color="auto"/>
            </w:tcBorders>
            <w:shd w:val="clear" w:color="auto" w:fill="CCEEFF"/>
            <w:vAlign w:val="bottom"/>
          </w:tcPr>
          <w:p>
            <w:pPr>
              <w:spacing w:after="0"/>
              <w:rPr>
                <w:color w:val="auto"/>
                <w:sz w:val="12"/>
                <w:szCs w:val="12"/>
              </w:rPr>
            </w:pPr>
          </w:p>
        </w:tc>
        <w:tc>
          <w:tcPr>
            <w:tcW w:w="1780" w:type="dxa"/>
            <w:tcBorders>
              <w:bottom w:val="single" w:sz="8" w:space="0" w:color="auto"/>
            </w:tcBorders>
            <w:shd w:val="clear" w:color="auto" w:fill="CCEEFF"/>
            <w:vAlign w:val="bottom"/>
          </w:tcPr>
          <w:p>
            <w:pPr>
              <w:spacing w:after="0" w:line="142" w:lineRule="exact"/>
              <w:ind w:right="1145"/>
              <w:jc w:val="right"/>
              <w:rPr>
                <w:color w:val="auto"/>
                <w:sz w:val="20"/>
                <w:szCs w:val="20"/>
              </w:rPr>
            </w:pPr>
            <w:r>
              <w:rPr>
                <w:rFonts w:ascii="Calibri" w:eastAsia="Calibri" w:hAnsi="Calibri" w:cs="Calibri"/>
                <w:color w:val="auto"/>
                <w:w w:val="96"/>
                <w:sz w:val="12"/>
                <w:szCs w:val="12"/>
              </w:rPr>
              <w:t>2025 - 2034</w:t>
            </w:r>
          </w:p>
        </w:tc>
        <w:tc>
          <w:tcPr>
            <w:tcW w:w="30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2029</w:t>
            </w:r>
          </w:p>
        </w:tc>
        <w:tc>
          <w:tcPr>
            <w:tcW w:w="100" w:type="dxa"/>
            <w:tcBorders>
              <w:bottom w:val="single" w:sz="8" w:space="0" w:color="auto"/>
            </w:tcBorders>
            <w:shd w:val="clear" w:color="auto" w:fill="CCEEFF"/>
            <w:vAlign w:val="bottom"/>
          </w:tcPr>
          <w:p>
            <w:pPr>
              <w:spacing w:after="0"/>
              <w:rPr>
                <w:color w:val="auto"/>
                <w:sz w:val="12"/>
                <w:szCs w:val="12"/>
              </w:rPr>
            </w:pPr>
          </w:p>
        </w:tc>
        <w:tc>
          <w:tcPr>
            <w:tcW w:w="1760" w:type="dxa"/>
            <w:tcBorders>
              <w:bottom w:val="single" w:sz="8" w:space="0" w:color="auto"/>
            </w:tcBorders>
            <w:shd w:val="clear" w:color="auto" w:fill="CCEEFF"/>
            <w:vAlign w:val="bottom"/>
          </w:tcPr>
          <w:p>
            <w:pPr>
              <w:spacing w:after="0" w:line="142" w:lineRule="exact"/>
              <w:ind w:right="225"/>
              <w:jc w:val="right"/>
              <w:rPr>
                <w:color w:val="auto"/>
                <w:sz w:val="20"/>
                <w:szCs w:val="20"/>
              </w:rPr>
            </w:pPr>
            <w:r>
              <w:rPr>
                <w:rFonts w:ascii="Calibri" w:eastAsia="Calibri" w:hAnsi="Calibri" w:cs="Calibri"/>
                <w:color w:val="auto"/>
                <w:sz w:val="12"/>
                <w:szCs w:val="12"/>
              </w:rPr>
              <w:t>2024 - 2034</w:t>
            </w:r>
          </w:p>
        </w:tc>
        <w:tc>
          <w:tcPr>
            <w:tcW w:w="13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2027</w:t>
            </w:r>
          </w:p>
        </w:tc>
        <w:tc>
          <w:tcPr>
            <w:tcW w:w="1" w:type="dxa"/>
            <w:vAlign w:val="bottom"/>
          </w:tcPr>
          <w:p>
            <w:pPr>
              <w:spacing w:after="0"/>
              <w:rPr>
                <w:color w:val="auto"/>
                <w:sz w:val="1"/>
                <w:szCs w:val="1"/>
              </w:rPr>
            </w:pPr>
          </w:p>
        </w:tc>
      </w:tr>
    </w:tbl>
    <w:p>
      <w:pPr>
        <w:spacing w:after="0" w:line="134" w:lineRule="exact"/>
        <w:rPr>
          <w:color w:val="auto"/>
          <w:sz w:val="20"/>
          <w:szCs w:val="20"/>
        </w:rPr>
      </w:pPr>
    </w:p>
    <w:p>
      <w:pPr>
        <w:numPr>
          <w:ilvl w:val="0"/>
          <w:numId w:val="27"/>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Unobservable inputs were weighted by the relatve fair value of the contngent consideraton liabilites.</w:t>
      </w:r>
    </w:p>
    <w:p>
      <w:pPr>
        <w:spacing w:after="0" w:line="96" w:lineRule="exact"/>
        <w:rPr>
          <w:rFonts w:ascii="Calibri" w:eastAsia="Calibri" w:hAnsi="Calibri" w:cs="Calibri"/>
          <w:color w:val="auto"/>
          <w:sz w:val="12"/>
          <w:szCs w:val="12"/>
        </w:rPr>
      </w:pPr>
    </w:p>
    <w:p>
      <w:pPr>
        <w:numPr>
          <w:ilvl w:val="0"/>
          <w:numId w:val="27"/>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Excluding approved indicatons, the estmated probability of payment was 89% at December 31, 2023.</w:t>
      </w:r>
    </w:p>
    <w:p>
      <w:pPr>
        <w:spacing w:after="0" w:line="101" w:lineRule="exact"/>
        <w:rPr>
          <w:color w:val="auto"/>
          <w:sz w:val="20"/>
          <w:szCs w:val="20"/>
        </w:rPr>
      </w:pPr>
    </w:p>
    <w:p>
      <w:pPr>
        <w:spacing w:after="0"/>
        <w:ind w:left="288"/>
        <w:rPr>
          <w:color w:val="auto"/>
          <w:sz w:val="20"/>
          <w:szCs w:val="20"/>
        </w:rPr>
      </w:pPr>
      <w:r>
        <w:rPr>
          <w:rFonts w:ascii="Calibri" w:eastAsia="Calibri" w:hAnsi="Calibri" w:cs="Calibri"/>
          <w:color w:val="auto"/>
          <w:sz w:val="11"/>
          <w:szCs w:val="11"/>
        </w:rPr>
        <w:t>There have been no transfers of assets or liabilites into or out of Level 3 of the fair value hierarchy. The following table presents the changes in fair value of contngent consideraton liabilites which are measured using Level 3 inputs:</w:t>
      </w:r>
    </w:p>
    <w:p>
      <w:pPr>
        <w:spacing w:after="0" w:line="24" w:lineRule="exact"/>
        <w:rPr>
          <w:color w:val="auto"/>
          <w:sz w:val="20"/>
          <w:szCs w:val="20"/>
        </w:rPr>
      </w:pPr>
    </w:p>
    <w:tbl>
      <w:tblPr>
        <w:tblInd w:w="8" w:type="dxa"/>
        <w:tblLayout w:type="fixed"/>
        <w:tblCellMar>
          <w:top w:w="0" w:type="dxa"/>
          <w:left w:w="0" w:type="dxa"/>
          <w:bottom w:w="0" w:type="dxa"/>
          <w:right w:w="0" w:type="dxa"/>
        </w:tblCellMar>
      </w:tblPr>
      <w:tblGrid>
        <w:gridCol w:w="4500"/>
        <w:gridCol w:w="3240"/>
        <w:gridCol w:w="520"/>
        <w:gridCol w:w="1000"/>
        <w:gridCol w:w="540"/>
        <w:gridCol w:w="380"/>
        <w:gridCol w:w="1100"/>
      </w:tblGrid>
      <w:tr>
        <w:tblPrEx>
          <w:tblInd w:w="8" w:type="dxa"/>
          <w:tblLayout w:type="fixed"/>
        </w:tblPrEx>
        <w:trPr>
          <w:trHeight w:val="122"/>
        </w:trPr>
        <w:tc>
          <w:tcPr>
            <w:tcW w:w="450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3240" w:type="dxa"/>
            <w:vAlign w:val="bottom"/>
          </w:tcPr>
          <w:p>
            <w:pPr>
              <w:spacing w:after="0"/>
              <w:ind w:right="84"/>
              <w:jc w:val="right"/>
              <w:rPr>
                <w:color w:val="auto"/>
                <w:sz w:val="20"/>
                <w:szCs w:val="20"/>
              </w:rPr>
            </w:pPr>
            <w:r>
              <w:rPr>
                <w:rFonts w:ascii="Calibri" w:eastAsia="Calibri" w:hAnsi="Calibri" w:cs="Calibri"/>
                <w:b/>
                <w:bCs/>
                <w:color w:val="auto"/>
                <w:sz w:val="10"/>
                <w:szCs w:val="10"/>
              </w:rPr>
              <w:t>2024</w:t>
            </w:r>
          </w:p>
        </w:tc>
        <w:tc>
          <w:tcPr>
            <w:tcW w:w="520" w:type="dxa"/>
            <w:vAlign w:val="bottom"/>
          </w:tcPr>
          <w:p>
            <w:pPr>
              <w:spacing w:after="0"/>
              <w:rPr>
                <w:color w:val="auto"/>
                <w:sz w:val="10"/>
                <w:szCs w:val="10"/>
              </w:rPr>
            </w:pPr>
          </w:p>
        </w:tc>
        <w:tc>
          <w:tcPr>
            <w:tcW w:w="1000" w:type="dxa"/>
            <w:vAlign w:val="bottom"/>
          </w:tcPr>
          <w:p>
            <w:pPr>
              <w:spacing w:after="0"/>
              <w:ind w:right="84"/>
              <w:jc w:val="right"/>
              <w:rPr>
                <w:color w:val="auto"/>
                <w:sz w:val="20"/>
                <w:szCs w:val="20"/>
              </w:rPr>
            </w:pPr>
            <w:r>
              <w:rPr>
                <w:rFonts w:ascii="Calibri" w:eastAsia="Calibri" w:hAnsi="Calibri" w:cs="Calibri"/>
                <w:b/>
                <w:bCs/>
                <w:color w:val="auto"/>
                <w:sz w:val="10"/>
                <w:szCs w:val="10"/>
              </w:rPr>
              <w:t>2023</w:t>
            </w:r>
          </w:p>
        </w:tc>
        <w:tc>
          <w:tcPr>
            <w:tcW w:w="540" w:type="dxa"/>
            <w:vAlign w:val="bottom"/>
          </w:tcPr>
          <w:p>
            <w:pPr>
              <w:spacing w:after="0"/>
              <w:rPr>
                <w:color w:val="auto"/>
                <w:sz w:val="10"/>
                <w:szCs w:val="10"/>
              </w:rPr>
            </w:pPr>
          </w:p>
        </w:tc>
        <w:tc>
          <w:tcPr>
            <w:tcW w:w="380" w:type="dxa"/>
            <w:vAlign w:val="bottom"/>
          </w:tcPr>
          <w:p>
            <w:pPr>
              <w:spacing w:after="0"/>
              <w:rPr>
                <w:color w:val="auto"/>
                <w:sz w:val="10"/>
                <w:szCs w:val="10"/>
              </w:rPr>
            </w:pPr>
          </w:p>
        </w:tc>
        <w:tc>
          <w:tcPr>
            <w:tcW w:w="1100" w:type="dxa"/>
            <w:vAlign w:val="bottom"/>
          </w:tcPr>
          <w:p>
            <w:pPr>
              <w:spacing w:after="0"/>
              <w:ind w:right="562"/>
              <w:jc w:val="right"/>
              <w:rPr>
                <w:color w:val="auto"/>
                <w:sz w:val="20"/>
                <w:szCs w:val="20"/>
              </w:rPr>
            </w:pPr>
            <w:r>
              <w:rPr>
                <w:rFonts w:ascii="Calibri" w:eastAsia="Calibri" w:hAnsi="Calibri" w:cs="Calibri"/>
                <w:b/>
                <w:bCs/>
                <w:color w:val="auto"/>
                <w:sz w:val="10"/>
                <w:szCs w:val="10"/>
              </w:rPr>
              <w:t>2022</w:t>
            </w:r>
          </w:p>
        </w:tc>
      </w:tr>
      <w:tr>
        <w:tblPrEx>
          <w:tblInd w:w="8" w:type="dxa"/>
          <w:tblLayout w:type="fixed"/>
        </w:tblPrEx>
        <w:trPr>
          <w:trHeight w:val="32"/>
        </w:trPr>
        <w:tc>
          <w:tcPr>
            <w:tcW w:w="4500" w:type="dxa"/>
            <w:tcBorders>
              <w:bottom w:val="single" w:sz="8" w:space="0" w:color="auto"/>
            </w:tcBorders>
            <w:vAlign w:val="bottom"/>
          </w:tcPr>
          <w:p>
            <w:pPr>
              <w:spacing w:after="0"/>
              <w:rPr>
                <w:color w:val="auto"/>
                <w:sz w:val="2"/>
                <w:szCs w:val="2"/>
              </w:rPr>
            </w:pPr>
          </w:p>
        </w:tc>
        <w:tc>
          <w:tcPr>
            <w:tcW w:w="3240" w:type="dxa"/>
            <w:tcBorders>
              <w:bottom w:val="single" w:sz="8" w:space="0" w:color="auto"/>
            </w:tcBorders>
            <w:vAlign w:val="bottom"/>
          </w:tcPr>
          <w:p>
            <w:pPr>
              <w:spacing w:after="0"/>
              <w:rPr>
                <w:color w:val="auto"/>
                <w:sz w:val="2"/>
                <w:szCs w:val="2"/>
              </w:rPr>
            </w:pPr>
          </w:p>
        </w:tc>
        <w:tc>
          <w:tcPr>
            <w:tcW w:w="52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54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8" w:type="dxa"/>
          <w:tblLayout w:type="fixed"/>
        </w:tblPrEx>
        <w:trPr>
          <w:trHeight w:val="142"/>
        </w:trPr>
        <w:tc>
          <w:tcPr>
            <w:tcW w:w="45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Beginning balance</w:t>
            </w:r>
          </w:p>
        </w:tc>
        <w:tc>
          <w:tcPr>
            <w:tcW w:w="3240" w:type="dxa"/>
            <w:shd w:val="clear" w:color="auto" w:fill="CCEEFF"/>
            <w:vAlign w:val="bottom"/>
          </w:tcPr>
          <w:p>
            <w:pPr>
              <w:spacing w:after="0" w:line="142" w:lineRule="exact"/>
              <w:ind w:right="824"/>
              <w:jc w:val="right"/>
              <w:rPr>
                <w:color w:val="auto"/>
                <w:sz w:val="20"/>
                <w:szCs w:val="20"/>
              </w:rPr>
            </w:pPr>
            <w:r>
              <w:rPr>
                <w:rFonts w:ascii="Calibri" w:eastAsia="Calibri" w:hAnsi="Calibri" w:cs="Calibri"/>
                <w:color w:val="auto"/>
                <w:sz w:val="12"/>
                <w:szCs w:val="12"/>
              </w:rPr>
              <w:t>$</w:t>
            </w:r>
          </w:p>
        </w:tc>
        <w:tc>
          <w:tcPr>
            <w:tcW w:w="5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19,890</w:t>
            </w:r>
          </w:p>
        </w:tc>
        <w:tc>
          <w:tcPr>
            <w:tcW w:w="1000" w:type="dxa"/>
            <w:shd w:val="clear" w:color="auto" w:fill="CCEEFF"/>
            <w:vAlign w:val="bottom"/>
          </w:tcPr>
          <w:p>
            <w:pPr>
              <w:spacing w:after="0" w:line="142" w:lineRule="exact"/>
              <w:ind w:right="824"/>
              <w:jc w:val="right"/>
              <w:rPr>
                <w:color w:val="auto"/>
                <w:sz w:val="20"/>
                <w:szCs w:val="20"/>
              </w:rPr>
            </w:pPr>
            <w:r>
              <w:rPr>
                <w:rFonts w:ascii="Calibri" w:eastAsia="Calibri" w:hAnsi="Calibri" w:cs="Calibri"/>
                <w:color w:val="auto"/>
                <w:sz w:val="12"/>
                <w:szCs w:val="12"/>
              </w:rPr>
              <w:t>$</w:t>
            </w:r>
          </w:p>
        </w:tc>
        <w:tc>
          <w:tcPr>
            <w:tcW w:w="540" w:type="dxa"/>
            <w:shd w:val="clear" w:color="auto" w:fill="CCEEFF"/>
            <w:vAlign w:val="bottom"/>
          </w:tcPr>
          <w:p>
            <w:pPr>
              <w:spacing w:after="0" w:line="142" w:lineRule="exact"/>
              <w:ind w:right="40"/>
              <w:jc w:val="right"/>
              <w:rPr>
                <w:color w:val="auto"/>
                <w:sz w:val="20"/>
                <w:szCs w:val="20"/>
              </w:rPr>
            </w:pPr>
            <w:r>
              <w:rPr>
                <w:rFonts w:ascii="Calibri" w:eastAsia="Calibri" w:hAnsi="Calibri" w:cs="Calibri"/>
                <w:color w:val="auto"/>
                <w:sz w:val="12"/>
                <w:szCs w:val="12"/>
              </w:rPr>
              <w:t>16,384</w:t>
            </w:r>
          </w:p>
        </w:tc>
        <w:tc>
          <w:tcPr>
            <w:tcW w:w="38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14,887</w:t>
            </w:r>
          </w:p>
        </w:tc>
      </w:tr>
      <w:tr>
        <w:tblPrEx>
          <w:tblInd w:w="8" w:type="dxa"/>
          <w:tblLayout w:type="fixed"/>
        </w:tblPrEx>
        <w:trPr>
          <w:trHeight w:val="153"/>
        </w:trPr>
        <w:tc>
          <w:tcPr>
            <w:tcW w:w="4500" w:type="dxa"/>
            <w:vAlign w:val="bottom"/>
          </w:tcPr>
          <w:p>
            <w:pPr>
              <w:spacing w:after="0" w:line="153" w:lineRule="exact"/>
              <w:rPr>
                <w:color w:val="auto"/>
                <w:sz w:val="20"/>
                <w:szCs w:val="20"/>
              </w:rPr>
            </w:pPr>
            <w:r>
              <w:rPr>
                <w:rFonts w:ascii="Calibri" w:eastAsia="Calibri" w:hAnsi="Calibri" w:cs="Calibri"/>
                <w:color w:val="auto"/>
                <w:sz w:val="12"/>
                <w:szCs w:val="12"/>
              </w:rPr>
              <w:t>Additons</w:t>
            </w:r>
            <w:r>
              <w:rPr>
                <w:rFonts w:ascii="Calibri" w:eastAsia="Calibri" w:hAnsi="Calibri" w:cs="Calibri"/>
                <w:color w:val="auto"/>
                <w:sz w:val="15"/>
                <w:szCs w:val="15"/>
                <w:vertAlign w:val="superscript"/>
              </w:rPr>
              <w:t>(a)</w:t>
            </w:r>
          </w:p>
        </w:tc>
        <w:tc>
          <w:tcPr>
            <w:tcW w:w="3240" w:type="dxa"/>
            <w:vAlign w:val="bottom"/>
          </w:tcPr>
          <w:p>
            <w:pPr>
              <w:spacing w:after="0"/>
              <w:rPr>
                <w:color w:val="auto"/>
                <w:sz w:val="13"/>
                <w:szCs w:val="13"/>
              </w:rPr>
            </w:pPr>
          </w:p>
        </w:tc>
        <w:tc>
          <w:tcPr>
            <w:tcW w:w="52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w:t>
            </w:r>
          </w:p>
        </w:tc>
        <w:tc>
          <w:tcPr>
            <w:tcW w:w="1000" w:type="dxa"/>
            <w:vAlign w:val="bottom"/>
          </w:tcPr>
          <w:p>
            <w:pPr>
              <w:spacing w:after="0"/>
              <w:rPr>
                <w:color w:val="auto"/>
                <w:sz w:val="13"/>
                <w:szCs w:val="13"/>
              </w:rPr>
            </w:pPr>
          </w:p>
        </w:tc>
        <w:tc>
          <w:tcPr>
            <w:tcW w:w="540" w:type="dxa"/>
            <w:vAlign w:val="bottom"/>
          </w:tcPr>
          <w:p>
            <w:pPr>
              <w:spacing w:after="0" w:line="142" w:lineRule="exact"/>
              <w:ind w:right="40"/>
              <w:jc w:val="right"/>
              <w:rPr>
                <w:color w:val="auto"/>
                <w:sz w:val="20"/>
                <w:szCs w:val="20"/>
              </w:rPr>
            </w:pPr>
            <w:r>
              <w:rPr>
                <w:rFonts w:ascii="Calibri" w:eastAsia="Calibri" w:hAnsi="Calibri" w:cs="Calibri"/>
                <w:color w:val="auto"/>
                <w:sz w:val="12"/>
                <w:szCs w:val="12"/>
              </w:rPr>
              <w:t>—</w:t>
            </w:r>
          </w:p>
        </w:tc>
        <w:tc>
          <w:tcPr>
            <w:tcW w:w="380" w:type="dxa"/>
            <w:vAlign w:val="bottom"/>
          </w:tcPr>
          <w:p>
            <w:pPr>
              <w:spacing w:after="0"/>
              <w:rPr>
                <w:color w:val="auto"/>
                <w:sz w:val="13"/>
                <w:szCs w:val="13"/>
              </w:rPr>
            </w:pPr>
          </w:p>
        </w:tc>
        <w:tc>
          <w:tcPr>
            <w:tcW w:w="110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32</w:t>
            </w:r>
          </w:p>
        </w:tc>
      </w:tr>
      <w:tr>
        <w:tblPrEx>
          <w:tblInd w:w="8" w:type="dxa"/>
          <w:tblLayout w:type="fixed"/>
        </w:tblPrEx>
        <w:trPr>
          <w:trHeight w:val="153"/>
        </w:trPr>
        <w:tc>
          <w:tcPr>
            <w:tcW w:w="450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Change in fair value recognized in net earnings</w:t>
            </w:r>
          </w:p>
        </w:tc>
        <w:tc>
          <w:tcPr>
            <w:tcW w:w="3240" w:type="dxa"/>
            <w:shd w:val="clear" w:color="auto" w:fill="CCEEFF"/>
            <w:vAlign w:val="bottom"/>
          </w:tcPr>
          <w:p>
            <w:pPr>
              <w:spacing w:after="0"/>
              <w:rPr>
                <w:color w:val="auto"/>
                <w:sz w:val="13"/>
                <w:szCs w:val="13"/>
              </w:rPr>
            </w:pPr>
          </w:p>
        </w:tc>
        <w:tc>
          <w:tcPr>
            <w:tcW w:w="52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3,771</w:t>
            </w:r>
          </w:p>
        </w:tc>
        <w:tc>
          <w:tcPr>
            <w:tcW w:w="1000" w:type="dxa"/>
            <w:shd w:val="clear" w:color="auto" w:fill="CCEEFF"/>
            <w:vAlign w:val="bottom"/>
          </w:tcPr>
          <w:p>
            <w:pPr>
              <w:spacing w:after="0"/>
              <w:rPr>
                <w:color w:val="auto"/>
                <w:sz w:val="13"/>
                <w:szCs w:val="13"/>
              </w:rPr>
            </w:pPr>
          </w:p>
        </w:tc>
        <w:tc>
          <w:tcPr>
            <w:tcW w:w="540" w:type="dxa"/>
            <w:shd w:val="clear" w:color="auto" w:fill="CCEEFF"/>
            <w:vAlign w:val="bottom"/>
          </w:tcPr>
          <w:p>
            <w:pPr>
              <w:spacing w:after="0" w:line="142" w:lineRule="exact"/>
              <w:ind w:right="40"/>
              <w:jc w:val="right"/>
              <w:rPr>
                <w:color w:val="auto"/>
                <w:sz w:val="20"/>
                <w:szCs w:val="20"/>
              </w:rPr>
            </w:pPr>
            <w:r>
              <w:rPr>
                <w:rFonts w:ascii="Calibri" w:eastAsia="Calibri" w:hAnsi="Calibri" w:cs="Calibri"/>
                <w:color w:val="auto"/>
                <w:sz w:val="12"/>
                <w:szCs w:val="12"/>
              </w:rPr>
              <w:t>5,128</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2,761</w:t>
            </w:r>
          </w:p>
        </w:tc>
      </w:tr>
      <w:tr>
        <w:tblPrEx>
          <w:tblInd w:w="8" w:type="dxa"/>
          <w:tblLayout w:type="fixed"/>
        </w:tblPrEx>
        <w:trPr>
          <w:trHeight w:val="147"/>
        </w:trPr>
        <w:tc>
          <w:tcPr>
            <w:tcW w:w="450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Payments</w:t>
            </w:r>
          </w:p>
        </w:tc>
        <w:tc>
          <w:tcPr>
            <w:tcW w:w="3240" w:type="dxa"/>
            <w:tcBorders>
              <w:bottom w:val="single" w:sz="8" w:space="0" w:color="auto"/>
            </w:tcBorders>
            <w:vAlign w:val="bottom"/>
          </w:tcPr>
          <w:p>
            <w:pPr>
              <w:spacing w:after="0"/>
              <w:rPr>
                <w:color w:val="auto"/>
                <w:sz w:val="12"/>
                <w:szCs w:val="12"/>
              </w:rPr>
            </w:pPr>
          </w:p>
        </w:tc>
        <w:tc>
          <w:tcPr>
            <w:tcW w:w="5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(1,995)</w:t>
            </w:r>
          </w:p>
        </w:tc>
        <w:tc>
          <w:tcPr>
            <w:tcW w:w="1000" w:type="dxa"/>
            <w:tcBorders>
              <w:bottom w:val="single" w:sz="8" w:space="0" w:color="auto"/>
            </w:tcBorders>
            <w:vAlign w:val="bottom"/>
          </w:tcPr>
          <w:p>
            <w:pPr>
              <w:spacing w:after="0"/>
              <w:rPr>
                <w:color w:val="auto"/>
                <w:sz w:val="12"/>
                <w:szCs w:val="12"/>
              </w:rPr>
            </w:pPr>
          </w:p>
        </w:tc>
        <w:tc>
          <w:tcPr>
            <w:tcW w:w="5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(1,622)</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(1,296)</w:t>
            </w:r>
          </w:p>
        </w:tc>
      </w:tr>
      <w:tr>
        <w:tblPrEx>
          <w:tblInd w:w="8" w:type="dxa"/>
          <w:tblLayout w:type="fixed"/>
        </w:tblPrEx>
        <w:trPr>
          <w:trHeight w:val="164"/>
        </w:trPr>
        <w:tc>
          <w:tcPr>
            <w:tcW w:w="450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Ending balance</w:t>
            </w:r>
          </w:p>
        </w:tc>
        <w:tc>
          <w:tcPr>
            <w:tcW w:w="3240" w:type="dxa"/>
            <w:tcBorders>
              <w:bottom w:val="single" w:sz="8" w:space="0" w:color="auto"/>
            </w:tcBorders>
            <w:shd w:val="clear" w:color="auto" w:fill="CCEEFF"/>
            <w:vAlign w:val="bottom"/>
          </w:tcPr>
          <w:p>
            <w:pPr>
              <w:spacing w:after="0" w:line="142" w:lineRule="exact"/>
              <w:ind w:right="824"/>
              <w:jc w:val="right"/>
              <w:rPr>
                <w:color w:val="auto"/>
                <w:sz w:val="20"/>
                <w:szCs w:val="20"/>
              </w:rPr>
            </w:pPr>
            <w:r>
              <w:rPr>
                <w:rFonts w:ascii="Calibri" w:eastAsia="Calibri" w:hAnsi="Calibri" w:cs="Calibri"/>
                <w:color w:val="auto"/>
                <w:sz w:val="12"/>
                <w:szCs w:val="12"/>
              </w:rPr>
              <w:t>$</w:t>
            </w:r>
          </w:p>
        </w:tc>
        <w:tc>
          <w:tcPr>
            <w:tcW w:w="52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21,666</w:t>
            </w:r>
          </w:p>
        </w:tc>
        <w:tc>
          <w:tcPr>
            <w:tcW w:w="1000" w:type="dxa"/>
            <w:tcBorders>
              <w:bottom w:val="single" w:sz="8" w:space="0" w:color="auto"/>
            </w:tcBorders>
            <w:shd w:val="clear" w:color="auto" w:fill="CCEEFF"/>
            <w:vAlign w:val="bottom"/>
          </w:tcPr>
          <w:p>
            <w:pPr>
              <w:spacing w:after="0" w:line="142" w:lineRule="exact"/>
              <w:ind w:right="824"/>
              <w:jc w:val="right"/>
              <w:rPr>
                <w:color w:val="auto"/>
                <w:sz w:val="20"/>
                <w:szCs w:val="20"/>
              </w:rPr>
            </w:pPr>
            <w:r>
              <w:rPr>
                <w:rFonts w:ascii="Calibri" w:eastAsia="Calibri" w:hAnsi="Calibri" w:cs="Calibri"/>
                <w:color w:val="auto"/>
                <w:sz w:val="12"/>
                <w:szCs w:val="12"/>
              </w:rPr>
              <w:t>$</w:t>
            </w:r>
          </w:p>
        </w:tc>
        <w:tc>
          <w:tcPr>
            <w:tcW w:w="540" w:type="dxa"/>
            <w:tcBorders>
              <w:bottom w:val="single" w:sz="8" w:space="0" w:color="auto"/>
            </w:tcBorders>
            <w:shd w:val="clear" w:color="auto" w:fill="CCEEFF"/>
            <w:vAlign w:val="bottom"/>
          </w:tcPr>
          <w:p>
            <w:pPr>
              <w:spacing w:after="0" w:line="142" w:lineRule="exact"/>
              <w:ind w:right="40"/>
              <w:jc w:val="right"/>
              <w:rPr>
                <w:color w:val="auto"/>
                <w:sz w:val="20"/>
                <w:szCs w:val="20"/>
              </w:rPr>
            </w:pPr>
            <w:r>
              <w:rPr>
                <w:rFonts w:ascii="Calibri" w:eastAsia="Calibri" w:hAnsi="Calibri" w:cs="Calibri"/>
                <w:color w:val="auto"/>
                <w:sz w:val="12"/>
                <w:szCs w:val="12"/>
              </w:rPr>
              <w:t>19,890</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16,384</w:t>
            </w:r>
          </w:p>
        </w:tc>
      </w:tr>
    </w:tbl>
    <w:p>
      <w:pPr>
        <w:spacing w:after="0" w:line="134" w:lineRule="exact"/>
        <w:rPr>
          <w:color w:val="auto"/>
          <w:sz w:val="20"/>
          <w:szCs w:val="20"/>
        </w:rPr>
      </w:pPr>
    </w:p>
    <w:p>
      <w:pPr>
        <w:numPr>
          <w:ilvl w:val="0"/>
          <w:numId w:val="28"/>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Additons during the year ended December 31, 2022, represent contngent consideraton liabilites assumed in the DJS acquisiton.</w:t>
      </w:r>
    </w:p>
    <w:p>
      <w:pPr>
        <w:spacing w:after="0" w:line="101" w:lineRule="exact"/>
        <w:rPr>
          <w:color w:val="auto"/>
          <w:sz w:val="20"/>
          <w:szCs w:val="20"/>
        </w:rPr>
      </w:pPr>
    </w:p>
    <w:p>
      <w:pPr>
        <w:spacing w:after="0" w:line="264" w:lineRule="auto"/>
        <w:ind w:left="8" w:right="100" w:firstLine="297"/>
        <w:rPr>
          <w:color w:val="auto"/>
          <w:sz w:val="20"/>
          <w:szCs w:val="20"/>
        </w:rPr>
      </w:pPr>
      <w:r>
        <w:rPr>
          <w:rFonts w:ascii="Calibri" w:eastAsia="Calibri" w:hAnsi="Calibri" w:cs="Calibri"/>
          <w:color w:val="auto"/>
          <w:sz w:val="11"/>
          <w:szCs w:val="11"/>
        </w:rPr>
        <w:t>The change in fair value recognized in net earnings is recorded in other expense, net in the consolidated statements of earnings and included charges of $3.8 billion in 2024, $5.1 billion in 2023 and $2.8 billion in 2022. In 2024, the change in fair value refected higher estmated Skyrizi sales and the passage of tme, partally ofset by higher discount rates. In 2023, the change in fair value refected higher estmated Skyrizi sales driven by stronger market share uptake, the passage of tme and lower discount rates. In 2022, the change in fair value refected higher estmated Skyrizi sales driven by stronger market share uptake and the passage of tme, partally ofset by higher discount rates.</w:t>
      </w:r>
    </w:p>
    <w:p>
      <w:pPr>
        <w:spacing w:after="0" w:line="79" w:lineRule="exact"/>
        <w:rPr>
          <w:color w:val="auto"/>
          <w:sz w:val="20"/>
          <w:szCs w:val="20"/>
        </w:rPr>
      </w:pPr>
    </w:p>
    <w:p>
      <w:pPr>
        <w:spacing w:after="0" w:line="234" w:lineRule="auto"/>
        <w:ind w:left="8" w:right="420" w:firstLine="297"/>
        <w:rPr>
          <w:color w:val="auto"/>
          <w:sz w:val="20"/>
          <w:szCs w:val="20"/>
        </w:rPr>
      </w:pPr>
      <w:r>
        <w:rPr>
          <w:rFonts w:ascii="Calibri" w:eastAsia="Calibri" w:hAnsi="Calibri" w:cs="Calibri"/>
          <w:color w:val="auto"/>
          <w:sz w:val="12"/>
          <w:szCs w:val="12"/>
        </w:rPr>
        <w:t>Contngent consideraton payments of amounts up to the inital acquisiton date fair value are classifed as cash outlows from fnancing actvites and payments of amounts in excess of the inital acquisiton date fair value are classifed as cash outlows from operatng actvites in the consolidated statements of cash fows.</w:t>
      </w:r>
    </w:p>
    <w:p>
      <w:pPr>
        <w:spacing w:after="0" w:line="20" w:lineRule="exact"/>
        <w:rPr>
          <w:color w:val="auto"/>
          <w:sz w:val="20"/>
          <w:szCs w:val="20"/>
        </w:rPr>
      </w:pPr>
      <w:r>
        <w:rPr>
          <w:color w:val="auto"/>
          <w:sz w:val="20"/>
          <w:szCs w:val="20"/>
        </w:rPr>
        <w:drawing>
          <wp:anchor simplePos="0" relativeHeight="251867136" behindDoc="1" locked="0" layoutInCell="0" allowOverlap="1">
            <wp:simplePos x="0" y="0"/>
            <wp:positionH relativeFrom="column">
              <wp:posOffset>6480810</wp:posOffset>
            </wp:positionH>
            <wp:positionV relativeFrom="paragraph">
              <wp:posOffset>250825</wp:posOffset>
            </wp:positionV>
            <wp:extent cx="400050" cy="7429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8" w:type="dxa"/>
        <w:tblLayout w:type="fixed"/>
        <w:tblCellMar>
          <w:top w:w="0" w:type="dxa"/>
          <w:left w:w="0" w:type="dxa"/>
          <w:bottom w:w="0" w:type="dxa"/>
          <w:right w:w="0" w:type="dxa"/>
        </w:tblCellMar>
      </w:tblPr>
      <w:tblGrid>
        <w:gridCol w:w="10660"/>
        <w:gridCol w:w="640"/>
      </w:tblGrid>
      <w:tr>
        <w:tblPrEx>
          <w:tblInd w:w="8"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82</w:t>
            </w:r>
          </w:p>
        </w:tc>
      </w:tr>
      <w:tr>
        <w:tblPrEx>
          <w:tblInd w:w="8"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68160" behindDoc="1" locked="0" layoutInCell="0" allowOverlap="1">
            <wp:simplePos x="0" y="0"/>
            <wp:positionH relativeFrom="column">
              <wp:posOffset>7159625</wp:posOffset>
            </wp:positionH>
            <wp:positionV relativeFrom="paragraph">
              <wp:posOffset>-23495</wp:posOffset>
            </wp:positionV>
            <wp:extent cx="31115" cy="3683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69184" behindDoc="1" locked="0" layoutInCell="0" allowOverlap="1">
            <wp:simplePos x="0" y="0"/>
            <wp:positionH relativeFrom="column">
              <wp:posOffset>-12065</wp:posOffset>
            </wp:positionH>
            <wp:positionV relativeFrom="paragraph">
              <wp:posOffset>-23495</wp:posOffset>
            </wp:positionV>
            <wp:extent cx="31115" cy="3683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292" w:header="0" w:footer="0" w:gutter="0"/>
          <w:cols w:num="1" w:space="720" w:equalWidth="0">
            <w:col w:w="11308" w:space="0"/>
          </w:cols>
        </w:sectPr>
      </w:pPr>
    </w:p>
    <w:bookmarkStart w:id="84" w:name="page85"/>
    <w:bookmarkEnd w:id="84"/>
    <w:p>
      <w:pPr>
        <w:spacing w:after="0"/>
        <w:ind w:left="280"/>
        <w:rPr>
          <w:color w:val="auto"/>
          <w:sz w:val="20"/>
          <w:szCs w:val="20"/>
        </w:rPr>
      </w:pPr>
      <w:r>
        <w:rPr>
          <w:rFonts w:ascii="Calibri" w:eastAsia="Calibri" w:hAnsi="Calibri" w:cs="Calibri"/>
          <w:color w:val="auto"/>
          <w:sz w:val="11"/>
          <w:szCs w:val="11"/>
        </w:rPr>
        <w:t>Certain fnancial instruments are carried at historical cost or some basis other than fair value. The book values, approximate fair values and bases used to measure the approximate fair values of certain fnancial instruments as of</w:t>
      </w:r>
    </w:p>
    <w:p>
      <w:pPr>
        <w:spacing w:after="0" w:line="5" w:lineRule="exact"/>
        <w:rPr>
          <w:color w:val="auto"/>
          <w:sz w:val="20"/>
          <w:szCs w:val="20"/>
        </w:rPr>
      </w:pPr>
    </w:p>
    <w:p>
      <w:pPr>
        <w:spacing w:after="0"/>
        <w:rPr>
          <w:color w:val="auto"/>
          <w:sz w:val="20"/>
          <w:szCs w:val="20"/>
        </w:rPr>
      </w:pPr>
      <w:r>
        <w:rPr>
          <w:rFonts w:ascii="Calibri" w:eastAsia="Calibri" w:hAnsi="Calibri" w:cs="Calibri"/>
          <w:color w:val="auto"/>
          <w:sz w:val="12"/>
          <w:szCs w:val="12"/>
        </w:rPr>
        <w:t>December 31, 2024 are shown in the table below:</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420"/>
        <w:gridCol w:w="320"/>
        <w:gridCol w:w="1040"/>
        <w:gridCol w:w="140"/>
        <w:gridCol w:w="1260"/>
        <w:gridCol w:w="180"/>
        <w:gridCol w:w="1160"/>
        <w:gridCol w:w="140"/>
        <w:gridCol w:w="1260"/>
        <w:gridCol w:w="340"/>
        <w:gridCol w:w="1020"/>
      </w:tblGrid>
      <w:tr>
        <w:tblPrEx>
          <w:tblInd w:w="0" w:type="dxa"/>
          <w:tblLayout w:type="fixed"/>
        </w:tblPrEx>
        <w:trPr>
          <w:trHeight w:val="122"/>
        </w:trPr>
        <w:tc>
          <w:tcPr>
            <w:tcW w:w="4420" w:type="dxa"/>
            <w:vAlign w:val="bottom"/>
          </w:tcPr>
          <w:p>
            <w:pPr>
              <w:spacing w:after="0"/>
              <w:rPr>
                <w:color w:val="auto"/>
                <w:sz w:val="10"/>
                <w:szCs w:val="10"/>
              </w:rPr>
            </w:pPr>
          </w:p>
        </w:tc>
        <w:tc>
          <w:tcPr>
            <w:tcW w:w="320" w:type="dxa"/>
            <w:vAlign w:val="bottom"/>
          </w:tcPr>
          <w:p>
            <w:pPr>
              <w:spacing w:after="0"/>
              <w:rPr>
                <w:color w:val="auto"/>
                <w:sz w:val="10"/>
                <w:szCs w:val="10"/>
              </w:rPr>
            </w:pPr>
          </w:p>
        </w:tc>
        <w:tc>
          <w:tcPr>
            <w:tcW w:w="1040" w:type="dxa"/>
            <w:vAlign w:val="bottom"/>
          </w:tcPr>
          <w:p>
            <w:pPr>
              <w:spacing w:after="0"/>
              <w:rPr>
                <w:color w:val="auto"/>
                <w:sz w:val="10"/>
                <w:szCs w:val="10"/>
              </w:rPr>
            </w:pPr>
          </w:p>
        </w:tc>
        <w:tc>
          <w:tcPr>
            <w:tcW w:w="140" w:type="dxa"/>
            <w:vAlign w:val="bottom"/>
          </w:tcPr>
          <w:p>
            <w:pPr>
              <w:spacing w:after="0"/>
              <w:rPr>
                <w:color w:val="auto"/>
                <w:sz w:val="10"/>
                <w:szCs w:val="10"/>
              </w:rPr>
            </w:pPr>
          </w:p>
        </w:tc>
        <w:tc>
          <w:tcPr>
            <w:tcW w:w="1260" w:type="dxa"/>
            <w:vAlign w:val="bottom"/>
          </w:tcPr>
          <w:p>
            <w:pPr>
              <w:spacing w:after="0"/>
              <w:rPr>
                <w:color w:val="auto"/>
                <w:sz w:val="10"/>
                <w:szCs w:val="10"/>
              </w:rPr>
            </w:pPr>
          </w:p>
        </w:tc>
        <w:tc>
          <w:tcPr>
            <w:tcW w:w="180" w:type="dxa"/>
            <w:vAlign w:val="bottom"/>
          </w:tcPr>
          <w:p>
            <w:pPr>
              <w:spacing w:after="0"/>
              <w:rPr>
                <w:color w:val="auto"/>
                <w:sz w:val="10"/>
                <w:szCs w:val="10"/>
              </w:rPr>
            </w:pPr>
          </w:p>
        </w:tc>
        <w:tc>
          <w:tcPr>
            <w:tcW w:w="1160" w:type="dxa"/>
            <w:vAlign w:val="bottom"/>
          </w:tcPr>
          <w:p>
            <w:pPr>
              <w:spacing w:after="0"/>
              <w:rPr>
                <w:color w:val="auto"/>
                <w:sz w:val="10"/>
                <w:szCs w:val="10"/>
              </w:rPr>
            </w:pPr>
          </w:p>
        </w:tc>
        <w:tc>
          <w:tcPr>
            <w:tcW w:w="1400" w:type="dxa"/>
            <w:gridSpan w:val="2"/>
            <w:vAlign w:val="bottom"/>
          </w:tcPr>
          <w:p>
            <w:pPr>
              <w:spacing w:after="0"/>
              <w:jc w:val="center"/>
              <w:rPr>
                <w:color w:val="auto"/>
                <w:sz w:val="20"/>
                <w:szCs w:val="20"/>
              </w:rPr>
            </w:pPr>
            <w:r>
              <w:rPr>
                <w:rFonts w:ascii="Calibri" w:eastAsia="Calibri" w:hAnsi="Calibri" w:cs="Calibri"/>
                <w:b/>
                <w:bCs/>
                <w:color w:val="auto"/>
                <w:w w:val="94"/>
                <w:sz w:val="10"/>
                <w:szCs w:val="10"/>
              </w:rPr>
              <w:t>Basis of fair value measurement</w:t>
            </w:r>
          </w:p>
        </w:tc>
        <w:tc>
          <w:tcPr>
            <w:tcW w:w="340" w:type="dxa"/>
            <w:vAlign w:val="bottom"/>
          </w:tcPr>
          <w:p>
            <w:pPr>
              <w:spacing w:after="0"/>
              <w:rPr>
                <w:color w:val="auto"/>
                <w:sz w:val="10"/>
                <w:szCs w:val="10"/>
              </w:rPr>
            </w:pPr>
          </w:p>
        </w:tc>
        <w:tc>
          <w:tcPr>
            <w:tcW w:w="1020" w:type="dxa"/>
            <w:vAlign w:val="bottom"/>
          </w:tcPr>
          <w:p>
            <w:pPr>
              <w:spacing w:after="0"/>
              <w:rPr>
                <w:color w:val="auto"/>
                <w:sz w:val="10"/>
                <w:szCs w:val="10"/>
              </w:rPr>
            </w:pPr>
          </w:p>
        </w:tc>
      </w:tr>
      <w:tr>
        <w:tblPrEx>
          <w:tblInd w:w="0" w:type="dxa"/>
          <w:tblLayout w:type="fixed"/>
        </w:tblPrEx>
        <w:trPr>
          <w:trHeight w:val="32"/>
        </w:trPr>
        <w:tc>
          <w:tcPr>
            <w:tcW w:w="4420" w:type="dxa"/>
            <w:vAlign w:val="bottom"/>
          </w:tcPr>
          <w:p>
            <w:pPr>
              <w:spacing w:after="0"/>
              <w:rPr>
                <w:color w:val="auto"/>
                <w:sz w:val="2"/>
                <w:szCs w:val="2"/>
              </w:rPr>
            </w:pPr>
          </w:p>
        </w:tc>
        <w:tc>
          <w:tcPr>
            <w:tcW w:w="320" w:type="dxa"/>
            <w:vAlign w:val="bottom"/>
          </w:tcPr>
          <w:p>
            <w:pPr>
              <w:spacing w:after="0"/>
              <w:rPr>
                <w:color w:val="auto"/>
                <w:sz w:val="2"/>
                <w:szCs w:val="2"/>
              </w:rPr>
            </w:pPr>
          </w:p>
        </w:tc>
        <w:tc>
          <w:tcPr>
            <w:tcW w:w="1040" w:type="dxa"/>
            <w:vAlign w:val="bottom"/>
          </w:tcPr>
          <w:p>
            <w:pPr>
              <w:spacing w:after="0"/>
              <w:rPr>
                <w:color w:val="auto"/>
                <w:sz w:val="2"/>
                <w:szCs w:val="2"/>
              </w:rPr>
            </w:pPr>
          </w:p>
        </w:tc>
        <w:tc>
          <w:tcPr>
            <w:tcW w:w="1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1340" w:type="dxa"/>
            <w:gridSpan w:val="2"/>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20" w:type="dxa"/>
            <w:tcBorders>
              <w:bottom w:val="single" w:sz="8" w:space="0" w:color="auto"/>
            </w:tcBorders>
            <w:vAlign w:val="bottom"/>
          </w:tcPr>
          <w:p>
            <w:pPr>
              <w:spacing w:after="0"/>
              <w:rPr>
                <w:color w:val="auto"/>
                <w:sz w:val="2"/>
                <w:szCs w:val="2"/>
              </w:rPr>
            </w:pPr>
          </w:p>
        </w:tc>
      </w:tr>
      <w:tr>
        <w:tblPrEx>
          <w:tblInd w:w="0" w:type="dxa"/>
          <w:tblLayout w:type="fixed"/>
        </w:tblPrEx>
        <w:trPr>
          <w:trHeight w:val="70"/>
        </w:trPr>
        <w:tc>
          <w:tcPr>
            <w:tcW w:w="4420" w:type="dxa"/>
            <w:vAlign w:val="bottom"/>
          </w:tcPr>
          <w:p>
            <w:pPr>
              <w:spacing w:after="0"/>
              <w:rPr>
                <w:color w:val="auto"/>
                <w:sz w:val="6"/>
                <w:szCs w:val="6"/>
              </w:rPr>
            </w:pPr>
          </w:p>
        </w:tc>
        <w:tc>
          <w:tcPr>
            <w:tcW w:w="320" w:type="dxa"/>
            <w:vAlign w:val="bottom"/>
          </w:tcPr>
          <w:p>
            <w:pPr>
              <w:spacing w:after="0"/>
              <w:rPr>
                <w:color w:val="auto"/>
                <w:sz w:val="6"/>
                <w:szCs w:val="6"/>
              </w:rPr>
            </w:pPr>
          </w:p>
        </w:tc>
        <w:tc>
          <w:tcPr>
            <w:tcW w:w="1040" w:type="dxa"/>
            <w:vAlign w:val="bottom"/>
          </w:tcPr>
          <w:p>
            <w:pPr>
              <w:spacing w:after="0"/>
              <w:rPr>
                <w:color w:val="auto"/>
                <w:sz w:val="6"/>
                <w:szCs w:val="6"/>
              </w:rPr>
            </w:pPr>
          </w:p>
        </w:tc>
        <w:tc>
          <w:tcPr>
            <w:tcW w:w="140" w:type="dxa"/>
            <w:vAlign w:val="bottom"/>
          </w:tcPr>
          <w:p>
            <w:pPr>
              <w:spacing w:after="0"/>
              <w:rPr>
                <w:color w:val="auto"/>
                <w:sz w:val="6"/>
                <w:szCs w:val="6"/>
              </w:rPr>
            </w:pPr>
          </w:p>
        </w:tc>
        <w:tc>
          <w:tcPr>
            <w:tcW w:w="1260" w:type="dxa"/>
            <w:vAlign w:val="bottom"/>
          </w:tcPr>
          <w:p>
            <w:pPr>
              <w:spacing w:after="0"/>
              <w:rPr>
                <w:color w:val="auto"/>
                <w:sz w:val="6"/>
                <w:szCs w:val="6"/>
              </w:rPr>
            </w:pPr>
          </w:p>
        </w:tc>
        <w:tc>
          <w:tcPr>
            <w:tcW w:w="1340" w:type="dxa"/>
            <w:gridSpan w:val="2"/>
            <w:vAlign w:val="bottom"/>
          </w:tcPr>
          <w:p>
            <w:pPr>
              <w:spacing w:after="0" w:line="70" w:lineRule="exact"/>
              <w:ind w:left="20"/>
              <w:rPr>
                <w:color w:val="auto"/>
                <w:sz w:val="20"/>
                <w:szCs w:val="20"/>
              </w:rPr>
            </w:pPr>
            <w:r>
              <w:rPr>
                <w:rFonts w:ascii="Calibri" w:eastAsia="Calibri" w:hAnsi="Calibri" w:cs="Calibri"/>
                <w:b/>
                <w:bCs/>
                <w:color w:val="auto"/>
                <w:sz w:val="7"/>
                <w:szCs w:val="7"/>
              </w:rPr>
              <w:t>Quoted prices in actve markets</w:t>
            </w:r>
          </w:p>
        </w:tc>
        <w:tc>
          <w:tcPr>
            <w:tcW w:w="140" w:type="dxa"/>
            <w:vAlign w:val="bottom"/>
          </w:tcPr>
          <w:p>
            <w:pPr>
              <w:spacing w:after="0"/>
              <w:rPr>
                <w:color w:val="auto"/>
                <w:sz w:val="6"/>
                <w:szCs w:val="6"/>
              </w:rPr>
            </w:pPr>
          </w:p>
        </w:tc>
        <w:tc>
          <w:tcPr>
            <w:tcW w:w="1260" w:type="dxa"/>
            <w:vAlign w:val="bottom"/>
          </w:tcPr>
          <w:p>
            <w:pPr>
              <w:spacing w:after="0" w:line="70" w:lineRule="exact"/>
              <w:ind w:right="68"/>
              <w:jc w:val="center"/>
              <w:rPr>
                <w:color w:val="auto"/>
                <w:sz w:val="20"/>
                <w:szCs w:val="20"/>
              </w:rPr>
            </w:pPr>
            <w:r>
              <w:rPr>
                <w:rFonts w:ascii="Calibri" w:eastAsia="Calibri" w:hAnsi="Calibri" w:cs="Calibri"/>
                <w:b/>
                <w:bCs/>
                <w:color w:val="auto"/>
                <w:sz w:val="7"/>
                <w:szCs w:val="7"/>
              </w:rPr>
              <w:t>Signifcant other observable</w:t>
            </w:r>
          </w:p>
        </w:tc>
        <w:tc>
          <w:tcPr>
            <w:tcW w:w="340" w:type="dxa"/>
            <w:vAlign w:val="bottom"/>
          </w:tcPr>
          <w:p>
            <w:pPr>
              <w:spacing w:after="0"/>
              <w:rPr>
                <w:color w:val="auto"/>
                <w:sz w:val="6"/>
                <w:szCs w:val="6"/>
              </w:rPr>
            </w:pPr>
          </w:p>
        </w:tc>
        <w:tc>
          <w:tcPr>
            <w:tcW w:w="1020" w:type="dxa"/>
            <w:vAlign w:val="bottom"/>
          </w:tcPr>
          <w:p>
            <w:pPr>
              <w:spacing w:after="0"/>
              <w:rPr>
                <w:color w:val="auto"/>
                <w:sz w:val="6"/>
                <w:szCs w:val="6"/>
              </w:rPr>
            </w:pPr>
          </w:p>
        </w:tc>
      </w:tr>
      <w:tr>
        <w:tblPrEx>
          <w:tblInd w:w="0" w:type="dxa"/>
          <w:tblLayout w:type="fixed"/>
        </w:tblPrEx>
        <w:trPr>
          <w:trHeight w:val="99"/>
        </w:trPr>
        <w:tc>
          <w:tcPr>
            <w:tcW w:w="4420" w:type="dxa"/>
            <w:vAlign w:val="bottom"/>
          </w:tcPr>
          <w:p>
            <w:pPr>
              <w:spacing w:after="0"/>
              <w:rPr>
                <w:color w:val="auto"/>
                <w:sz w:val="8"/>
                <w:szCs w:val="8"/>
              </w:rPr>
            </w:pPr>
          </w:p>
        </w:tc>
        <w:tc>
          <w:tcPr>
            <w:tcW w:w="320" w:type="dxa"/>
            <w:vAlign w:val="bottom"/>
          </w:tcPr>
          <w:p>
            <w:pPr>
              <w:spacing w:after="0"/>
              <w:rPr>
                <w:color w:val="auto"/>
                <w:sz w:val="8"/>
                <w:szCs w:val="8"/>
              </w:rPr>
            </w:pPr>
          </w:p>
        </w:tc>
        <w:tc>
          <w:tcPr>
            <w:tcW w:w="1040" w:type="dxa"/>
            <w:vAlign w:val="bottom"/>
          </w:tcPr>
          <w:p>
            <w:pPr>
              <w:spacing w:after="0"/>
              <w:rPr>
                <w:color w:val="auto"/>
                <w:sz w:val="8"/>
                <w:szCs w:val="8"/>
              </w:rPr>
            </w:pPr>
          </w:p>
        </w:tc>
        <w:tc>
          <w:tcPr>
            <w:tcW w:w="140" w:type="dxa"/>
            <w:vAlign w:val="bottom"/>
          </w:tcPr>
          <w:p>
            <w:pPr>
              <w:spacing w:after="0"/>
              <w:rPr>
                <w:color w:val="auto"/>
                <w:sz w:val="8"/>
                <w:szCs w:val="8"/>
              </w:rPr>
            </w:pPr>
          </w:p>
        </w:tc>
        <w:tc>
          <w:tcPr>
            <w:tcW w:w="1260" w:type="dxa"/>
            <w:vAlign w:val="bottom"/>
          </w:tcPr>
          <w:p>
            <w:pPr>
              <w:spacing w:after="0"/>
              <w:rPr>
                <w:color w:val="auto"/>
                <w:sz w:val="8"/>
                <w:szCs w:val="8"/>
              </w:rPr>
            </w:pPr>
          </w:p>
        </w:tc>
        <w:tc>
          <w:tcPr>
            <w:tcW w:w="180" w:type="dxa"/>
            <w:vAlign w:val="bottom"/>
          </w:tcPr>
          <w:p>
            <w:pPr>
              <w:spacing w:after="0"/>
              <w:rPr>
                <w:color w:val="auto"/>
                <w:sz w:val="8"/>
                <w:szCs w:val="8"/>
              </w:rPr>
            </w:pPr>
          </w:p>
        </w:tc>
        <w:tc>
          <w:tcPr>
            <w:tcW w:w="1160" w:type="dxa"/>
            <w:vAlign w:val="bottom"/>
          </w:tcPr>
          <w:p>
            <w:pPr>
              <w:spacing w:after="0" w:line="99" w:lineRule="exact"/>
              <w:ind w:right="265"/>
              <w:jc w:val="right"/>
              <w:rPr>
                <w:color w:val="auto"/>
                <w:sz w:val="20"/>
                <w:szCs w:val="20"/>
              </w:rPr>
            </w:pPr>
            <w:r>
              <w:rPr>
                <w:rFonts w:ascii="Calibri" w:eastAsia="Calibri" w:hAnsi="Calibri" w:cs="Calibri"/>
                <w:b/>
                <w:bCs/>
                <w:color w:val="auto"/>
                <w:sz w:val="10"/>
                <w:szCs w:val="10"/>
              </w:rPr>
              <w:t>for identcal assets</w:t>
            </w:r>
          </w:p>
        </w:tc>
        <w:tc>
          <w:tcPr>
            <w:tcW w:w="140" w:type="dxa"/>
            <w:vAlign w:val="bottom"/>
          </w:tcPr>
          <w:p>
            <w:pPr>
              <w:spacing w:after="0"/>
              <w:rPr>
                <w:color w:val="auto"/>
                <w:sz w:val="8"/>
                <w:szCs w:val="8"/>
              </w:rPr>
            </w:pPr>
          </w:p>
        </w:tc>
        <w:tc>
          <w:tcPr>
            <w:tcW w:w="1260" w:type="dxa"/>
            <w:vAlign w:val="bottom"/>
          </w:tcPr>
          <w:p>
            <w:pPr>
              <w:spacing w:after="0" w:line="99" w:lineRule="exact"/>
              <w:ind w:right="68"/>
              <w:jc w:val="center"/>
              <w:rPr>
                <w:color w:val="auto"/>
                <w:sz w:val="20"/>
                <w:szCs w:val="20"/>
              </w:rPr>
            </w:pPr>
            <w:r>
              <w:rPr>
                <w:rFonts w:ascii="Calibri" w:eastAsia="Calibri" w:hAnsi="Calibri" w:cs="Calibri"/>
                <w:b/>
                <w:bCs/>
                <w:color w:val="auto"/>
                <w:w w:val="99"/>
                <w:sz w:val="10"/>
                <w:szCs w:val="10"/>
              </w:rPr>
              <w:t>inputs</w:t>
            </w:r>
          </w:p>
        </w:tc>
        <w:tc>
          <w:tcPr>
            <w:tcW w:w="1360" w:type="dxa"/>
            <w:gridSpan w:val="2"/>
            <w:vAlign w:val="bottom"/>
          </w:tcPr>
          <w:p>
            <w:pPr>
              <w:spacing w:after="0" w:line="99" w:lineRule="exact"/>
              <w:jc w:val="center"/>
              <w:rPr>
                <w:color w:val="auto"/>
                <w:sz w:val="20"/>
                <w:szCs w:val="20"/>
              </w:rPr>
            </w:pPr>
            <w:r>
              <w:rPr>
                <w:rFonts w:ascii="Calibri" w:eastAsia="Calibri" w:hAnsi="Calibri" w:cs="Calibri"/>
                <w:b/>
                <w:bCs/>
                <w:color w:val="auto"/>
                <w:w w:val="96"/>
                <w:sz w:val="10"/>
                <w:szCs w:val="10"/>
              </w:rPr>
              <w:t>Signifcant unobservable inputs</w:t>
            </w:r>
          </w:p>
        </w:tc>
      </w:tr>
      <w:tr>
        <w:tblPrEx>
          <w:tblInd w:w="0" w:type="dxa"/>
          <w:tblLayout w:type="fixed"/>
        </w:tblPrEx>
        <w:trPr>
          <w:trHeight w:val="112"/>
        </w:trPr>
        <w:tc>
          <w:tcPr>
            <w:tcW w:w="4420" w:type="dxa"/>
            <w:vAlign w:val="bottom"/>
          </w:tcPr>
          <w:p>
            <w:pPr>
              <w:spacing w:after="0" w:line="112" w:lineRule="exact"/>
              <w:rPr>
                <w:color w:val="auto"/>
                <w:sz w:val="20"/>
                <w:szCs w:val="20"/>
              </w:rPr>
            </w:pPr>
            <w:r>
              <w:rPr>
                <w:rFonts w:ascii="Calibri" w:eastAsia="Calibri" w:hAnsi="Calibri" w:cs="Calibri"/>
                <w:b/>
                <w:bCs/>
                <w:color w:val="auto"/>
                <w:sz w:val="10"/>
                <w:szCs w:val="10"/>
              </w:rPr>
              <w:t>(in millions)</w:t>
            </w:r>
          </w:p>
        </w:tc>
        <w:tc>
          <w:tcPr>
            <w:tcW w:w="320" w:type="dxa"/>
            <w:vAlign w:val="bottom"/>
          </w:tcPr>
          <w:p>
            <w:pPr>
              <w:spacing w:after="0"/>
              <w:rPr>
                <w:color w:val="auto"/>
                <w:sz w:val="9"/>
                <w:szCs w:val="9"/>
              </w:rPr>
            </w:pPr>
          </w:p>
        </w:tc>
        <w:tc>
          <w:tcPr>
            <w:tcW w:w="1040" w:type="dxa"/>
            <w:vAlign w:val="bottom"/>
          </w:tcPr>
          <w:p>
            <w:pPr>
              <w:spacing w:after="0" w:line="112" w:lineRule="exact"/>
              <w:ind w:right="363"/>
              <w:jc w:val="right"/>
              <w:rPr>
                <w:color w:val="auto"/>
                <w:sz w:val="20"/>
                <w:szCs w:val="20"/>
              </w:rPr>
            </w:pPr>
            <w:r>
              <w:rPr>
                <w:rFonts w:ascii="Calibri" w:eastAsia="Calibri" w:hAnsi="Calibri" w:cs="Calibri"/>
                <w:b/>
                <w:bCs/>
                <w:color w:val="auto"/>
                <w:sz w:val="10"/>
                <w:szCs w:val="10"/>
              </w:rPr>
              <w:t>Book value</w:t>
            </w:r>
          </w:p>
        </w:tc>
        <w:tc>
          <w:tcPr>
            <w:tcW w:w="140" w:type="dxa"/>
            <w:vAlign w:val="bottom"/>
          </w:tcPr>
          <w:p>
            <w:pPr>
              <w:spacing w:after="0"/>
              <w:rPr>
                <w:color w:val="auto"/>
                <w:sz w:val="9"/>
                <w:szCs w:val="9"/>
              </w:rPr>
            </w:pPr>
          </w:p>
        </w:tc>
        <w:tc>
          <w:tcPr>
            <w:tcW w:w="1260" w:type="dxa"/>
            <w:vAlign w:val="bottom"/>
          </w:tcPr>
          <w:p>
            <w:pPr>
              <w:spacing w:after="0" w:line="112" w:lineRule="exact"/>
              <w:ind w:right="203"/>
              <w:jc w:val="right"/>
              <w:rPr>
                <w:color w:val="auto"/>
                <w:sz w:val="20"/>
                <w:szCs w:val="20"/>
              </w:rPr>
            </w:pPr>
            <w:r>
              <w:rPr>
                <w:rFonts w:ascii="Calibri" w:eastAsia="Calibri" w:hAnsi="Calibri" w:cs="Calibri"/>
                <w:b/>
                <w:bCs/>
                <w:color w:val="auto"/>
                <w:w w:val="98"/>
                <w:sz w:val="10"/>
                <w:szCs w:val="10"/>
              </w:rPr>
              <w:t>Approximate fair values</w:t>
            </w:r>
          </w:p>
        </w:tc>
        <w:tc>
          <w:tcPr>
            <w:tcW w:w="180" w:type="dxa"/>
            <w:vAlign w:val="bottom"/>
          </w:tcPr>
          <w:p>
            <w:pPr>
              <w:spacing w:after="0"/>
              <w:rPr>
                <w:color w:val="auto"/>
                <w:sz w:val="9"/>
                <w:szCs w:val="9"/>
              </w:rPr>
            </w:pPr>
          </w:p>
        </w:tc>
        <w:tc>
          <w:tcPr>
            <w:tcW w:w="1160" w:type="dxa"/>
            <w:vAlign w:val="bottom"/>
          </w:tcPr>
          <w:p>
            <w:pPr>
              <w:spacing w:after="0" w:line="112" w:lineRule="exact"/>
              <w:ind w:right="445"/>
              <w:jc w:val="right"/>
              <w:rPr>
                <w:color w:val="auto"/>
                <w:sz w:val="20"/>
                <w:szCs w:val="20"/>
              </w:rPr>
            </w:pPr>
            <w:r>
              <w:rPr>
                <w:rFonts w:ascii="Calibri" w:eastAsia="Calibri" w:hAnsi="Calibri" w:cs="Calibri"/>
                <w:b/>
                <w:bCs/>
                <w:color w:val="auto"/>
                <w:sz w:val="10"/>
                <w:szCs w:val="10"/>
              </w:rPr>
              <w:t>(Level 1)</w:t>
            </w:r>
          </w:p>
        </w:tc>
        <w:tc>
          <w:tcPr>
            <w:tcW w:w="140" w:type="dxa"/>
            <w:vAlign w:val="bottom"/>
          </w:tcPr>
          <w:p>
            <w:pPr>
              <w:spacing w:after="0"/>
              <w:rPr>
                <w:color w:val="auto"/>
                <w:sz w:val="9"/>
                <w:szCs w:val="9"/>
              </w:rPr>
            </w:pPr>
          </w:p>
        </w:tc>
        <w:tc>
          <w:tcPr>
            <w:tcW w:w="1260" w:type="dxa"/>
            <w:vAlign w:val="bottom"/>
          </w:tcPr>
          <w:p>
            <w:pPr>
              <w:spacing w:after="0" w:line="112" w:lineRule="exact"/>
              <w:ind w:right="48"/>
              <w:jc w:val="center"/>
              <w:rPr>
                <w:color w:val="auto"/>
                <w:sz w:val="20"/>
                <w:szCs w:val="20"/>
              </w:rPr>
            </w:pPr>
            <w:r>
              <w:rPr>
                <w:rFonts w:ascii="Calibri" w:eastAsia="Calibri" w:hAnsi="Calibri" w:cs="Calibri"/>
                <w:b/>
                <w:bCs/>
                <w:color w:val="auto"/>
                <w:w w:val="91"/>
                <w:sz w:val="10"/>
                <w:szCs w:val="10"/>
              </w:rPr>
              <w:t>(Level 2)</w:t>
            </w:r>
          </w:p>
        </w:tc>
        <w:tc>
          <w:tcPr>
            <w:tcW w:w="340" w:type="dxa"/>
            <w:vAlign w:val="bottom"/>
          </w:tcPr>
          <w:p>
            <w:pPr>
              <w:spacing w:after="0"/>
              <w:rPr>
                <w:color w:val="auto"/>
                <w:sz w:val="9"/>
                <w:szCs w:val="9"/>
              </w:rPr>
            </w:pPr>
          </w:p>
        </w:tc>
        <w:tc>
          <w:tcPr>
            <w:tcW w:w="1020" w:type="dxa"/>
            <w:vAlign w:val="bottom"/>
          </w:tcPr>
          <w:p>
            <w:pPr>
              <w:spacing w:after="0" w:line="112" w:lineRule="exact"/>
              <w:ind w:right="223"/>
              <w:jc w:val="center"/>
              <w:rPr>
                <w:color w:val="auto"/>
                <w:sz w:val="20"/>
                <w:szCs w:val="20"/>
              </w:rPr>
            </w:pPr>
            <w:r>
              <w:rPr>
                <w:rFonts w:ascii="Calibri" w:eastAsia="Calibri" w:hAnsi="Calibri" w:cs="Calibri"/>
                <w:b/>
                <w:bCs/>
                <w:color w:val="auto"/>
                <w:w w:val="96"/>
                <w:sz w:val="10"/>
                <w:szCs w:val="10"/>
              </w:rPr>
              <w:t>(Level 3)</w:t>
            </w:r>
          </w:p>
        </w:tc>
      </w:tr>
      <w:tr>
        <w:tblPrEx>
          <w:tblInd w:w="0" w:type="dxa"/>
          <w:tblLayout w:type="fixed"/>
        </w:tblPrEx>
        <w:trPr>
          <w:trHeight w:val="32"/>
        </w:trPr>
        <w:tc>
          <w:tcPr>
            <w:tcW w:w="442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104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2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4420" w:type="dxa"/>
            <w:vAlign w:val="bottom"/>
          </w:tcPr>
          <w:p>
            <w:pPr>
              <w:spacing w:after="0" w:line="137" w:lineRule="exact"/>
              <w:rPr>
                <w:color w:val="auto"/>
                <w:sz w:val="20"/>
                <w:szCs w:val="20"/>
              </w:rPr>
            </w:pPr>
            <w:r>
              <w:rPr>
                <w:rFonts w:ascii="Calibri" w:eastAsia="Calibri" w:hAnsi="Calibri" w:cs="Calibri"/>
                <w:b/>
                <w:bCs/>
                <w:color w:val="auto"/>
                <w:sz w:val="12"/>
                <w:szCs w:val="12"/>
              </w:rPr>
              <w:t>Liabilites</w:t>
            </w:r>
          </w:p>
        </w:tc>
        <w:tc>
          <w:tcPr>
            <w:tcW w:w="320" w:type="dxa"/>
            <w:vAlign w:val="bottom"/>
          </w:tcPr>
          <w:p>
            <w:pPr>
              <w:spacing w:after="0"/>
              <w:rPr>
                <w:color w:val="auto"/>
                <w:sz w:val="11"/>
                <w:szCs w:val="11"/>
              </w:rPr>
            </w:pPr>
          </w:p>
        </w:tc>
        <w:tc>
          <w:tcPr>
            <w:tcW w:w="104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1260" w:type="dxa"/>
            <w:vAlign w:val="bottom"/>
          </w:tcPr>
          <w:p>
            <w:pPr>
              <w:spacing w:after="0"/>
              <w:rPr>
                <w:color w:val="auto"/>
                <w:sz w:val="11"/>
                <w:szCs w:val="11"/>
              </w:rPr>
            </w:pPr>
          </w:p>
        </w:tc>
        <w:tc>
          <w:tcPr>
            <w:tcW w:w="180" w:type="dxa"/>
            <w:vAlign w:val="bottom"/>
          </w:tcPr>
          <w:p>
            <w:pPr>
              <w:spacing w:after="0"/>
              <w:rPr>
                <w:color w:val="auto"/>
                <w:sz w:val="11"/>
                <w:szCs w:val="11"/>
              </w:rPr>
            </w:pPr>
          </w:p>
        </w:tc>
        <w:tc>
          <w:tcPr>
            <w:tcW w:w="116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1260" w:type="dxa"/>
            <w:vAlign w:val="bottom"/>
          </w:tcPr>
          <w:p>
            <w:pPr>
              <w:spacing w:after="0"/>
              <w:rPr>
                <w:color w:val="auto"/>
                <w:sz w:val="11"/>
                <w:szCs w:val="11"/>
              </w:rPr>
            </w:pPr>
          </w:p>
        </w:tc>
        <w:tc>
          <w:tcPr>
            <w:tcW w:w="340" w:type="dxa"/>
            <w:vAlign w:val="bottom"/>
          </w:tcPr>
          <w:p>
            <w:pPr>
              <w:spacing w:after="0"/>
              <w:rPr>
                <w:color w:val="auto"/>
                <w:sz w:val="11"/>
                <w:szCs w:val="11"/>
              </w:rPr>
            </w:pPr>
          </w:p>
        </w:tc>
        <w:tc>
          <w:tcPr>
            <w:tcW w:w="1020" w:type="dxa"/>
            <w:vAlign w:val="bottom"/>
          </w:tcPr>
          <w:p>
            <w:pPr>
              <w:spacing w:after="0"/>
              <w:rPr>
                <w:color w:val="auto"/>
                <w:sz w:val="11"/>
                <w:szCs w:val="11"/>
              </w:rPr>
            </w:pPr>
          </w:p>
        </w:tc>
      </w:tr>
      <w:tr>
        <w:tblPrEx>
          <w:tblInd w:w="0" w:type="dxa"/>
          <w:tblLayout w:type="fixed"/>
        </w:tblPrEx>
        <w:trPr>
          <w:trHeight w:val="159"/>
        </w:trPr>
        <w:tc>
          <w:tcPr>
            <w:tcW w:w="4420" w:type="dxa"/>
            <w:shd w:val="clear" w:color="auto" w:fill="CCEEFF"/>
            <w:vAlign w:val="bottom"/>
          </w:tcPr>
          <w:p>
            <w:pPr>
              <w:spacing w:after="0"/>
              <w:rPr>
                <w:color w:val="auto"/>
                <w:sz w:val="20"/>
                <w:szCs w:val="20"/>
              </w:rPr>
            </w:pPr>
            <w:r>
              <w:rPr>
                <w:rFonts w:ascii="Calibri" w:eastAsia="Calibri" w:hAnsi="Calibri" w:cs="Calibri"/>
                <w:color w:val="auto"/>
                <w:sz w:val="12"/>
                <w:szCs w:val="12"/>
              </w:rPr>
              <w:t>Current porton of long-term debt and fnance lease obligatons, excluding fair value hedges</w:t>
            </w:r>
          </w:p>
        </w:tc>
        <w:tc>
          <w:tcPr>
            <w:tcW w:w="320" w:type="dxa"/>
            <w:shd w:val="clear" w:color="auto" w:fill="CCEEFF"/>
            <w:vAlign w:val="bottom"/>
          </w:tcPr>
          <w:p>
            <w:pPr>
              <w:spacing w:after="0"/>
              <w:ind w:right="120"/>
              <w:jc w:val="right"/>
              <w:rPr>
                <w:color w:val="auto"/>
                <w:sz w:val="20"/>
                <w:szCs w:val="20"/>
              </w:rPr>
            </w:pPr>
            <w:r>
              <w:rPr>
                <w:rFonts w:ascii="Calibri" w:eastAsia="Calibri" w:hAnsi="Calibri" w:cs="Calibri"/>
                <w:color w:val="auto"/>
                <w:sz w:val="12"/>
                <w:szCs w:val="12"/>
              </w:rPr>
              <w:t>$</w:t>
            </w:r>
          </w:p>
        </w:tc>
        <w:tc>
          <w:tcPr>
            <w:tcW w:w="10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6,797</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w w:val="97"/>
                <w:sz w:val="12"/>
                <w:szCs w:val="12"/>
              </w:rPr>
              <w:t>$</w:t>
            </w:r>
          </w:p>
        </w:tc>
        <w:tc>
          <w:tcPr>
            <w:tcW w:w="1260" w:type="dxa"/>
            <w:shd w:val="clear" w:color="auto" w:fill="CCEEFF"/>
            <w:vAlign w:val="bottom"/>
          </w:tcPr>
          <w:p>
            <w:pPr>
              <w:spacing w:after="0"/>
              <w:ind w:right="63"/>
              <w:jc w:val="right"/>
              <w:rPr>
                <w:color w:val="auto"/>
                <w:sz w:val="20"/>
                <w:szCs w:val="20"/>
              </w:rPr>
            </w:pPr>
            <w:r>
              <w:rPr>
                <w:rFonts w:ascii="Calibri" w:eastAsia="Calibri" w:hAnsi="Calibri" w:cs="Calibri"/>
                <w:color w:val="auto"/>
                <w:sz w:val="12"/>
                <w:szCs w:val="12"/>
              </w:rPr>
              <w:t>6,767</w:t>
            </w:r>
          </w:p>
        </w:tc>
        <w:tc>
          <w:tcPr>
            <w:tcW w:w="180" w:type="dxa"/>
            <w:shd w:val="clear" w:color="auto" w:fill="CCEEFF"/>
            <w:vAlign w:val="bottom"/>
          </w:tcPr>
          <w:p>
            <w:pPr>
              <w:spacing w:after="0"/>
              <w:ind w:left="20"/>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ind w:right="25"/>
              <w:jc w:val="right"/>
              <w:rPr>
                <w:color w:val="auto"/>
                <w:sz w:val="20"/>
                <w:szCs w:val="20"/>
              </w:rPr>
            </w:pPr>
            <w:r>
              <w:rPr>
                <w:rFonts w:ascii="Calibri" w:eastAsia="Calibri" w:hAnsi="Calibri" w:cs="Calibri"/>
                <w:color w:val="auto"/>
                <w:sz w:val="12"/>
                <w:szCs w:val="12"/>
              </w:rPr>
              <w:t>6,620</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260" w:type="dxa"/>
            <w:shd w:val="clear" w:color="auto" w:fill="CCEEFF"/>
            <w:vAlign w:val="bottom"/>
          </w:tcPr>
          <w:p>
            <w:pPr>
              <w:spacing w:after="0"/>
              <w:ind w:right="28"/>
              <w:jc w:val="right"/>
              <w:rPr>
                <w:color w:val="auto"/>
                <w:sz w:val="20"/>
                <w:szCs w:val="20"/>
              </w:rPr>
            </w:pPr>
            <w:r>
              <w:rPr>
                <w:rFonts w:ascii="Calibri" w:eastAsia="Calibri" w:hAnsi="Calibri" w:cs="Calibri"/>
                <w:color w:val="auto"/>
                <w:sz w:val="12"/>
                <w:szCs w:val="12"/>
              </w:rPr>
              <w:t>147</w:t>
            </w:r>
          </w:p>
        </w:tc>
        <w:tc>
          <w:tcPr>
            <w:tcW w:w="340" w:type="dxa"/>
            <w:shd w:val="clear" w:color="auto" w:fill="CCEEFF"/>
            <w:vAlign w:val="bottom"/>
          </w:tcPr>
          <w:p>
            <w:pPr>
              <w:spacing w:after="0"/>
              <w:ind w:right="164"/>
              <w:jc w:val="right"/>
              <w:rPr>
                <w:color w:val="auto"/>
                <w:sz w:val="20"/>
                <w:szCs w:val="20"/>
              </w:rPr>
            </w:pPr>
            <w:r>
              <w:rPr>
                <w:rFonts w:ascii="Calibri" w:eastAsia="Calibri" w:hAnsi="Calibri" w:cs="Calibri"/>
                <w:color w:val="auto"/>
                <w:sz w:val="12"/>
                <w:szCs w:val="12"/>
              </w:rPr>
              <w:t>$</w:t>
            </w:r>
          </w:p>
        </w:tc>
        <w:tc>
          <w:tcPr>
            <w:tcW w:w="1020" w:type="dxa"/>
            <w:shd w:val="clear" w:color="auto" w:fill="CCEEFF"/>
            <w:vAlign w:val="bottom"/>
          </w:tcPr>
          <w:p>
            <w:pPr>
              <w:spacing w:after="0"/>
              <w:ind w:left="860"/>
              <w:rPr>
                <w:color w:val="auto"/>
                <w:sz w:val="20"/>
                <w:szCs w:val="20"/>
              </w:rPr>
            </w:pPr>
            <w:r>
              <w:rPr>
                <w:rFonts w:ascii="Calibri" w:eastAsia="Calibri" w:hAnsi="Calibri" w:cs="Calibri"/>
                <w:color w:val="auto"/>
                <w:sz w:val="12"/>
                <w:szCs w:val="12"/>
              </w:rPr>
              <w:t>—</w:t>
            </w:r>
          </w:p>
        </w:tc>
      </w:tr>
      <w:tr>
        <w:tblPrEx>
          <w:tblInd w:w="0" w:type="dxa"/>
          <w:tblLayout w:type="fixed"/>
        </w:tblPrEx>
        <w:trPr>
          <w:trHeight w:val="111"/>
        </w:trPr>
        <w:tc>
          <w:tcPr>
            <w:tcW w:w="4420" w:type="dxa"/>
            <w:vAlign w:val="bottom"/>
          </w:tcPr>
          <w:p>
            <w:pPr>
              <w:spacing w:after="0" w:line="111" w:lineRule="exact"/>
              <w:rPr>
                <w:color w:val="auto"/>
                <w:sz w:val="20"/>
                <w:szCs w:val="20"/>
              </w:rPr>
            </w:pPr>
            <w:r>
              <w:rPr>
                <w:rFonts w:ascii="Calibri" w:eastAsia="Calibri" w:hAnsi="Calibri" w:cs="Calibri"/>
                <w:color w:val="auto"/>
                <w:sz w:val="12"/>
                <w:szCs w:val="12"/>
              </w:rPr>
              <w:t>Long-term debt and fnance lease obligatons, excluding fair value hedges and fnancing</w:t>
            </w:r>
          </w:p>
        </w:tc>
        <w:tc>
          <w:tcPr>
            <w:tcW w:w="320" w:type="dxa"/>
            <w:vAlign w:val="bottom"/>
          </w:tcPr>
          <w:p>
            <w:pPr>
              <w:spacing w:after="0"/>
              <w:rPr>
                <w:color w:val="auto"/>
                <w:sz w:val="9"/>
                <w:szCs w:val="9"/>
              </w:rPr>
            </w:pPr>
          </w:p>
        </w:tc>
        <w:tc>
          <w:tcPr>
            <w:tcW w:w="1040" w:type="dxa"/>
            <w:vAlign w:val="bottom"/>
          </w:tcPr>
          <w:p>
            <w:pPr>
              <w:spacing w:after="0"/>
              <w:rPr>
                <w:color w:val="auto"/>
                <w:sz w:val="9"/>
                <w:szCs w:val="9"/>
              </w:rPr>
            </w:pPr>
          </w:p>
        </w:tc>
        <w:tc>
          <w:tcPr>
            <w:tcW w:w="140" w:type="dxa"/>
            <w:vAlign w:val="bottom"/>
          </w:tcPr>
          <w:p>
            <w:pPr>
              <w:spacing w:after="0"/>
              <w:rPr>
                <w:color w:val="auto"/>
                <w:sz w:val="9"/>
                <w:szCs w:val="9"/>
              </w:rPr>
            </w:pPr>
          </w:p>
        </w:tc>
        <w:tc>
          <w:tcPr>
            <w:tcW w:w="1260" w:type="dxa"/>
            <w:vAlign w:val="bottom"/>
          </w:tcPr>
          <w:p>
            <w:pPr>
              <w:spacing w:after="0"/>
              <w:rPr>
                <w:color w:val="auto"/>
                <w:sz w:val="9"/>
                <w:szCs w:val="9"/>
              </w:rPr>
            </w:pPr>
          </w:p>
        </w:tc>
        <w:tc>
          <w:tcPr>
            <w:tcW w:w="180" w:type="dxa"/>
            <w:vAlign w:val="bottom"/>
          </w:tcPr>
          <w:p>
            <w:pPr>
              <w:spacing w:after="0"/>
              <w:rPr>
                <w:color w:val="auto"/>
                <w:sz w:val="9"/>
                <w:szCs w:val="9"/>
              </w:rPr>
            </w:pPr>
          </w:p>
        </w:tc>
        <w:tc>
          <w:tcPr>
            <w:tcW w:w="1160" w:type="dxa"/>
            <w:vAlign w:val="bottom"/>
          </w:tcPr>
          <w:p>
            <w:pPr>
              <w:spacing w:after="0"/>
              <w:rPr>
                <w:color w:val="auto"/>
                <w:sz w:val="9"/>
                <w:szCs w:val="9"/>
              </w:rPr>
            </w:pPr>
          </w:p>
        </w:tc>
        <w:tc>
          <w:tcPr>
            <w:tcW w:w="140" w:type="dxa"/>
            <w:vAlign w:val="bottom"/>
          </w:tcPr>
          <w:p>
            <w:pPr>
              <w:spacing w:after="0"/>
              <w:rPr>
                <w:color w:val="auto"/>
                <w:sz w:val="9"/>
                <w:szCs w:val="9"/>
              </w:rPr>
            </w:pPr>
          </w:p>
        </w:tc>
        <w:tc>
          <w:tcPr>
            <w:tcW w:w="1260" w:type="dxa"/>
            <w:vAlign w:val="bottom"/>
          </w:tcPr>
          <w:p>
            <w:pPr>
              <w:spacing w:after="0"/>
              <w:rPr>
                <w:color w:val="auto"/>
                <w:sz w:val="9"/>
                <w:szCs w:val="9"/>
              </w:rPr>
            </w:pPr>
          </w:p>
        </w:tc>
        <w:tc>
          <w:tcPr>
            <w:tcW w:w="340" w:type="dxa"/>
            <w:vAlign w:val="bottom"/>
          </w:tcPr>
          <w:p>
            <w:pPr>
              <w:spacing w:after="0"/>
              <w:rPr>
                <w:color w:val="auto"/>
                <w:sz w:val="9"/>
                <w:szCs w:val="9"/>
              </w:rPr>
            </w:pPr>
          </w:p>
        </w:tc>
        <w:tc>
          <w:tcPr>
            <w:tcW w:w="1020" w:type="dxa"/>
            <w:vAlign w:val="bottom"/>
          </w:tcPr>
          <w:p>
            <w:pPr>
              <w:spacing w:after="0"/>
              <w:rPr>
                <w:color w:val="auto"/>
                <w:sz w:val="9"/>
                <w:szCs w:val="9"/>
              </w:rPr>
            </w:pPr>
          </w:p>
        </w:tc>
      </w:tr>
      <w:tr>
        <w:tblPrEx>
          <w:tblInd w:w="0" w:type="dxa"/>
          <w:tblLayout w:type="fixed"/>
        </w:tblPrEx>
        <w:trPr>
          <w:trHeight w:val="159"/>
        </w:trPr>
        <w:tc>
          <w:tcPr>
            <w:tcW w:w="44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liability</w:t>
            </w:r>
          </w:p>
        </w:tc>
        <w:tc>
          <w:tcPr>
            <w:tcW w:w="320" w:type="dxa"/>
            <w:tcBorders>
              <w:bottom w:val="single" w:sz="8" w:space="0" w:color="auto"/>
            </w:tcBorders>
            <w:vAlign w:val="bottom"/>
          </w:tcPr>
          <w:p>
            <w:pPr>
              <w:spacing w:after="0"/>
              <w:rPr>
                <w:color w:val="auto"/>
                <w:sz w:val="13"/>
                <w:szCs w:val="13"/>
              </w:rPr>
            </w:pPr>
          </w:p>
        </w:tc>
        <w:tc>
          <w:tcPr>
            <w:tcW w:w="1040" w:type="dxa"/>
            <w:tcBorders>
              <w:bottom w:val="single" w:sz="8" w:space="0" w:color="auto"/>
            </w:tcBorders>
            <w:vAlign w:val="bottom"/>
          </w:tcPr>
          <w:p>
            <w:pPr>
              <w:spacing w:after="0"/>
              <w:jc w:val="right"/>
              <w:rPr>
                <w:color w:val="auto"/>
                <w:sz w:val="20"/>
                <w:szCs w:val="20"/>
              </w:rPr>
            </w:pPr>
            <w:r>
              <w:rPr>
                <w:rFonts w:ascii="Calibri" w:eastAsia="Calibri" w:hAnsi="Calibri" w:cs="Calibri"/>
                <w:color w:val="auto"/>
                <w:sz w:val="12"/>
                <w:szCs w:val="12"/>
              </w:rPr>
              <w:t>60,243</w:t>
            </w:r>
          </w:p>
        </w:tc>
        <w:tc>
          <w:tcPr>
            <w:tcW w:w="140" w:type="dxa"/>
            <w:tcBorders>
              <w:bottom w:val="single" w:sz="8" w:space="0" w:color="auto"/>
            </w:tcBorders>
            <w:vAlign w:val="bottom"/>
          </w:tcPr>
          <w:p>
            <w:pPr>
              <w:spacing w:after="0"/>
              <w:rPr>
                <w:color w:val="auto"/>
                <w:sz w:val="13"/>
                <w:szCs w:val="13"/>
              </w:rPr>
            </w:pPr>
          </w:p>
        </w:tc>
        <w:tc>
          <w:tcPr>
            <w:tcW w:w="1260" w:type="dxa"/>
            <w:tcBorders>
              <w:bottom w:val="single" w:sz="8" w:space="0" w:color="auto"/>
            </w:tcBorders>
            <w:vAlign w:val="bottom"/>
          </w:tcPr>
          <w:p>
            <w:pPr>
              <w:spacing w:after="0"/>
              <w:ind w:right="63"/>
              <w:jc w:val="right"/>
              <w:rPr>
                <w:color w:val="auto"/>
                <w:sz w:val="20"/>
                <w:szCs w:val="20"/>
              </w:rPr>
            </w:pPr>
            <w:r>
              <w:rPr>
                <w:rFonts w:ascii="Calibri" w:eastAsia="Calibri" w:hAnsi="Calibri" w:cs="Calibri"/>
                <w:color w:val="auto"/>
                <w:sz w:val="12"/>
                <w:szCs w:val="12"/>
              </w:rPr>
              <w:t>55,836</w:t>
            </w:r>
          </w:p>
        </w:tc>
        <w:tc>
          <w:tcPr>
            <w:tcW w:w="180" w:type="dxa"/>
            <w:tcBorders>
              <w:bottom w:val="single" w:sz="8" w:space="0" w:color="auto"/>
            </w:tcBorders>
            <w:vAlign w:val="bottom"/>
          </w:tcPr>
          <w:p>
            <w:pPr>
              <w:spacing w:after="0"/>
              <w:rPr>
                <w:color w:val="auto"/>
                <w:sz w:val="13"/>
                <w:szCs w:val="13"/>
              </w:rPr>
            </w:pPr>
          </w:p>
        </w:tc>
        <w:tc>
          <w:tcPr>
            <w:tcW w:w="1160" w:type="dxa"/>
            <w:tcBorders>
              <w:bottom w:val="single" w:sz="8" w:space="0" w:color="auto"/>
            </w:tcBorders>
            <w:vAlign w:val="bottom"/>
          </w:tcPr>
          <w:p>
            <w:pPr>
              <w:spacing w:after="0"/>
              <w:ind w:right="25"/>
              <w:jc w:val="right"/>
              <w:rPr>
                <w:color w:val="auto"/>
                <w:sz w:val="20"/>
                <w:szCs w:val="20"/>
              </w:rPr>
            </w:pPr>
            <w:r>
              <w:rPr>
                <w:rFonts w:ascii="Calibri" w:eastAsia="Calibri" w:hAnsi="Calibri" w:cs="Calibri"/>
                <w:color w:val="auto"/>
                <w:sz w:val="12"/>
                <w:szCs w:val="12"/>
              </w:rPr>
              <w:t>53,441</w:t>
            </w:r>
          </w:p>
        </w:tc>
        <w:tc>
          <w:tcPr>
            <w:tcW w:w="140" w:type="dxa"/>
            <w:tcBorders>
              <w:bottom w:val="single" w:sz="8" w:space="0" w:color="auto"/>
            </w:tcBorders>
            <w:vAlign w:val="bottom"/>
          </w:tcPr>
          <w:p>
            <w:pPr>
              <w:spacing w:after="0"/>
              <w:rPr>
                <w:color w:val="auto"/>
                <w:sz w:val="13"/>
                <w:szCs w:val="13"/>
              </w:rPr>
            </w:pPr>
          </w:p>
        </w:tc>
        <w:tc>
          <w:tcPr>
            <w:tcW w:w="1260" w:type="dxa"/>
            <w:tcBorders>
              <w:bottom w:val="single" w:sz="8" w:space="0" w:color="auto"/>
            </w:tcBorders>
            <w:vAlign w:val="bottom"/>
          </w:tcPr>
          <w:p>
            <w:pPr>
              <w:spacing w:after="0"/>
              <w:ind w:right="28"/>
              <w:jc w:val="right"/>
              <w:rPr>
                <w:color w:val="auto"/>
                <w:sz w:val="20"/>
                <w:szCs w:val="20"/>
              </w:rPr>
            </w:pPr>
            <w:r>
              <w:rPr>
                <w:rFonts w:ascii="Calibri" w:eastAsia="Calibri" w:hAnsi="Calibri" w:cs="Calibri"/>
                <w:color w:val="auto"/>
                <w:sz w:val="12"/>
                <w:szCs w:val="12"/>
              </w:rPr>
              <w:t>2,395</w:t>
            </w:r>
          </w:p>
        </w:tc>
        <w:tc>
          <w:tcPr>
            <w:tcW w:w="340" w:type="dxa"/>
            <w:tcBorders>
              <w:bottom w:val="single" w:sz="8" w:space="0" w:color="auto"/>
            </w:tcBorders>
            <w:vAlign w:val="bottom"/>
          </w:tcPr>
          <w:p>
            <w:pPr>
              <w:spacing w:after="0"/>
              <w:rPr>
                <w:color w:val="auto"/>
                <w:sz w:val="13"/>
                <w:szCs w:val="13"/>
              </w:rPr>
            </w:pPr>
          </w:p>
        </w:tc>
        <w:tc>
          <w:tcPr>
            <w:tcW w:w="1020" w:type="dxa"/>
            <w:tcBorders>
              <w:bottom w:val="single" w:sz="8" w:space="0" w:color="auto"/>
            </w:tcBorders>
            <w:vAlign w:val="bottom"/>
          </w:tcPr>
          <w:p>
            <w:pPr>
              <w:spacing w:after="0"/>
              <w:ind w:left="860"/>
              <w:rPr>
                <w:color w:val="auto"/>
                <w:sz w:val="20"/>
                <w:szCs w:val="20"/>
              </w:rPr>
            </w:pPr>
            <w:r>
              <w:rPr>
                <w:rFonts w:ascii="Calibri" w:eastAsia="Calibri" w:hAnsi="Calibri" w:cs="Calibri"/>
                <w:color w:val="auto"/>
                <w:sz w:val="12"/>
                <w:szCs w:val="12"/>
              </w:rPr>
              <w:t>—</w:t>
            </w:r>
          </w:p>
        </w:tc>
      </w:tr>
      <w:tr>
        <w:tblPrEx>
          <w:tblInd w:w="0" w:type="dxa"/>
          <w:tblLayout w:type="fixed"/>
        </w:tblPrEx>
        <w:trPr>
          <w:trHeight w:val="167"/>
        </w:trPr>
        <w:tc>
          <w:tcPr>
            <w:tcW w:w="442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liabilites</w:t>
            </w:r>
          </w:p>
        </w:tc>
        <w:tc>
          <w:tcPr>
            <w:tcW w:w="320" w:type="dxa"/>
            <w:tcBorders>
              <w:bottom w:val="single" w:sz="8" w:space="0" w:color="auto"/>
            </w:tcBorders>
            <w:shd w:val="clear" w:color="auto" w:fill="CCEEFF"/>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c>
          <w:tcPr>
            <w:tcW w:w="10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67,040</w:t>
            </w:r>
          </w:p>
        </w:tc>
        <w:tc>
          <w:tcPr>
            <w:tcW w:w="1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w w:val="97"/>
                <w:sz w:val="12"/>
                <w:szCs w:val="12"/>
              </w:rPr>
              <w:t>$</w:t>
            </w:r>
          </w:p>
        </w:tc>
        <w:tc>
          <w:tcPr>
            <w:tcW w:w="1260" w:type="dxa"/>
            <w:tcBorders>
              <w:bottom w:val="single" w:sz="8" w:space="0" w:color="auto"/>
            </w:tcBorders>
            <w:shd w:val="clear" w:color="auto" w:fill="CCEEFF"/>
            <w:vAlign w:val="bottom"/>
          </w:tcPr>
          <w:p>
            <w:pPr>
              <w:spacing w:after="0" w:line="142" w:lineRule="exact"/>
              <w:ind w:right="63"/>
              <w:jc w:val="right"/>
              <w:rPr>
                <w:color w:val="auto"/>
                <w:sz w:val="20"/>
                <w:szCs w:val="20"/>
              </w:rPr>
            </w:pPr>
            <w:r>
              <w:rPr>
                <w:rFonts w:ascii="Calibri" w:eastAsia="Calibri" w:hAnsi="Calibri" w:cs="Calibri"/>
                <w:color w:val="auto"/>
                <w:sz w:val="12"/>
                <w:szCs w:val="12"/>
              </w:rPr>
              <w:t>62,603</w:t>
            </w:r>
          </w:p>
        </w:tc>
        <w:tc>
          <w:tcPr>
            <w:tcW w:w="180" w:type="dxa"/>
            <w:tcBorders>
              <w:bottom w:val="single" w:sz="8" w:space="0" w:color="auto"/>
            </w:tcBorders>
            <w:shd w:val="clear" w:color="auto" w:fill="CCEEFF"/>
            <w:vAlign w:val="bottom"/>
          </w:tcPr>
          <w:p>
            <w:pPr>
              <w:spacing w:after="0" w:line="142" w:lineRule="exact"/>
              <w:ind w:left="20"/>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ind w:right="25"/>
              <w:jc w:val="right"/>
              <w:rPr>
                <w:color w:val="auto"/>
                <w:sz w:val="20"/>
                <w:szCs w:val="20"/>
              </w:rPr>
            </w:pPr>
            <w:r>
              <w:rPr>
                <w:rFonts w:ascii="Calibri" w:eastAsia="Calibri" w:hAnsi="Calibri" w:cs="Calibri"/>
                <w:color w:val="auto"/>
                <w:sz w:val="12"/>
                <w:szCs w:val="12"/>
              </w:rPr>
              <w:t>60,061</w:t>
            </w:r>
          </w:p>
        </w:tc>
        <w:tc>
          <w:tcPr>
            <w:tcW w:w="1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260" w:type="dxa"/>
            <w:tcBorders>
              <w:bottom w:val="single" w:sz="8" w:space="0" w:color="auto"/>
            </w:tcBorders>
            <w:shd w:val="clear" w:color="auto" w:fill="CCEEFF"/>
            <w:vAlign w:val="bottom"/>
          </w:tcPr>
          <w:p>
            <w:pPr>
              <w:spacing w:after="0" w:line="142" w:lineRule="exact"/>
              <w:ind w:right="28"/>
              <w:jc w:val="right"/>
              <w:rPr>
                <w:color w:val="auto"/>
                <w:sz w:val="20"/>
                <w:szCs w:val="20"/>
              </w:rPr>
            </w:pPr>
            <w:r>
              <w:rPr>
                <w:rFonts w:ascii="Calibri" w:eastAsia="Calibri" w:hAnsi="Calibri" w:cs="Calibri"/>
                <w:color w:val="auto"/>
                <w:sz w:val="12"/>
                <w:szCs w:val="12"/>
              </w:rPr>
              <w:t>2,542</w:t>
            </w:r>
          </w:p>
        </w:tc>
        <w:tc>
          <w:tcPr>
            <w:tcW w:w="340" w:type="dxa"/>
            <w:tcBorders>
              <w:bottom w:val="single" w:sz="8" w:space="0" w:color="auto"/>
            </w:tcBorders>
            <w:shd w:val="clear" w:color="auto" w:fill="CCEEFF"/>
            <w:vAlign w:val="bottom"/>
          </w:tcPr>
          <w:p>
            <w:pPr>
              <w:spacing w:after="0" w:line="142" w:lineRule="exact"/>
              <w:ind w:right="164"/>
              <w:jc w:val="right"/>
              <w:rPr>
                <w:color w:val="auto"/>
                <w:sz w:val="20"/>
                <w:szCs w:val="20"/>
              </w:rPr>
            </w:pPr>
            <w:r>
              <w:rPr>
                <w:rFonts w:ascii="Calibri" w:eastAsia="Calibri" w:hAnsi="Calibri" w:cs="Calibri"/>
                <w:color w:val="auto"/>
                <w:sz w:val="12"/>
                <w:szCs w:val="12"/>
              </w:rPr>
              <w:t>$</w:t>
            </w:r>
          </w:p>
        </w:tc>
        <w:tc>
          <w:tcPr>
            <w:tcW w:w="1020" w:type="dxa"/>
            <w:tcBorders>
              <w:bottom w:val="single" w:sz="8" w:space="0" w:color="auto"/>
            </w:tcBorders>
            <w:shd w:val="clear" w:color="auto" w:fill="CCEEFF"/>
            <w:vAlign w:val="bottom"/>
          </w:tcPr>
          <w:p>
            <w:pPr>
              <w:spacing w:after="0" w:line="142" w:lineRule="exact"/>
              <w:ind w:left="860"/>
              <w:rPr>
                <w:color w:val="auto"/>
                <w:sz w:val="20"/>
                <w:szCs w:val="20"/>
              </w:rPr>
            </w:pPr>
            <w:r>
              <w:rPr>
                <w:rFonts w:ascii="Calibri" w:eastAsia="Calibri" w:hAnsi="Calibri" w:cs="Calibri"/>
                <w:color w:val="auto"/>
                <w:sz w:val="12"/>
                <w:szCs w:val="12"/>
              </w:rPr>
              <w:t>—</w:t>
            </w:r>
          </w:p>
        </w:tc>
      </w:tr>
    </w:tbl>
    <w:p>
      <w:pPr>
        <w:spacing w:after="0" w:line="161"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book values, approximate fair values and bases used to measure the approximate fair values of certain fnancial instruments as of December 31, 2023 are shown in the table below:</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420"/>
        <w:gridCol w:w="320"/>
        <w:gridCol w:w="1040"/>
        <w:gridCol w:w="140"/>
        <w:gridCol w:w="1260"/>
        <w:gridCol w:w="180"/>
        <w:gridCol w:w="1160"/>
        <w:gridCol w:w="140"/>
        <w:gridCol w:w="1260"/>
        <w:gridCol w:w="340"/>
        <w:gridCol w:w="1020"/>
      </w:tblGrid>
      <w:tr>
        <w:tblPrEx>
          <w:tblInd w:w="0" w:type="dxa"/>
          <w:tblLayout w:type="fixed"/>
        </w:tblPrEx>
        <w:trPr>
          <w:trHeight w:val="122"/>
        </w:trPr>
        <w:tc>
          <w:tcPr>
            <w:tcW w:w="4420" w:type="dxa"/>
            <w:vAlign w:val="bottom"/>
          </w:tcPr>
          <w:p>
            <w:pPr>
              <w:spacing w:after="0"/>
              <w:rPr>
                <w:color w:val="auto"/>
                <w:sz w:val="10"/>
                <w:szCs w:val="10"/>
              </w:rPr>
            </w:pPr>
          </w:p>
        </w:tc>
        <w:tc>
          <w:tcPr>
            <w:tcW w:w="320" w:type="dxa"/>
            <w:vAlign w:val="bottom"/>
          </w:tcPr>
          <w:p>
            <w:pPr>
              <w:spacing w:after="0"/>
              <w:rPr>
                <w:color w:val="auto"/>
                <w:sz w:val="10"/>
                <w:szCs w:val="10"/>
              </w:rPr>
            </w:pPr>
          </w:p>
        </w:tc>
        <w:tc>
          <w:tcPr>
            <w:tcW w:w="1040" w:type="dxa"/>
            <w:vAlign w:val="bottom"/>
          </w:tcPr>
          <w:p>
            <w:pPr>
              <w:spacing w:after="0"/>
              <w:rPr>
                <w:color w:val="auto"/>
                <w:sz w:val="10"/>
                <w:szCs w:val="10"/>
              </w:rPr>
            </w:pPr>
          </w:p>
        </w:tc>
        <w:tc>
          <w:tcPr>
            <w:tcW w:w="140" w:type="dxa"/>
            <w:vAlign w:val="bottom"/>
          </w:tcPr>
          <w:p>
            <w:pPr>
              <w:spacing w:after="0"/>
              <w:rPr>
                <w:color w:val="auto"/>
                <w:sz w:val="10"/>
                <w:szCs w:val="10"/>
              </w:rPr>
            </w:pPr>
          </w:p>
        </w:tc>
        <w:tc>
          <w:tcPr>
            <w:tcW w:w="1260" w:type="dxa"/>
            <w:vAlign w:val="bottom"/>
          </w:tcPr>
          <w:p>
            <w:pPr>
              <w:spacing w:after="0"/>
              <w:rPr>
                <w:color w:val="auto"/>
                <w:sz w:val="10"/>
                <w:szCs w:val="10"/>
              </w:rPr>
            </w:pPr>
          </w:p>
        </w:tc>
        <w:tc>
          <w:tcPr>
            <w:tcW w:w="180" w:type="dxa"/>
            <w:vAlign w:val="bottom"/>
          </w:tcPr>
          <w:p>
            <w:pPr>
              <w:spacing w:after="0"/>
              <w:rPr>
                <w:color w:val="auto"/>
                <w:sz w:val="10"/>
                <w:szCs w:val="10"/>
              </w:rPr>
            </w:pPr>
          </w:p>
        </w:tc>
        <w:tc>
          <w:tcPr>
            <w:tcW w:w="1160" w:type="dxa"/>
            <w:vAlign w:val="bottom"/>
          </w:tcPr>
          <w:p>
            <w:pPr>
              <w:spacing w:after="0"/>
              <w:rPr>
                <w:color w:val="auto"/>
                <w:sz w:val="10"/>
                <w:szCs w:val="10"/>
              </w:rPr>
            </w:pPr>
          </w:p>
        </w:tc>
        <w:tc>
          <w:tcPr>
            <w:tcW w:w="1400" w:type="dxa"/>
            <w:gridSpan w:val="2"/>
            <w:vAlign w:val="bottom"/>
          </w:tcPr>
          <w:p>
            <w:pPr>
              <w:spacing w:after="0"/>
              <w:jc w:val="center"/>
              <w:rPr>
                <w:color w:val="auto"/>
                <w:sz w:val="20"/>
                <w:szCs w:val="20"/>
              </w:rPr>
            </w:pPr>
            <w:r>
              <w:rPr>
                <w:rFonts w:ascii="Calibri" w:eastAsia="Calibri" w:hAnsi="Calibri" w:cs="Calibri"/>
                <w:b/>
                <w:bCs/>
                <w:color w:val="auto"/>
                <w:w w:val="94"/>
                <w:sz w:val="10"/>
                <w:szCs w:val="10"/>
              </w:rPr>
              <w:t>Basis of fair value measurement</w:t>
            </w:r>
          </w:p>
        </w:tc>
        <w:tc>
          <w:tcPr>
            <w:tcW w:w="340" w:type="dxa"/>
            <w:vAlign w:val="bottom"/>
          </w:tcPr>
          <w:p>
            <w:pPr>
              <w:spacing w:after="0"/>
              <w:rPr>
                <w:color w:val="auto"/>
                <w:sz w:val="10"/>
                <w:szCs w:val="10"/>
              </w:rPr>
            </w:pPr>
          </w:p>
        </w:tc>
        <w:tc>
          <w:tcPr>
            <w:tcW w:w="1020" w:type="dxa"/>
            <w:vAlign w:val="bottom"/>
          </w:tcPr>
          <w:p>
            <w:pPr>
              <w:spacing w:after="0"/>
              <w:rPr>
                <w:color w:val="auto"/>
                <w:sz w:val="10"/>
                <w:szCs w:val="10"/>
              </w:rPr>
            </w:pPr>
          </w:p>
        </w:tc>
      </w:tr>
      <w:tr>
        <w:tblPrEx>
          <w:tblInd w:w="0" w:type="dxa"/>
          <w:tblLayout w:type="fixed"/>
        </w:tblPrEx>
        <w:trPr>
          <w:trHeight w:val="32"/>
        </w:trPr>
        <w:tc>
          <w:tcPr>
            <w:tcW w:w="4420" w:type="dxa"/>
            <w:vAlign w:val="bottom"/>
          </w:tcPr>
          <w:p>
            <w:pPr>
              <w:spacing w:after="0"/>
              <w:rPr>
                <w:color w:val="auto"/>
                <w:sz w:val="2"/>
                <w:szCs w:val="2"/>
              </w:rPr>
            </w:pPr>
          </w:p>
        </w:tc>
        <w:tc>
          <w:tcPr>
            <w:tcW w:w="320" w:type="dxa"/>
            <w:vAlign w:val="bottom"/>
          </w:tcPr>
          <w:p>
            <w:pPr>
              <w:spacing w:after="0"/>
              <w:rPr>
                <w:color w:val="auto"/>
                <w:sz w:val="2"/>
                <w:szCs w:val="2"/>
              </w:rPr>
            </w:pPr>
          </w:p>
        </w:tc>
        <w:tc>
          <w:tcPr>
            <w:tcW w:w="1040" w:type="dxa"/>
            <w:vAlign w:val="bottom"/>
          </w:tcPr>
          <w:p>
            <w:pPr>
              <w:spacing w:after="0"/>
              <w:rPr>
                <w:color w:val="auto"/>
                <w:sz w:val="2"/>
                <w:szCs w:val="2"/>
              </w:rPr>
            </w:pPr>
          </w:p>
        </w:tc>
        <w:tc>
          <w:tcPr>
            <w:tcW w:w="140" w:type="dxa"/>
            <w:vAlign w:val="bottom"/>
          </w:tcPr>
          <w:p>
            <w:pPr>
              <w:spacing w:after="0"/>
              <w:rPr>
                <w:color w:val="auto"/>
                <w:sz w:val="2"/>
                <w:szCs w:val="2"/>
              </w:rPr>
            </w:pPr>
          </w:p>
        </w:tc>
        <w:tc>
          <w:tcPr>
            <w:tcW w:w="1260" w:type="dxa"/>
            <w:vAlign w:val="bottom"/>
          </w:tcPr>
          <w:p>
            <w:pPr>
              <w:spacing w:after="0"/>
              <w:rPr>
                <w:color w:val="auto"/>
                <w:sz w:val="2"/>
                <w:szCs w:val="2"/>
              </w:rPr>
            </w:pPr>
          </w:p>
        </w:tc>
        <w:tc>
          <w:tcPr>
            <w:tcW w:w="1340" w:type="dxa"/>
            <w:gridSpan w:val="2"/>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20" w:type="dxa"/>
            <w:tcBorders>
              <w:bottom w:val="single" w:sz="8" w:space="0" w:color="auto"/>
            </w:tcBorders>
            <w:vAlign w:val="bottom"/>
          </w:tcPr>
          <w:p>
            <w:pPr>
              <w:spacing w:after="0"/>
              <w:rPr>
                <w:color w:val="auto"/>
                <w:sz w:val="2"/>
                <w:szCs w:val="2"/>
              </w:rPr>
            </w:pPr>
          </w:p>
        </w:tc>
      </w:tr>
      <w:tr>
        <w:tblPrEx>
          <w:tblInd w:w="0" w:type="dxa"/>
          <w:tblLayout w:type="fixed"/>
        </w:tblPrEx>
        <w:trPr>
          <w:trHeight w:val="70"/>
        </w:trPr>
        <w:tc>
          <w:tcPr>
            <w:tcW w:w="4420" w:type="dxa"/>
            <w:vAlign w:val="bottom"/>
          </w:tcPr>
          <w:p>
            <w:pPr>
              <w:spacing w:after="0"/>
              <w:rPr>
                <w:color w:val="auto"/>
                <w:sz w:val="6"/>
                <w:szCs w:val="6"/>
              </w:rPr>
            </w:pPr>
          </w:p>
        </w:tc>
        <w:tc>
          <w:tcPr>
            <w:tcW w:w="320" w:type="dxa"/>
            <w:vAlign w:val="bottom"/>
          </w:tcPr>
          <w:p>
            <w:pPr>
              <w:spacing w:after="0"/>
              <w:rPr>
                <w:color w:val="auto"/>
                <w:sz w:val="6"/>
                <w:szCs w:val="6"/>
              </w:rPr>
            </w:pPr>
          </w:p>
        </w:tc>
        <w:tc>
          <w:tcPr>
            <w:tcW w:w="1040" w:type="dxa"/>
            <w:vAlign w:val="bottom"/>
          </w:tcPr>
          <w:p>
            <w:pPr>
              <w:spacing w:after="0"/>
              <w:rPr>
                <w:color w:val="auto"/>
                <w:sz w:val="6"/>
                <w:szCs w:val="6"/>
              </w:rPr>
            </w:pPr>
          </w:p>
        </w:tc>
        <w:tc>
          <w:tcPr>
            <w:tcW w:w="140" w:type="dxa"/>
            <w:vAlign w:val="bottom"/>
          </w:tcPr>
          <w:p>
            <w:pPr>
              <w:spacing w:after="0"/>
              <w:rPr>
                <w:color w:val="auto"/>
                <w:sz w:val="6"/>
                <w:szCs w:val="6"/>
              </w:rPr>
            </w:pPr>
          </w:p>
        </w:tc>
        <w:tc>
          <w:tcPr>
            <w:tcW w:w="1260" w:type="dxa"/>
            <w:vAlign w:val="bottom"/>
          </w:tcPr>
          <w:p>
            <w:pPr>
              <w:spacing w:after="0"/>
              <w:rPr>
                <w:color w:val="auto"/>
                <w:sz w:val="6"/>
                <w:szCs w:val="6"/>
              </w:rPr>
            </w:pPr>
          </w:p>
        </w:tc>
        <w:tc>
          <w:tcPr>
            <w:tcW w:w="1340" w:type="dxa"/>
            <w:gridSpan w:val="2"/>
            <w:vAlign w:val="bottom"/>
          </w:tcPr>
          <w:p>
            <w:pPr>
              <w:spacing w:after="0" w:line="70" w:lineRule="exact"/>
              <w:ind w:left="20"/>
              <w:rPr>
                <w:color w:val="auto"/>
                <w:sz w:val="20"/>
                <w:szCs w:val="20"/>
              </w:rPr>
            </w:pPr>
            <w:r>
              <w:rPr>
                <w:rFonts w:ascii="Calibri" w:eastAsia="Calibri" w:hAnsi="Calibri" w:cs="Calibri"/>
                <w:b/>
                <w:bCs/>
                <w:color w:val="auto"/>
                <w:sz w:val="7"/>
                <w:szCs w:val="7"/>
              </w:rPr>
              <w:t>Quoted prices in actve markets</w:t>
            </w:r>
          </w:p>
        </w:tc>
        <w:tc>
          <w:tcPr>
            <w:tcW w:w="140" w:type="dxa"/>
            <w:vAlign w:val="bottom"/>
          </w:tcPr>
          <w:p>
            <w:pPr>
              <w:spacing w:after="0"/>
              <w:rPr>
                <w:color w:val="auto"/>
                <w:sz w:val="6"/>
                <w:szCs w:val="6"/>
              </w:rPr>
            </w:pPr>
          </w:p>
        </w:tc>
        <w:tc>
          <w:tcPr>
            <w:tcW w:w="1260" w:type="dxa"/>
            <w:vAlign w:val="bottom"/>
          </w:tcPr>
          <w:p>
            <w:pPr>
              <w:spacing w:after="0" w:line="70" w:lineRule="exact"/>
              <w:ind w:right="68"/>
              <w:jc w:val="center"/>
              <w:rPr>
                <w:color w:val="auto"/>
                <w:sz w:val="20"/>
                <w:szCs w:val="20"/>
              </w:rPr>
            </w:pPr>
            <w:r>
              <w:rPr>
                <w:rFonts w:ascii="Calibri" w:eastAsia="Calibri" w:hAnsi="Calibri" w:cs="Calibri"/>
                <w:b/>
                <w:bCs/>
                <w:color w:val="auto"/>
                <w:sz w:val="7"/>
                <w:szCs w:val="7"/>
              </w:rPr>
              <w:t>Signifcant other observable</w:t>
            </w:r>
          </w:p>
        </w:tc>
        <w:tc>
          <w:tcPr>
            <w:tcW w:w="340" w:type="dxa"/>
            <w:vAlign w:val="bottom"/>
          </w:tcPr>
          <w:p>
            <w:pPr>
              <w:spacing w:after="0"/>
              <w:rPr>
                <w:color w:val="auto"/>
                <w:sz w:val="6"/>
                <w:szCs w:val="6"/>
              </w:rPr>
            </w:pPr>
          </w:p>
        </w:tc>
        <w:tc>
          <w:tcPr>
            <w:tcW w:w="1020" w:type="dxa"/>
            <w:vAlign w:val="bottom"/>
          </w:tcPr>
          <w:p>
            <w:pPr>
              <w:spacing w:after="0"/>
              <w:rPr>
                <w:color w:val="auto"/>
                <w:sz w:val="6"/>
                <w:szCs w:val="6"/>
              </w:rPr>
            </w:pPr>
          </w:p>
        </w:tc>
      </w:tr>
      <w:tr>
        <w:tblPrEx>
          <w:tblInd w:w="0" w:type="dxa"/>
          <w:tblLayout w:type="fixed"/>
        </w:tblPrEx>
        <w:trPr>
          <w:trHeight w:val="99"/>
        </w:trPr>
        <w:tc>
          <w:tcPr>
            <w:tcW w:w="4420" w:type="dxa"/>
            <w:vAlign w:val="bottom"/>
          </w:tcPr>
          <w:p>
            <w:pPr>
              <w:spacing w:after="0"/>
              <w:rPr>
                <w:color w:val="auto"/>
                <w:sz w:val="8"/>
                <w:szCs w:val="8"/>
              </w:rPr>
            </w:pPr>
          </w:p>
        </w:tc>
        <w:tc>
          <w:tcPr>
            <w:tcW w:w="320" w:type="dxa"/>
            <w:vAlign w:val="bottom"/>
          </w:tcPr>
          <w:p>
            <w:pPr>
              <w:spacing w:after="0"/>
              <w:rPr>
                <w:color w:val="auto"/>
                <w:sz w:val="8"/>
                <w:szCs w:val="8"/>
              </w:rPr>
            </w:pPr>
          </w:p>
        </w:tc>
        <w:tc>
          <w:tcPr>
            <w:tcW w:w="1040" w:type="dxa"/>
            <w:vAlign w:val="bottom"/>
          </w:tcPr>
          <w:p>
            <w:pPr>
              <w:spacing w:after="0"/>
              <w:rPr>
                <w:color w:val="auto"/>
                <w:sz w:val="8"/>
                <w:szCs w:val="8"/>
              </w:rPr>
            </w:pPr>
          </w:p>
        </w:tc>
        <w:tc>
          <w:tcPr>
            <w:tcW w:w="140" w:type="dxa"/>
            <w:vAlign w:val="bottom"/>
          </w:tcPr>
          <w:p>
            <w:pPr>
              <w:spacing w:after="0"/>
              <w:rPr>
                <w:color w:val="auto"/>
                <w:sz w:val="8"/>
                <w:szCs w:val="8"/>
              </w:rPr>
            </w:pPr>
          </w:p>
        </w:tc>
        <w:tc>
          <w:tcPr>
            <w:tcW w:w="1260" w:type="dxa"/>
            <w:vAlign w:val="bottom"/>
          </w:tcPr>
          <w:p>
            <w:pPr>
              <w:spacing w:after="0"/>
              <w:rPr>
                <w:color w:val="auto"/>
                <w:sz w:val="8"/>
                <w:szCs w:val="8"/>
              </w:rPr>
            </w:pPr>
          </w:p>
        </w:tc>
        <w:tc>
          <w:tcPr>
            <w:tcW w:w="180" w:type="dxa"/>
            <w:vAlign w:val="bottom"/>
          </w:tcPr>
          <w:p>
            <w:pPr>
              <w:spacing w:after="0"/>
              <w:rPr>
                <w:color w:val="auto"/>
                <w:sz w:val="8"/>
                <w:szCs w:val="8"/>
              </w:rPr>
            </w:pPr>
          </w:p>
        </w:tc>
        <w:tc>
          <w:tcPr>
            <w:tcW w:w="1160" w:type="dxa"/>
            <w:vAlign w:val="bottom"/>
          </w:tcPr>
          <w:p>
            <w:pPr>
              <w:spacing w:after="0" w:line="99" w:lineRule="exact"/>
              <w:ind w:right="265"/>
              <w:jc w:val="right"/>
              <w:rPr>
                <w:color w:val="auto"/>
                <w:sz w:val="20"/>
                <w:szCs w:val="20"/>
              </w:rPr>
            </w:pPr>
            <w:r>
              <w:rPr>
                <w:rFonts w:ascii="Calibri" w:eastAsia="Calibri" w:hAnsi="Calibri" w:cs="Calibri"/>
                <w:b/>
                <w:bCs/>
                <w:color w:val="auto"/>
                <w:sz w:val="10"/>
                <w:szCs w:val="10"/>
              </w:rPr>
              <w:t>for identcal assets</w:t>
            </w:r>
          </w:p>
        </w:tc>
        <w:tc>
          <w:tcPr>
            <w:tcW w:w="140" w:type="dxa"/>
            <w:vAlign w:val="bottom"/>
          </w:tcPr>
          <w:p>
            <w:pPr>
              <w:spacing w:after="0"/>
              <w:rPr>
                <w:color w:val="auto"/>
                <w:sz w:val="8"/>
                <w:szCs w:val="8"/>
              </w:rPr>
            </w:pPr>
          </w:p>
        </w:tc>
        <w:tc>
          <w:tcPr>
            <w:tcW w:w="1260" w:type="dxa"/>
            <w:vAlign w:val="bottom"/>
          </w:tcPr>
          <w:p>
            <w:pPr>
              <w:spacing w:after="0" w:line="99" w:lineRule="exact"/>
              <w:ind w:right="68"/>
              <w:jc w:val="center"/>
              <w:rPr>
                <w:color w:val="auto"/>
                <w:sz w:val="20"/>
                <w:szCs w:val="20"/>
              </w:rPr>
            </w:pPr>
            <w:r>
              <w:rPr>
                <w:rFonts w:ascii="Calibri" w:eastAsia="Calibri" w:hAnsi="Calibri" w:cs="Calibri"/>
                <w:b/>
                <w:bCs/>
                <w:color w:val="auto"/>
                <w:w w:val="99"/>
                <w:sz w:val="10"/>
                <w:szCs w:val="10"/>
              </w:rPr>
              <w:t>inputs</w:t>
            </w:r>
          </w:p>
        </w:tc>
        <w:tc>
          <w:tcPr>
            <w:tcW w:w="1360" w:type="dxa"/>
            <w:gridSpan w:val="2"/>
            <w:vAlign w:val="bottom"/>
          </w:tcPr>
          <w:p>
            <w:pPr>
              <w:spacing w:after="0" w:line="99" w:lineRule="exact"/>
              <w:jc w:val="center"/>
              <w:rPr>
                <w:color w:val="auto"/>
                <w:sz w:val="20"/>
                <w:szCs w:val="20"/>
              </w:rPr>
            </w:pPr>
            <w:r>
              <w:rPr>
                <w:rFonts w:ascii="Calibri" w:eastAsia="Calibri" w:hAnsi="Calibri" w:cs="Calibri"/>
                <w:b/>
                <w:bCs/>
                <w:color w:val="auto"/>
                <w:w w:val="96"/>
                <w:sz w:val="10"/>
                <w:szCs w:val="10"/>
              </w:rPr>
              <w:t>Signifcant unobservable inputs</w:t>
            </w:r>
          </w:p>
        </w:tc>
      </w:tr>
      <w:tr>
        <w:tblPrEx>
          <w:tblInd w:w="0" w:type="dxa"/>
          <w:tblLayout w:type="fixed"/>
        </w:tblPrEx>
        <w:trPr>
          <w:trHeight w:val="112"/>
        </w:trPr>
        <w:tc>
          <w:tcPr>
            <w:tcW w:w="4420" w:type="dxa"/>
            <w:vAlign w:val="bottom"/>
          </w:tcPr>
          <w:p>
            <w:pPr>
              <w:spacing w:after="0" w:line="112" w:lineRule="exact"/>
              <w:rPr>
                <w:color w:val="auto"/>
                <w:sz w:val="20"/>
                <w:szCs w:val="20"/>
              </w:rPr>
            </w:pPr>
            <w:r>
              <w:rPr>
                <w:rFonts w:ascii="Calibri" w:eastAsia="Calibri" w:hAnsi="Calibri" w:cs="Calibri"/>
                <w:b/>
                <w:bCs/>
                <w:color w:val="auto"/>
                <w:sz w:val="10"/>
                <w:szCs w:val="10"/>
              </w:rPr>
              <w:t>(in millions)</w:t>
            </w:r>
          </w:p>
        </w:tc>
        <w:tc>
          <w:tcPr>
            <w:tcW w:w="320" w:type="dxa"/>
            <w:vAlign w:val="bottom"/>
          </w:tcPr>
          <w:p>
            <w:pPr>
              <w:spacing w:after="0"/>
              <w:rPr>
                <w:color w:val="auto"/>
                <w:sz w:val="9"/>
                <w:szCs w:val="9"/>
              </w:rPr>
            </w:pPr>
          </w:p>
        </w:tc>
        <w:tc>
          <w:tcPr>
            <w:tcW w:w="1040" w:type="dxa"/>
            <w:vAlign w:val="bottom"/>
          </w:tcPr>
          <w:p>
            <w:pPr>
              <w:spacing w:after="0" w:line="112" w:lineRule="exact"/>
              <w:ind w:right="363"/>
              <w:jc w:val="right"/>
              <w:rPr>
                <w:color w:val="auto"/>
                <w:sz w:val="20"/>
                <w:szCs w:val="20"/>
              </w:rPr>
            </w:pPr>
            <w:r>
              <w:rPr>
                <w:rFonts w:ascii="Calibri" w:eastAsia="Calibri" w:hAnsi="Calibri" w:cs="Calibri"/>
                <w:b/>
                <w:bCs/>
                <w:color w:val="auto"/>
                <w:sz w:val="10"/>
                <w:szCs w:val="10"/>
              </w:rPr>
              <w:t>Book value</w:t>
            </w:r>
          </w:p>
        </w:tc>
        <w:tc>
          <w:tcPr>
            <w:tcW w:w="140" w:type="dxa"/>
            <w:vAlign w:val="bottom"/>
          </w:tcPr>
          <w:p>
            <w:pPr>
              <w:spacing w:after="0"/>
              <w:rPr>
                <w:color w:val="auto"/>
                <w:sz w:val="9"/>
                <w:szCs w:val="9"/>
              </w:rPr>
            </w:pPr>
          </w:p>
        </w:tc>
        <w:tc>
          <w:tcPr>
            <w:tcW w:w="1260" w:type="dxa"/>
            <w:vAlign w:val="bottom"/>
          </w:tcPr>
          <w:p>
            <w:pPr>
              <w:spacing w:after="0" w:line="112" w:lineRule="exact"/>
              <w:ind w:right="203"/>
              <w:jc w:val="right"/>
              <w:rPr>
                <w:color w:val="auto"/>
                <w:sz w:val="20"/>
                <w:szCs w:val="20"/>
              </w:rPr>
            </w:pPr>
            <w:r>
              <w:rPr>
                <w:rFonts w:ascii="Calibri" w:eastAsia="Calibri" w:hAnsi="Calibri" w:cs="Calibri"/>
                <w:b/>
                <w:bCs/>
                <w:color w:val="auto"/>
                <w:w w:val="98"/>
                <w:sz w:val="10"/>
                <w:szCs w:val="10"/>
              </w:rPr>
              <w:t>Approximate fair values</w:t>
            </w:r>
          </w:p>
        </w:tc>
        <w:tc>
          <w:tcPr>
            <w:tcW w:w="180" w:type="dxa"/>
            <w:vAlign w:val="bottom"/>
          </w:tcPr>
          <w:p>
            <w:pPr>
              <w:spacing w:after="0"/>
              <w:rPr>
                <w:color w:val="auto"/>
                <w:sz w:val="9"/>
                <w:szCs w:val="9"/>
              </w:rPr>
            </w:pPr>
          </w:p>
        </w:tc>
        <w:tc>
          <w:tcPr>
            <w:tcW w:w="1160" w:type="dxa"/>
            <w:vAlign w:val="bottom"/>
          </w:tcPr>
          <w:p>
            <w:pPr>
              <w:spacing w:after="0" w:line="112" w:lineRule="exact"/>
              <w:ind w:right="445"/>
              <w:jc w:val="right"/>
              <w:rPr>
                <w:color w:val="auto"/>
                <w:sz w:val="20"/>
                <w:szCs w:val="20"/>
              </w:rPr>
            </w:pPr>
            <w:r>
              <w:rPr>
                <w:rFonts w:ascii="Calibri" w:eastAsia="Calibri" w:hAnsi="Calibri" w:cs="Calibri"/>
                <w:b/>
                <w:bCs/>
                <w:color w:val="auto"/>
                <w:sz w:val="10"/>
                <w:szCs w:val="10"/>
              </w:rPr>
              <w:t>(Level 1)</w:t>
            </w:r>
          </w:p>
        </w:tc>
        <w:tc>
          <w:tcPr>
            <w:tcW w:w="140" w:type="dxa"/>
            <w:vAlign w:val="bottom"/>
          </w:tcPr>
          <w:p>
            <w:pPr>
              <w:spacing w:after="0"/>
              <w:rPr>
                <w:color w:val="auto"/>
                <w:sz w:val="9"/>
                <w:szCs w:val="9"/>
              </w:rPr>
            </w:pPr>
          </w:p>
        </w:tc>
        <w:tc>
          <w:tcPr>
            <w:tcW w:w="1260" w:type="dxa"/>
            <w:vAlign w:val="bottom"/>
          </w:tcPr>
          <w:p>
            <w:pPr>
              <w:spacing w:after="0" w:line="112" w:lineRule="exact"/>
              <w:ind w:right="48"/>
              <w:jc w:val="center"/>
              <w:rPr>
                <w:color w:val="auto"/>
                <w:sz w:val="20"/>
                <w:szCs w:val="20"/>
              </w:rPr>
            </w:pPr>
            <w:r>
              <w:rPr>
                <w:rFonts w:ascii="Calibri" w:eastAsia="Calibri" w:hAnsi="Calibri" w:cs="Calibri"/>
                <w:b/>
                <w:bCs/>
                <w:color w:val="auto"/>
                <w:w w:val="91"/>
                <w:sz w:val="10"/>
                <w:szCs w:val="10"/>
              </w:rPr>
              <w:t>(Level 2)</w:t>
            </w:r>
          </w:p>
        </w:tc>
        <w:tc>
          <w:tcPr>
            <w:tcW w:w="340" w:type="dxa"/>
            <w:vAlign w:val="bottom"/>
          </w:tcPr>
          <w:p>
            <w:pPr>
              <w:spacing w:after="0"/>
              <w:rPr>
                <w:color w:val="auto"/>
                <w:sz w:val="9"/>
                <w:szCs w:val="9"/>
              </w:rPr>
            </w:pPr>
          </w:p>
        </w:tc>
        <w:tc>
          <w:tcPr>
            <w:tcW w:w="1020" w:type="dxa"/>
            <w:vAlign w:val="bottom"/>
          </w:tcPr>
          <w:p>
            <w:pPr>
              <w:spacing w:after="0" w:line="112" w:lineRule="exact"/>
              <w:ind w:right="223"/>
              <w:jc w:val="center"/>
              <w:rPr>
                <w:color w:val="auto"/>
                <w:sz w:val="20"/>
                <w:szCs w:val="20"/>
              </w:rPr>
            </w:pPr>
            <w:r>
              <w:rPr>
                <w:rFonts w:ascii="Calibri" w:eastAsia="Calibri" w:hAnsi="Calibri" w:cs="Calibri"/>
                <w:b/>
                <w:bCs/>
                <w:color w:val="auto"/>
                <w:w w:val="96"/>
                <w:sz w:val="10"/>
                <w:szCs w:val="10"/>
              </w:rPr>
              <w:t>(Level 3)</w:t>
            </w:r>
          </w:p>
        </w:tc>
      </w:tr>
      <w:tr>
        <w:tblPrEx>
          <w:tblInd w:w="0" w:type="dxa"/>
          <w:tblLayout w:type="fixed"/>
        </w:tblPrEx>
        <w:trPr>
          <w:trHeight w:val="32"/>
        </w:trPr>
        <w:tc>
          <w:tcPr>
            <w:tcW w:w="4420" w:type="dxa"/>
            <w:tcBorders>
              <w:bottom w:val="single" w:sz="8" w:space="0" w:color="auto"/>
            </w:tcBorders>
            <w:vAlign w:val="bottom"/>
          </w:tcPr>
          <w:p>
            <w:pPr>
              <w:spacing w:after="0"/>
              <w:rPr>
                <w:color w:val="auto"/>
                <w:sz w:val="2"/>
                <w:szCs w:val="2"/>
              </w:rPr>
            </w:pPr>
          </w:p>
        </w:tc>
        <w:tc>
          <w:tcPr>
            <w:tcW w:w="320" w:type="dxa"/>
            <w:tcBorders>
              <w:bottom w:val="single" w:sz="8" w:space="0" w:color="auto"/>
            </w:tcBorders>
            <w:vAlign w:val="bottom"/>
          </w:tcPr>
          <w:p>
            <w:pPr>
              <w:spacing w:after="0"/>
              <w:rPr>
                <w:color w:val="auto"/>
                <w:sz w:val="2"/>
                <w:szCs w:val="2"/>
              </w:rPr>
            </w:pPr>
          </w:p>
        </w:tc>
        <w:tc>
          <w:tcPr>
            <w:tcW w:w="104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02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4420" w:type="dxa"/>
            <w:vAlign w:val="bottom"/>
          </w:tcPr>
          <w:p>
            <w:pPr>
              <w:spacing w:after="0" w:line="137" w:lineRule="exact"/>
              <w:rPr>
                <w:color w:val="auto"/>
                <w:sz w:val="20"/>
                <w:szCs w:val="20"/>
              </w:rPr>
            </w:pPr>
            <w:r>
              <w:rPr>
                <w:rFonts w:ascii="Calibri" w:eastAsia="Calibri" w:hAnsi="Calibri" w:cs="Calibri"/>
                <w:b/>
                <w:bCs/>
                <w:color w:val="auto"/>
                <w:sz w:val="12"/>
                <w:szCs w:val="12"/>
              </w:rPr>
              <w:t>Liabilites</w:t>
            </w:r>
          </w:p>
        </w:tc>
        <w:tc>
          <w:tcPr>
            <w:tcW w:w="320" w:type="dxa"/>
            <w:vAlign w:val="bottom"/>
          </w:tcPr>
          <w:p>
            <w:pPr>
              <w:spacing w:after="0"/>
              <w:rPr>
                <w:color w:val="auto"/>
                <w:sz w:val="11"/>
                <w:szCs w:val="11"/>
              </w:rPr>
            </w:pPr>
          </w:p>
        </w:tc>
        <w:tc>
          <w:tcPr>
            <w:tcW w:w="104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1260" w:type="dxa"/>
            <w:vAlign w:val="bottom"/>
          </w:tcPr>
          <w:p>
            <w:pPr>
              <w:spacing w:after="0"/>
              <w:rPr>
                <w:color w:val="auto"/>
                <w:sz w:val="11"/>
                <w:szCs w:val="11"/>
              </w:rPr>
            </w:pPr>
          </w:p>
        </w:tc>
        <w:tc>
          <w:tcPr>
            <w:tcW w:w="180" w:type="dxa"/>
            <w:vAlign w:val="bottom"/>
          </w:tcPr>
          <w:p>
            <w:pPr>
              <w:spacing w:after="0"/>
              <w:rPr>
                <w:color w:val="auto"/>
                <w:sz w:val="11"/>
                <w:szCs w:val="11"/>
              </w:rPr>
            </w:pPr>
          </w:p>
        </w:tc>
        <w:tc>
          <w:tcPr>
            <w:tcW w:w="1160" w:type="dxa"/>
            <w:vAlign w:val="bottom"/>
          </w:tcPr>
          <w:p>
            <w:pPr>
              <w:spacing w:after="0"/>
              <w:rPr>
                <w:color w:val="auto"/>
                <w:sz w:val="11"/>
                <w:szCs w:val="11"/>
              </w:rPr>
            </w:pPr>
          </w:p>
        </w:tc>
        <w:tc>
          <w:tcPr>
            <w:tcW w:w="140" w:type="dxa"/>
            <w:vAlign w:val="bottom"/>
          </w:tcPr>
          <w:p>
            <w:pPr>
              <w:spacing w:after="0"/>
              <w:rPr>
                <w:color w:val="auto"/>
                <w:sz w:val="11"/>
                <w:szCs w:val="11"/>
              </w:rPr>
            </w:pPr>
          </w:p>
        </w:tc>
        <w:tc>
          <w:tcPr>
            <w:tcW w:w="1260" w:type="dxa"/>
            <w:vAlign w:val="bottom"/>
          </w:tcPr>
          <w:p>
            <w:pPr>
              <w:spacing w:after="0"/>
              <w:rPr>
                <w:color w:val="auto"/>
                <w:sz w:val="11"/>
                <w:szCs w:val="11"/>
              </w:rPr>
            </w:pPr>
          </w:p>
        </w:tc>
        <w:tc>
          <w:tcPr>
            <w:tcW w:w="340" w:type="dxa"/>
            <w:vAlign w:val="bottom"/>
          </w:tcPr>
          <w:p>
            <w:pPr>
              <w:spacing w:after="0"/>
              <w:rPr>
                <w:color w:val="auto"/>
                <w:sz w:val="11"/>
                <w:szCs w:val="11"/>
              </w:rPr>
            </w:pPr>
          </w:p>
        </w:tc>
        <w:tc>
          <w:tcPr>
            <w:tcW w:w="1020" w:type="dxa"/>
            <w:vAlign w:val="bottom"/>
          </w:tcPr>
          <w:p>
            <w:pPr>
              <w:spacing w:after="0"/>
              <w:rPr>
                <w:color w:val="auto"/>
                <w:sz w:val="11"/>
                <w:szCs w:val="11"/>
              </w:rPr>
            </w:pPr>
          </w:p>
        </w:tc>
      </w:tr>
      <w:tr>
        <w:tblPrEx>
          <w:tblInd w:w="0" w:type="dxa"/>
          <w:tblLayout w:type="fixed"/>
        </w:tblPrEx>
        <w:trPr>
          <w:trHeight w:val="159"/>
        </w:trPr>
        <w:tc>
          <w:tcPr>
            <w:tcW w:w="4420" w:type="dxa"/>
            <w:shd w:val="clear" w:color="auto" w:fill="CCEEFF"/>
            <w:vAlign w:val="bottom"/>
          </w:tcPr>
          <w:p>
            <w:pPr>
              <w:spacing w:after="0"/>
              <w:rPr>
                <w:color w:val="auto"/>
                <w:sz w:val="20"/>
                <w:szCs w:val="20"/>
              </w:rPr>
            </w:pPr>
            <w:r>
              <w:rPr>
                <w:rFonts w:ascii="Calibri" w:eastAsia="Calibri" w:hAnsi="Calibri" w:cs="Calibri"/>
                <w:color w:val="auto"/>
                <w:sz w:val="12"/>
                <w:szCs w:val="12"/>
              </w:rPr>
              <w:t>Current porton of long-term debt and fnance lease obligatons, excluding fair value hedges</w:t>
            </w:r>
          </w:p>
        </w:tc>
        <w:tc>
          <w:tcPr>
            <w:tcW w:w="320" w:type="dxa"/>
            <w:shd w:val="clear" w:color="auto" w:fill="CCEEFF"/>
            <w:vAlign w:val="bottom"/>
          </w:tcPr>
          <w:p>
            <w:pPr>
              <w:spacing w:after="0"/>
              <w:ind w:right="120"/>
              <w:jc w:val="right"/>
              <w:rPr>
                <w:color w:val="auto"/>
                <w:sz w:val="20"/>
                <w:szCs w:val="20"/>
              </w:rPr>
            </w:pPr>
            <w:r>
              <w:rPr>
                <w:rFonts w:ascii="Calibri" w:eastAsia="Calibri" w:hAnsi="Calibri" w:cs="Calibri"/>
                <w:color w:val="auto"/>
                <w:sz w:val="12"/>
                <w:szCs w:val="12"/>
              </w:rPr>
              <w:t>$</w:t>
            </w:r>
          </w:p>
        </w:tc>
        <w:tc>
          <w:tcPr>
            <w:tcW w:w="10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7,191</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w w:val="97"/>
                <w:sz w:val="12"/>
                <w:szCs w:val="12"/>
              </w:rPr>
              <w:t>$</w:t>
            </w:r>
          </w:p>
        </w:tc>
        <w:tc>
          <w:tcPr>
            <w:tcW w:w="1260" w:type="dxa"/>
            <w:shd w:val="clear" w:color="auto" w:fill="CCEEFF"/>
            <w:vAlign w:val="bottom"/>
          </w:tcPr>
          <w:p>
            <w:pPr>
              <w:spacing w:after="0"/>
              <w:ind w:right="63"/>
              <w:jc w:val="right"/>
              <w:rPr>
                <w:color w:val="auto"/>
                <w:sz w:val="20"/>
                <w:szCs w:val="20"/>
              </w:rPr>
            </w:pPr>
            <w:r>
              <w:rPr>
                <w:rFonts w:ascii="Calibri" w:eastAsia="Calibri" w:hAnsi="Calibri" w:cs="Calibri"/>
                <w:color w:val="auto"/>
                <w:sz w:val="12"/>
                <w:szCs w:val="12"/>
              </w:rPr>
              <w:t>7,069</w:t>
            </w:r>
          </w:p>
        </w:tc>
        <w:tc>
          <w:tcPr>
            <w:tcW w:w="180" w:type="dxa"/>
            <w:shd w:val="clear" w:color="auto" w:fill="CCEEFF"/>
            <w:vAlign w:val="bottom"/>
          </w:tcPr>
          <w:p>
            <w:pPr>
              <w:spacing w:after="0"/>
              <w:ind w:left="20"/>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ind w:right="25"/>
              <w:jc w:val="right"/>
              <w:rPr>
                <w:color w:val="auto"/>
                <w:sz w:val="20"/>
                <w:szCs w:val="20"/>
              </w:rPr>
            </w:pPr>
            <w:r>
              <w:rPr>
                <w:rFonts w:ascii="Calibri" w:eastAsia="Calibri" w:hAnsi="Calibri" w:cs="Calibri"/>
                <w:color w:val="auto"/>
                <w:sz w:val="12"/>
                <w:szCs w:val="12"/>
              </w:rPr>
              <w:t>6,862</w:t>
            </w:r>
          </w:p>
        </w:tc>
        <w:tc>
          <w:tcPr>
            <w:tcW w:w="14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260" w:type="dxa"/>
            <w:shd w:val="clear" w:color="auto" w:fill="CCEEFF"/>
            <w:vAlign w:val="bottom"/>
          </w:tcPr>
          <w:p>
            <w:pPr>
              <w:spacing w:after="0"/>
              <w:ind w:right="28"/>
              <w:jc w:val="right"/>
              <w:rPr>
                <w:color w:val="auto"/>
                <w:sz w:val="20"/>
                <w:szCs w:val="20"/>
              </w:rPr>
            </w:pPr>
            <w:r>
              <w:rPr>
                <w:rFonts w:ascii="Calibri" w:eastAsia="Calibri" w:hAnsi="Calibri" w:cs="Calibri"/>
                <w:color w:val="auto"/>
                <w:sz w:val="12"/>
                <w:szCs w:val="12"/>
              </w:rPr>
              <w:t>207</w:t>
            </w:r>
          </w:p>
        </w:tc>
        <w:tc>
          <w:tcPr>
            <w:tcW w:w="340" w:type="dxa"/>
            <w:shd w:val="clear" w:color="auto" w:fill="CCEEFF"/>
            <w:vAlign w:val="bottom"/>
          </w:tcPr>
          <w:p>
            <w:pPr>
              <w:spacing w:after="0"/>
              <w:ind w:right="164"/>
              <w:jc w:val="right"/>
              <w:rPr>
                <w:color w:val="auto"/>
                <w:sz w:val="20"/>
                <w:szCs w:val="20"/>
              </w:rPr>
            </w:pPr>
            <w:r>
              <w:rPr>
                <w:rFonts w:ascii="Calibri" w:eastAsia="Calibri" w:hAnsi="Calibri" w:cs="Calibri"/>
                <w:color w:val="auto"/>
                <w:sz w:val="12"/>
                <w:szCs w:val="12"/>
              </w:rPr>
              <w:t>$</w:t>
            </w:r>
          </w:p>
        </w:tc>
        <w:tc>
          <w:tcPr>
            <w:tcW w:w="1020" w:type="dxa"/>
            <w:shd w:val="clear" w:color="auto" w:fill="CCEEFF"/>
            <w:vAlign w:val="bottom"/>
          </w:tcPr>
          <w:p>
            <w:pPr>
              <w:spacing w:after="0"/>
              <w:ind w:left="860"/>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44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Long-term debt and fnance lease obligatons, excluding fair value hedges</w:t>
            </w:r>
          </w:p>
        </w:tc>
        <w:tc>
          <w:tcPr>
            <w:tcW w:w="320" w:type="dxa"/>
            <w:tcBorders>
              <w:bottom w:val="single" w:sz="8" w:space="0" w:color="auto"/>
            </w:tcBorders>
            <w:vAlign w:val="bottom"/>
          </w:tcPr>
          <w:p>
            <w:pPr>
              <w:spacing w:after="0"/>
              <w:rPr>
                <w:color w:val="auto"/>
                <w:sz w:val="12"/>
                <w:szCs w:val="12"/>
              </w:rPr>
            </w:pPr>
          </w:p>
        </w:tc>
        <w:tc>
          <w:tcPr>
            <w:tcW w:w="104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52,460</w:t>
            </w:r>
          </w:p>
        </w:tc>
        <w:tc>
          <w:tcPr>
            <w:tcW w:w="140" w:type="dxa"/>
            <w:tcBorders>
              <w:bottom w:val="single" w:sz="8" w:space="0" w:color="auto"/>
            </w:tcBorders>
            <w:vAlign w:val="bottom"/>
          </w:tcPr>
          <w:p>
            <w:pPr>
              <w:spacing w:after="0"/>
              <w:rPr>
                <w:color w:val="auto"/>
                <w:sz w:val="12"/>
                <w:szCs w:val="12"/>
              </w:rPr>
            </w:pPr>
          </w:p>
        </w:tc>
        <w:tc>
          <w:tcPr>
            <w:tcW w:w="1260" w:type="dxa"/>
            <w:tcBorders>
              <w:bottom w:val="single" w:sz="8" w:space="0" w:color="auto"/>
            </w:tcBorders>
            <w:vAlign w:val="bottom"/>
          </w:tcPr>
          <w:p>
            <w:pPr>
              <w:spacing w:after="0" w:line="142" w:lineRule="exact"/>
              <w:ind w:right="63"/>
              <w:jc w:val="right"/>
              <w:rPr>
                <w:color w:val="auto"/>
                <w:sz w:val="20"/>
                <w:szCs w:val="20"/>
              </w:rPr>
            </w:pPr>
            <w:r>
              <w:rPr>
                <w:rFonts w:ascii="Calibri" w:eastAsia="Calibri" w:hAnsi="Calibri" w:cs="Calibri"/>
                <w:color w:val="auto"/>
                <w:sz w:val="12"/>
                <w:szCs w:val="12"/>
              </w:rPr>
              <w:t>49,541</w:t>
            </w:r>
          </w:p>
        </w:tc>
        <w:tc>
          <w:tcPr>
            <w:tcW w:w="18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25"/>
              <w:jc w:val="right"/>
              <w:rPr>
                <w:color w:val="auto"/>
                <w:sz w:val="20"/>
                <w:szCs w:val="20"/>
              </w:rPr>
            </w:pPr>
            <w:r>
              <w:rPr>
                <w:rFonts w:ascii="Calibri" w:eastAsia="Calibri" w:hAnsi="Calibri" w:cs="Calibri"/>
                <w:color w:val="auto"/>
                <w:sz w:val="12"/>
                <w:szCs w:val="12"/>
              </w:rPr>
              <w:t>48,983</w:t>
            </w:r>
          </w:p>
        </w:tc>
        <w:tc>
          <w:tcPr>
            <w:tcW w:w="140" w:type="dxa"/>
            <w:tcBorders>
              <w:bottom w:val="single" w:sz="8" w:space="0" w:color="auto"/>
            </w:tcBorders>
            <w:vAlign w:val="bottom"/>
          </w:tcPr>
          <w:p>
            <w:pPr>
              <w:spacing w:after="0"/>
              <w:rPr>
                <w:color w:val="auto"/>
                <w:sz w:val="12"/>
                <w:szCs w:val="12"/>
              </w:rPr>
            </w:pPr>
          </w:p>
        </w:tc>
        <w:tc>
          <w:tcPr>
            <w:tcW w:w="1260" w:type="dxa"/>
            <w:tcBorders>
              <w:bottom w:val="single" w:sz="8" w:space="0" w:color="auto"/>
            </w:tcBorders>
            <w:vAlign w:val="bottom"/>
          </w:tcPr>
          <w:p>
            <w:pPr>
              <w:spacing w:after="0" w:line="142" w:lineRule="exact"/>
              <w:ind w:right="28"/>
              <w:jc w:val="right"/>
              <w:rPr>
                <w:color w:val="auto"/>
                <w:sz w:val="20"/>
                <w:szCs w:val="20"/>
              </w:rPr>
            </w:pPr>
            <w:r>
              <w:rPr>
                <w:rFonts w:ascii="Calibri" w:eastAsia="Calibri" w:hAnsi="Calibri" w:cs="Calibri"/>
                <w:color w:val="auto"/>
                <w:sz w:val="12"/>
                <w:szCs w:val="12"/>
              </w:rPr>
              <w:t>558</w:t>
            </w:r>
          </w:p>
        </w:tc>
        <w:tc>
          <w:tcPr>
            <w:tcW w:w="340" w:type="dxa"/>
            <w:tcBorders>
              <w:bottom w:val="single" w:sz="8" w:space="0" w:color="auto"/>
            </w:tcBorders>
            <w:vAlign w:val="bottom"/>
          </w:tcPr>
          <w:p>
            <w:pPr>
              <w:spacing w:after="0"/>
              <w:rPr>
                <w:color w:val="auto"/>
                <w:sz w:val="12"/>
                <w:szCs w:val="12"/>
              </w:rPr>
            </w:pPr>
          </w:p>
        </w:tc>
        <w:tc>
          <w:tcPr>
            <w:tcW w:w="1020" w:type="dxa"/>
            <w:tcBorders>
              <w:bottom w:val="single" w:sz="8" w:space="0" w:color="auto"/>
            </w:tcBorders>
            <w:vAlign w:val="bottom"/>
          </w:tcPr>
          <w:p>
            <w:pPr>
              <w:spacing w:after="0" w:line="142" w:lineRule="exact"/>
              <w:ind w:left="860"/>
              <w:rPr>
                <w:color w:val="auto"/>
                <w:sz w:val="20"/>
                <w:szCs w:val="20"/>
              </w:rPr>
            </w:pPr>
            <w:r>
              <w:rPr>
                <w:rFonts w:ascii="Calibri" w:eastAsia="Calibri" w:hAnsi="Calibri" w:cs="Calibri"/>
                <w:color w:val="auto"/>
                <w:sz w:val="12"/>
                <w:szCs w:val="12"/>
              </w:rPr>
              <w:t>—</w:t>
            </w:r>
          </w:p>
        </w:tc>
      </w:tr>
      <w:tr>
        <w:tblPrEx>
          <w:tblInd w:w="0" w:type="dxa"/>
          <w:tblLayout w:type="fixed"/>
        </w:tblPrEx>
        <w:trPr>
          <w:trHeight w:val="164"/>
        </w:trPr>
        <w:tc>
          <w:tcPr>
            <w:tcW w:w="442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liabilites</w:t>
            </w:r>
          </w:p>
        </w:tc>
        <w:tc>
          <w:tcPr>
            <w:tcW w:w="320" w:type="dxa"/>
            <w:tcBorders>
              <w:bottom w:val="single" w:sz="8" w:space="0" w:color="auto"/>
            </w:tcBorders>
            <w:shd w:val="clear" w:color="auto" w:fill="CCEEFF"/>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c>
          <w:tcPr>
            <w:tcW w:w="10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59,651</w:t>
            </w:r>
          </w:p>
        </w:tc>
        <w:tc>
          <w:tcPr>
            <w:tcW w:w="1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w w:val="97"/>
                <w:sz w:val="12"/>
                <w:szCs w:val="12"/>
              </w:rPr>
              <w:t>$</w:t>
            </w:r>
          </w:p>
        </w:tc>
        <w:tc>
          <w:tcPr>
            <w:tcW w:w="1260" w:type="dxa"/>
            <w:tcBorders>
              <w:bottom w:val="single" w:sz="8" w:space="0" w:color="auto"/>
            </w:tcBorders>
            <w:shd w:val="clear" w:color="auto" w:fill="CCEEFF"/>
            <w:vAlign w:val="bottom"/>
          </w:tcPr>
          <w:p>
            <w:pPr>
              <w:spacing w:after="0" w:line="142" w:lineRule="exact"/>
              <w:ind w:right="63"/>
              <w:jc w:val="right"/>
              <w:rPr>
                <w:color w:val="auto"/>
                <w:sz w:val="20"/>
                <w:szCs w:val="20"/>
              </w:rPr>
            </w:pPr>
            <w:r>
              <w:rPr>
                <w:rFonts w:ascii="Calibri" w:eastAsia="Calibri" w:hAnsi="Calibri" w:cs="Calibri"/>
                <w:color w:val="auto"/>
                <w:sz w:val="12"/>
                <w:szCs w:val="12"/>
              </w:rPr>
              <w:t>56,610</w:t>
            </w:r>
          </w:p>
        </w:tc>
        <w:tc>
          <w:tcPr>
            <w:tcW w:w="180" w:type="dxa"/>
            <w:tcBorders>
              <w:bottom w:val="single" w:sz="8" w:space="0" w:color="auto"/>
            </w:tcBorders>
            <w:shd w:val="clear" w:color="auto" w:fill="CCEEFF"/>
            <w:vAlign w:val="bottom"/>
          </w:tcPr>
          <w:p>
            <w:pPr>
              <w:spacing w:after="0" w:line="142" w:lineRule="exact"/>
              <w:ind w:left="20"/>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ind w:right="25"/>
              <w:jc w:val="right"/>
              <w:rPr>
                <w:color w:val="auto"/>
                <w:sz w:val="20"/>
                <w:szCs w:val="20"/>
              </w:rPr>
            </w:pPr>
            <w:r>
              <w:rPr>
                <w:rFonts w:ascii="Calibri" w:eastAsia="Calibri" w:hAnsi="Calibri" w:cs="Calibri"/>
                <w:color w:val="auto"/>
                <w:sz w:val="12"/>
                <w:szCs w:val="12"/>
              </w:rPr>
              <w:t>55,845</w:t>
            </w:r>
          </w:p>
        </w:tc>
        <w:tc>
          <w:tcPr>
            <w:tcW w:w="1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260" w:type="dxa"/>
            <w:tcBorders>
              <w:bottom w:val="single" w:sz="8" w:space="0" w:color="auto"/>
            </w:tcBorders>
            <w:shd w:val="clear" w:color="auto" w:fill="CCEEFF"/>
            <w:vAlign w:val="bottom"/>
          </w:tcPr>
          <w:p>
            <w:pPr>
              <w:spacing w:after="0" w:line="142" w:lineRule="exact"/>
              <w:ind w:right="28"/>
              <w:jc w:val="right"/>
              <w:rPr>
                <w:color w:val="auto"/>
                <w:sz w:val="20"/>
                <w:szCs w:val="20"/>
              </w:rPr>
            </w:pPr>
            <w:r>
              <w:rPr>
                <w:rFonts w:ascii="Calibri" w:eastAsia="Calibri" w:hAnsi="Calibri" w:cs="Calibri"/>
                <w:color w:val="auto"/>
                <w:sz w:val="12"/>
                <w:szCs w:val="12"/>
              </w:rPr>
              <w:t>765</w:t>
            </w:r>
          </w:p>
        </w:tc>
        <w:tc>
          <w:tcPr>
            <w:tcW w:w="340" w:type="dxa"/>
            <w:tcBorders>
              <w:bottom w:val="single" w:sz="8" w:space="0" w:color="auto"/>
            </w:tcBorders>
            <w:shd w:val="clear" w:color="auto" w:fill="CCEEFF"/>
            <w:vAlign w:val="bottom"/>
          </w:tcPr>
          <w:p>
            <w:pPr>
              <w:spacing w:after="0" w:line="142" w:lineRule="exact"/>
              <w:ind w:right="164"/>
              <w:jc w:val="right"/>
              <w:rPr>
                <w:color w:val="auto"/>
                <w:sz w:val="20"/>
                <w:szCs w:val="20"/>
              </w:rPr>
            </w:pPr>
            <w:r>
              <w:rPr>
                <w:rFonts w:ascii="Calibri" w:eastAsia="Calibri" w:hAnsi="Calibri" w:cs="Calibri"/>
                <w:color w:val="auto"/>
                <w:sz w:val="12"/>
                <w:szCs w:val="12"/>
              </w:rPr>
              <w:t>$</w:t>
            </w:r>
          </w:p>
        </w:tc>
        <w:tc>
          <w:tcPr>
            <w:tcW w:w="1020" w:type="dxa"/>
            <w:tcBorders>
              <w:bottom w:val="single" w:sz="8" w:space="0" w:color="auto"/>
            </w:tcBorders>
            <w:shd w:val="clear" w:color="auto" w:fill="CCEEFF"/>
            <w:vAlign w:val="bottom"/>
          </w:tcPr>
          <w:p>
            <w:pPr>
              <w:spacing w:after="0" w:line="142" w:lineRule="exact"/>
              <w:ind w:left="860"/>
              <w:rPr>
                <w:color w:val="auto"/>
                <w:sz w:val="20"/>
                <w:szCs w:val="20"/>
              </w:rPr>
            </w:pPr>
            <w:r>
              <w:rPr>
                <w:rFonts w:ascii="Calibri" w:eastAsia="Calibri" w:hAnsi="Calibri" w:cs="Calibri"/>
                <w:color w:val="auto"/>
                <w:sz w:val="12"/>
                <w:szCs w:val="12"/>
              </w:rPr>
              <w:t>—</w:t>
            </w:r>
          </w:p>
        </w:tc>
      </w:tr>
    </w:tbl>
    <w:p>
      <w:pPr>
        <w:spacing w:after="0" w:line="138" w:lineRule="exact"/>
        <w:rPr>
          <w:color w:val="auto"/>
          <w:sz w:val="20"/>
          <w:szCs w:val="20"/>
        </w:rPr>
      </w:pPr>
    </w:p>
    <w:p>
      <w:pPr>
        <w:spacing w:after="0" w:line="234" w:lineRule="auto"/>
        <w:ind w:right="160" w:firstLine="297"/>
        <w:jc w:val="both"/>
        <w:rPr>
          <w:color w:val="auto"/>
          <w:sz w:val="20"/>
          <w:szCs w:val="20"/>
        </w:rPr>
      </w:pPr>
      <w:r>
        <w:rPr>
          <w:rFonts w:ascii="Calibri" w:eastAsia="Calibri" w:hAnsi="Calibri" w:cs="Calibri"/>
          <w:color w:val="auto"/>
          <w:sz w:val="12"/>
          <w:szCs w:val="12"/>
        </w:rPr>
        <w:t>AbbVie also holds investments in equity securites that do not have readily determinable fair values. The company records these investments at cost and remeasures them to fair value based on certain observable price changes or impairment events as they occur. The carrying amount of these investments was $169 million as of December 31, 2024 and $159 million as of December 31, 2023. No signifcant cumulatve upward or downward adjustments have been recorded for these investments as of December 31, 2024.</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Concentratons of Risk</w:t>
      </w:r>
    </w:p>
    <w:p>
      <w:pPr>
        <w:spacing w:after="0" w:line="92"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Of total net accounts receivable, three U.S. wholesalers accounted for 81% as of December 31, 2024 and December 31, 2023, and substantally all of AbbVie's pharmaceutcal product net revenues in the United States were to these three wholesalers.</w:t>
      </w:r>
    </w:p>
    <w:p>
      <w:pPr>
        <w:spacing w:after="0" w:line="200" w:lineRule="exact"/>
        <w:rPr>
          <w:color w:val="auto"/>
          <w:sz w:val="20"/>
          <w:szCs w:val="20"/>
        </w:rPr>
      </w:pPr>
    </w:p>
    <w:p>
      <w:pPr>
        <w:spacing w:after="0" w:line="265"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83</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70208" behindDoc="1" locked="0" layoutInCell="0" allowOverlap="1">
            <wp:simplePos x="0" y="0"/>
            <wp:positionH relativeFrom="column">
              <wp:posOffset>-17145</wp:posOffset>
            </wp:positionH>
            <wp:positionV relativeFrom="paragraph">
              <wp:posOffset>133985</wp:posOffset>
            </wp:positionV>
            <wp:extent cx="7203440" cy="3683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871232" behindDoc="1" locked="0" layoutInCell="0" allowOverlap="1">
            <wp:simplePos x="0" y="0"/>
            <wp:positionH relativeFrom="column">
              <wp:posOffset>292100</wp:posOffset>
            </wp:positionH>
            <wp:positionV relativeFrom="paragraph">
              <wp:posOffset>-75565</wp:posOffset>
            </wp:positionV>
            <wp:extent cx="400050" cy="7429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64" w:right="319" w:bottom="1440" w:left="300" w:header="0" w:footer="0" w:gutter="0"/>
          <w:cols w:num="1" w:space="720" w:equalWidth="0">
            <w:col w:w="11280" w:space="0"/>
          </w:cols>
        </w:sectPr>
      </w:pPr>
    </w:p>
    <w:bookmarkStart w:id="85" w:name="page86"/>
    <w:bookmarkEnd w:id="85"/>
    <w:p>
      <w:pPr>
        <w:spacing w:after="0"/>
        <w:rPr>
          <w:color w:val="auto"/>
          <w:sz w:val="20"/>
          <w:szCs w:val="20"/>
        </w:rPr>
      </w:pPr>
      <w:r>
        <w:rPr>
          <w:rFonts w:ascii="Calibri" w:eastAsia="Calibri" w:hAnsi="Calibri" w:cs="Calibri"/>
          <w:b/>
          <w:bCs/>
          <w:color w:val="444867"/>
          <w:sz w:val="14"/>
          <w:szCs w:val="14"/>
        </w:rPr>
        <w:t>Note 12 Post-Employment Benefts</w:t>
      </w:r>
    </w:p>
    <w:p>
      <w:pPr>
        <w:spacing w:after="0" w:line="20" w:lineRule="exact"/>
        <w:rPr>
          <w:color w:val="auto"/>
          <w:sz w:val="20"/>
          <w:szCs w:val="20"/>
        </w:rPr>
      </w:pPr>
      <w:r>
        <w:rPr>
          <w:color w:val="auto"/>
          <w:sz w:val="20"/>
          <w:szCs w:val="20"/>
        </w:rPr>
        <w:drawing>
          <wp:anchor simplePos="0" relativeHeight="251872256" behindDoc="1" locked="0" layoutInCell="0" allowOverlap="1">
            <wp:simplePos x="0" y="0"/>
            <wp:positionH relativeFrom="column">
              <wp:posOffset>-4445</wp:posOffset>
            </wp:positionH>
            <wp:positionV relativeFrom="paragraph">
              <wp:posOffset>23495</wp:posOffset>
            </wp:positionV>
            <wp:extent cx="7166610" cy="571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45"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AbbVie sponsors various pension and other post-employment beneft plans, including defned beneft, defned contributon and terminaton indemnity plans, which cover most employees worldwide. In additon, AbbVie provides medical benefts, primarily to eligible retrees in the United States and Puerto Rico, through other post-retrement beneft plans. Net obligatons for these plans have been refected on the consolidated balance sheets as of December 31, 2024 and 2023.</w:t>
      </w:r>
    </w:p>
    <w:p>
      <w:pPr>
        <w:spacing w:after="0" w:line="9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beneft plan informaton for the global AbbVie-sponsored defned beneft and other post-employment plans: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5280"/>
        <w:gridCol w:w="340"/>
        <w:gridCol w:w="1120"/>
        <w:gridCol w:w="560"/>
        <w:gridCol w:w="920"/>
        <w:gridCol w:w="100"/>
        <w:gridCol w:w="340"/>
        <w:gridCol w:w="1140"/>
        <w:gridCol w:w="620"/>
        <w:gridCol w:w="860"/>
        <w:gridCol w:w="20"/>
      </w:tblGrid>
      <w:tr>
        <w:tblPrEx>
          <w:tblInd w:w="0" w:type="dxa"/>
          <w:tblLayout w:type="fixed"/>
        </w:tblPrEx>
        <w:trPr>
          <w:trHeight w:val="122"/>
        </w:trPr>
        <w:tc>
          <w:tcPr>
            <w:tcW w:w="528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680" w:type="dxa"/>
            <w:gridSpan w:val="2"/>
            <w:vAlign w:val="bottom"/>
          </w:tcPr>
          <w:p>
            <w:pPr>
              <w:spacing w:after="0"/>
              <w:ind w:right="60"/>
              <w:jc w:val="right"/>
              <w:rPr>
                <w:color w:val="auto"/>
                <w:sz w:val="20"/>
                <w:szCs w:val="20"/>
              </w:rPr>
            </w:pPr>
            <w:r>
              <w:rPr>
                <w:rFonts w:ascii="Calibri" w:eastAsia="Calibri" w:hAnsi="Calibri" w:cs="Calibri"/>
                <w:b/>
                <w:bCs/>
                <w:color w:val="auto"/>
                <w:sz w:val="10"/>
                <w:szCs w:val="10"/>
              </w:rPr>
              <w:t>Defned beneft plans</w:t>
            </w:r>
          </w:p>
        </w:tc>
        <w:tc>
          <w:tcPr>
            <w:tcW w:w="92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760" w:type="dxa"/>
            <w:gridSpan w:val="2"/>
            <w:vAlign w:val="bottom"/>
          </w:tcPr>
          <w:p>
            <w:pPr>
              <w:spacing w:after="0"/>
              <w:jc w:val="right"/>
              <w:rPr>
                <w:color w:val="auto"/>
                <w:sz w:val="20"/>
                <w:szCs w:val="20"/>
              </w:rPr>
            </w:pPr>
            <w:r>
              <w:rPr>
                <w:rFonts w:ascii="Calibri" w:eastAsia="Calibri" w:hAnsi="Calibri" w:cs="Calibri"/>
                <w:b/>
                <w:bCs/>
                <w:color w:val="auto"/>
                <w:sz w:val="10"/>
                <w:szCs w:val="10"/>
              </w:rPr>
              <w:t>Other post-employment plans</w:t>
            </w:r>
          </w:p>
        </w:tc>
        <w:tc>
          <w:tcPr>
            <w:tcW w:w="86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32"/>
        </w:trPr>
        <w:tc>
          <w:tcPr>
            <w:tcW w:w="5280" w:type="dxa"/>
            <w:vMerge w:val="restart"/>
            <w:vAlign w:val="bottom"/>
          </w:tcPr>
          <w:p>
            <w:pPr>
              <w:spacing w:after="0"/>
              <w:rPr>
                <w:color w:val="auto"/>
                <w:sz w:val="20"/>
                <w:szCs w:val="20"/>
              </w:rPr>
            </w:pPr>
            <w:r>
              <w:rPr>
                <w:rFonts w:ascii="Calibri" w:eastAsia="Calibri" w:hAnsi="Calibri" w:cs="Calibri"/>
                <w:b/>
                <w:bCs/>
                <w:color w:val="auto"/>
                <w:sz w:val="10"/>
                <w:szCs w:val="10"/>
              </w:rPr>
              <w:t>as of and for the years ended December 31 (in millions)</w:t>
            </w:r>
          </w:p>
        </w:tc>
        <w:tc>
          <w:tcPr>
            <w:tcW w:w="34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5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100" w:type="dxa"/>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62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01"/>
        </w:trPr>
        <w:tc>
          <w:tcPr>
            <w:tcW w:w="5280" w:type="dxa"/>
            <w:vMerge/>
            <w:vAlign w:val="bottom"/>
          </w:tcPr>
          <w:p>
            <w:pPr>
              <w:spacing w:after="0"/>
              <w:rPr>
                <w:color w:val="auto"/>
                <w:sz w:val="8"/>
                <w:szCs w:val="8"/>
              </w:rPr>
            </w:pPr>
          </w:p>
        </w:tc>
        <w:tc>
          <w:tcPr>
            <w:tcW w:w="340" w:type="dxa"/>
            <w:vAlign w:val="bottom"/>
          </w:tcPr>
          <w:p>
            <w:pPr>
              <w:spacing w:after="0"/>
              <w:rPr>
                <w:color w:val="auto"/>
                <w:sz w:val="8"/>
                <w:szCs w:val="8"/>
              </w:rPr>
            </w:pPr>
          </w:p>
        </w:tc>
        <w:tc>
          <w:tcPr>
            <w:tcW w:w="1120" w:type="dxa"/>
            <w:vAlign w:val="bottom"/>
          </w:tcPr>
          <w:p>
            <w:pPr>
              <w:spacing w:after="0" w:line="101" w:lineRule="exact"/>
              <w:ind w:right="601"/>
              <w:jc w:val="right"/>
              <w:rPr>
                <w:color w:val="auto"/>
                <w:sz w:val="20"/>
                <w:szCs w:val="20"/>
              </w:rPr>
            </w:pPr>
            <w:r>
              <w:rPr>
                <w:rFonts w:ascii="Calibri" w:eastAsia="Calibri" w:hAnsi="Calibri" w:cs="Calibri"/>
                <w:b/>
                <w:bCs/>
                <w:color w:val="auto"/>
                <w:sz w:val="10"/>
                <w:szCs w:val="10"/>
              </w:rPr>
              <w:t>2024</w:t>
            </w:r>
          </w:p>
        </w:tc>
        <w:tc>
          <w:tcPr>
            <w:tcW w:w="560" w:type="dxa"/>
            <w:vAlign w:val="bottom"/>
          </w:tcPr>
          <w:p>
            <w:pPr>
              <w:spacing w:after="0"/>
              <w:rPr>
                <w:color w:val="auto"/>
                <w:sz w:val="8"/>
                <w:szCs w:val="8"/>
              </w:rPr>
            </w:pPr>
          </w:p>
        </w:tc>
        <w:tc>
          <w:tcPr>
            <w:tcW w:w="920" w:type="dxa"/>
            <w:vAlign w:val="bottom"/>
          </w:tcPr>
          <w:p>
            <w:pPr>
              <w:spacing w:after="0" w:line="101" w:lineRule="exact"/>
              <w:ind w:right="561"/>
              <w:jc w:val="right"/>
              <w:rPr>
                <w:color w:val="auto"/>
                <w:sz w:val="20"/>
                <w:szCs w:val="20"/>
              </w:rPr>
            </w:pPr>
            <w:r>
              <w:rPr>
                <w:rFonts w:ascii="Calibri" w:eastAsia="Calibri" w:hAnsi="Calibri" w:cs="Calibri"/>
                <w:b/>
                <w:bCs/>
                <w:color w:val="auto"/>
                <w:sz w:val="10"/>
                <w:szCs w:val="10"/>
              </w:rPr>
              <w:t>2023</w:t>
            </w:r>
          </w:p>
        </w:tc>
        <w:tc>
          <w:tcPr>
            <w:tcW w:w="100" w:type="dxa"/>
            <w:vAlign w:val="bottom"/>
          </w:tcPr>
          <w:p>
            <w:pPr>
              <w:spacing w:after="0"/>
              <w:rPr>
                <w:color w:val="auto"/>
                <w:sz w:val="8"/>
                <w:szCs w:val="8"/>
              </w:rPr>
            </w:pPr>
          </w:p>
        </w:tc>
        <w:tc>
          <w:tcPr>
            <w:tcW w:w="340" w:type="dxa"/>
            <w:vAlign w:val="bottom"/>
          </w:tcPr>
          <w:p>
            <w:pPr>
              <w:spacing w:after="0"/>
              <w:rPr>
                <w:color w:val="auto"/>
                <w:sz w:val="8"/>
                <w:szCs w:val="8"/>
              </w:rPr>
            </w:pPr>
          </w:p>
        </w:tc>
        <w:tc>
          <w:tcPr>
            <w:tcW w:w="1140" w:type="dxa"/>
            <w:vAlign w:val="bottom"/>
          </w:tcPr>
          <w:p>
            <w:pPr>
              <w:spacing w:after="0" w:line="101" w:lineRule="exact"/>
              <w:ind w:right="621"/>
              <w:jc w:val="right"/>
              <w:rPr>
                <w:color w:val="auto"/>
                <w:sz w:val="20"/>
                <w:szCs w:val="20"/>
              </w:rPr>
            </w:pPr>
            <w:r>
              <w:rPr>
                <w:rFonts w:ascii="Calibri" w:eastAsia="Calibri" w:hAnsi="Calibri" w:cs="Calibri"/>
                <w:b/>
                <w:bCs/>
                <w:color w:val="auto"/>
                <w:sz w:val="10"/>
                <w:szCs w:val="10"/>
              </w:rPr>
              <w:t>2024</w:t>
            </w:r>
          </w:p>
        </w:tc>
        <w:tc>
          <w:tcPr>
            <w:tcW w:w="620" w:type="dxa"/>
            <w:vAlign w:val="bottom"/>
          </w:tcPr>
          <w:p>
            <w:pPr>
              <w:spacing w:after="0"/>
              <w:rPr>
                <w:color w:val="auto"/>
                <w:sz w:val="8"/>
                <w:szCs w:val="8"/>
              </w:rPr>
            </w:pPr>
          </w:p>
        </w:tc>
        <w:tc>
          <w:tcPr>
            <w:tcW w:w="860" w:type="dxa"/>
            <w:vAlign w:val="bottom"/>
          </w:tcPr>
          <w:p>
            <w:pPr>
              <w:spacing w:after="0" w:line="101" w:lineRule="exact"/>
              <w:ind w:right="561"/>
              <w:jc w:val="right"/>
              <w:rPr>
                <w:color w:val="auto"/>
                <w:sz w:val="20"/>
                <w:szCs w:val="20"/>
              </w:rPr>
            </w:pPr>
            <w:r>
              <w:rPr>
                <w:rFonts w:ascii="Calibri" w:eastAsia="Calibri" w:hAnsi="Calibri" w:cs="Calibri"/>
                <w:b/>
                <w:bCs/>
                <w:color w:val="auto"/>
                <w:sz w:val="10"/>
                <w:szCs w:val="10"/>
              </w:rPr>
              <w:t>2023</w:t>
            </w:r>
          </w:p>
        </w:tc>
        <w:tc>
          <w:tcPr>
            <w:tcW w:w="1" w:type="dxa"/>
            <w:vAlign w:val="bottom"/>
          </w:tcPr>
          <w:p>
            <w:pPr>
              <w:spacing w:after="0"/>
              <w:rPr>
                <w:color w:val="auto"/>
                <w:sz w:val="1"/>
                <w:szCs w:val="1"/>
              </w:rPr>
            </w:pPr>
          </w:p>
        </w:tc>
      </w:tr>
      <w:tr>
        <w:tblPrEx>
          <w:tblInd w:w="0" w:type="dxa"/>
          <w:tblLayout w:type="fixed"/>
        </w:tblPrEx>
        <w:trPr>
          <w:trHeight w:val="23"/>
        </w:trPr>
        <w:tc>
          <w:tcPr>
            <w:tcW w:w="528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560" w:type="dxa"/>
            <w:tcBorders>
              <w:bottom w:val="single" w:sz="8" w:space="0" w:color="auto"/>
            </w:tcBorders>
            <w:vAlign w:val="bottom"/>
          </w:tcPr>
          <w:p>
            <w:pPr>
              <w:spacing w:after="0"/>
              <w:rPr>
                <w:color w:val="auto"/>
                <w:sz w:val="2"/>
                <w:szCs w:val="2"/>
              </w:rPr>
            </w:pPr>
          </w:p>
        </w:tc>
        <w:tc>
          <w:tcPr>
            <w:tcW w:w="92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34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620" w:type="dxa"/>
            <w:tcBorders>
              <w:bottom w:val="single" w:sz="8" w:space="0" w:color="auto"/>
            </w:tcBorders>
            <w:vAlign w:val="bottom"/>
          </w:tcPr>
          <w:p>
            <w:pPr>
              <w:spacing w:after="0"/>
              <w:rPr>
                <w:color w:val="auto"/>
                <w:sz w:val="2"/>
                <w:szCs w:val="2"/>
              </w:rPr>
            </w:pPr>
          </w:p>
        </w:tc>
        <w:tc>
          <w:tcPr>
            <w:tcW w:w="86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36"/>
        </w:trPr>
        <w:tc>
          <w:tcPr>
            <w:tcW w:w="5280" w:type="dxa"/>
            <w:vAlign w:val="bottom"/>
          </w:tcPr>
          <w:p>
            <w:pPr>
              <w:spacing w:after="0" w:line="137" w:lineRule="exact"/>
              <w:rPr>
                <w:color w:val="auto"/>
                <w:sz w:val="20"/>
                <w:szCs w:val="20"/>
              </w:rPr>
            </w:pPr>
            <w:r>
              <w:rPr>
                <w:rFonts w:ascii="Calibri" w:eastAsia="Calibri" w:hAnsi="Calibri" w:cs="Calibri"/>
                <w:b/>
                <w:bCs/>
                <w:color w:val="auto"/>
                <w:sz w:val="12"/>
                <w:szCs w:val="12"/>
              </w:rPr>
              <w:t>Projected beneft obligatons</w:t>
            </w:r>
          </w:p>
        </w:tc>
        <w:tc>
          <w:tcPr>
            <w:tcW w:w="34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560" w:type="dxa"/>
            <w:vAlign w:val="bottom"/>
          </w:tcPr>
          <w:p>
            <w:pPr>
              <w:spacing w:after="0"/>
              <w:rPr>
                <w:color w:val="auto"/>
                <w:sz w:val="11"/>
                <w:szCs w:val="11"/>
              </w:rPr>
            </w:pPr>
          </w:p>
        </w:tc>
        <w:tc>
          <w:tcPr>
            <w:tcW w:w="92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340" w:type="dxa"/>
            <w:vAlign w:val="bottom"/>
          </w:tcPr>
          <w:p>
            <w:pPr>
              <w:spacing w:after="0"/>
              <w:rPr>
                <w:color w:val="auto"/>
                <w:sz w:val="11"/>
                <w:szCs w:val="11"/>
              </w:rPr>
            </w:pPr>
          </w:p>
        </w:tc>
        <w:tc>
          <w:tcPr>
            <w:tcW w:w="1140" w:type="dxa"/>
            <w:vAlign w:val="bottom"/>
          </w:tcPr>
          <w:p>
            <w:pPr>
              <w:spacing w:after="0"/>
              <w:rPr>
                <w:color w:val="auto"/>
                <w:sz w:val="11"/>
                <w:szCs w:val="11"/>
              </w:rPr>
            </w:pPr>
          </w:p>
        </w:tc>
        <w:tc>
          <w:tcPr>
            <w:tcW w:w="620" w:type="dxa"/>
            <w:vAlign w:val="bottom"/>
          </w:tcPr>
          <w:p>
            <w:pPr>
              <w:spacing w:after="0"/>
              <w:rPr>
                <w:color w:val="auto"/>
                <w:sz w:val="11"/>
                <w:szCs w:val="11"/>
              </w:rPr>
            </w:pPr>
          </w:p>
        </w:tc>
        <w:tc>
          <w:tcPr>
            <w:tcW w:w="86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159"/>
        </w:trPr>
        <w:tc>
          <w:tcPr>
            <w:tcW w:w="5280" w:type="dxa"/>
            <w:shd w:val="clear" w:color="auto" w:fill="CCEEFF"/>
            <w:vAlign w:val="bottom"/>
          </w:tcPr>
          <w:p>
            <w:pPr>
              <w:spacing w:after="0"/>
              <w:rPr>
                <w:color w:val="auto"/>
                <w:sz w:val="20"/>
                <w:szCs w:val="20"/>
              </w:rPr>
            </w:pPr>
            <w:r>
              <w:rPr>
                <w:rFonts w:ascii="Calibri" w:eastAsia="Calibri" w:hAnsi="Calibri" w:cs="Calibri"/>
                <w:color w:val="auto"/>
                <w:sz w:val="12"/>
                <w:szCs w:val="12"/>
              </w:rPr>
              <w:t>Beginning of period</w:t>
            </w:r>
          </w:p>
        </w:tc>
        <w:tc>
          <w:tcPr>
            <w:tcW w:w="340" w:type="dxa"/>
            <w:shd w:val="clear" w:color="auto" w:fill="CCEEFF"/>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9,544</w:t>
            </w:r>
          </w:p>
        </w:tc>
        <w:tc>
          <w:tcPr>
            <w:tcW w:w="560" w:type="dxa"/>
            <w:shd w:val="clear" w:color="auto" w:fill="CCEEFF"/>
            <w:vAlign w:val="bottom"/>
          </w:tcPr>
          <w:p>
            <w:pPr>
              <w:spacing w:after="0"/>
              <w:ind w:right="380"/>
              <w:jc w:val="right"/>
              <w:rPr>
                <w:color w:val="auto"/>
                <w:sz w:val="20"/>
                <w:szCs w:val="20"/>
              </w:rPr>
            </w:pPr>
            <w:r>
              <w:rPr>
                <w:rFonts w:ascii="Calibri" w:eastAsia="Calibri" w:hAnsi="Calibri" w:cs="Calibri"/>
                <w:color w:val="auto"/>
                <w:sz w:val="12"/>
                <w:szCs w:val="12"/>
              </w:rPr>
              <w:t>$</w:t>
            </w:r>
          </w:p>
        </w:tc>
        <w:tc>
          <w:tcPr>
            <w:tcW w:w="9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8,588</w:t>
            </w:r>
          </w:p>
        </w:tc>
        <w:tc>
          <w:tcPr>
            <w:tcW w:w="100" w:type="dxa"/>
            <w:shd w:val="clear" w:color="auto" w:fill="CCEEFF"/>
            <w:vAlign w:val="bottom"/>
          </w:tcPr>
          <w:p>
            <w:pPr>
              <w:spacing w:after="0"/>
              <w:rPr>
                <w:color w:val="auto"/>
                <w:sz w:val="13"/>
                <w:szCs w:val="13"/>
              </w:rPr>
            </w:pPr>
          </w:p>
        </w:tc>
        <w:tc>
          <w:tcPr>
            <w:tcW w:w="340" w:type="dxa"/>
            <w:shd w:val="clear" w:color="auto" w:fill="CCEEFF"/>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40" w:type="dxa"/>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796</w:t>
            </w:r>
          </w:p>
        </w:tc>
        <w:tc>
          <w:tcPr>
            <w:tcW w:w="620" w:type="dxa"/>
            <w:shd w:val="clear" w:color="auto" w:fill="CCEEFF"/>
            <w:vAlign w:val="bottom"/>
          </w:tcPr>
          <w:p>
            <w:pPr>
              <w:spacing w:after="0"/>
              <w:ind w:right="440"/>
              <w:jc w:val="right"/>
              <w:rPr>
                <w:color w:val="auto"/>
                <w:sz w:val="20"/>
                <w:szCs w:val="20"/>
              </w:rPr>
            </w:pPr>
            <w:r>
              <w:rPr>
                <w:rFonts w:ascii="Calibri" w:eastAsia="Calibri" w:hAnsi="Calibri" w:cs="Calibri"/>
                <w:color w:val="auto"/>
                <w:sz w:val="12"/>
                <w:szCs w:val="12"/>
              </w:rPr>
              <w:t>$</w:t>
            </w:r>
          </w:p>
        </w:tc>
        <w:tc>
          <w:tcPr>
            <w:tcW w:w="86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667</w:t>
            </w:r>
          </w:p>
        </w:tc>
        <w:tc>
          <w:tcPr>
            <w:tcW w:w="1" w:type="dxa"/>
            <w:vAlign w:val="bottom"/>
          </w:tcPr>
          <w:p>
            <w:pPr>
              <w:spacing w:after="0"/>
              <w:rPr>
                <w:color w:val="auto"/>
                <w:sz w:val="1"/>
                <w:szCs w:val="1"/>
              </w:rPr>
            </w:pPr>
          </w:p>
        </w:tc>
      </w:tr>
      <w:tr>
        <w:tblPrEx>
          <w:tblInd w:w="0" w:type="dxa"/>
          <w:tblLayout w:type="fixed"/>
        </w:tblPrEx>
        <w:trPr>
          <w:trHeight w:val="147"/>
        </w:trPr>
        <w:tc>
          <w:tcPr>
            <w:tcW w:w="5280" w:type="dxa"/>
            <w:vAlign w:val="bottom"/>
          </w:tcPr>
          <w:p>
            <w:pPr>
              <w:spacing w:after="0" w:line="142" w:lineRule="exact"/>
              <w:rPr>
                <w:color w:val="auto"/>
                <w:sz w:val="20"/>
                <w:szCs w:val="20"/>
              </w:rPr>
            </w:pPr>
            <w:r>
              <w:rPr>
                <w:rFonts w:ascii="Calibri" w:eastAsia="Calibri" w:hAnsi="Calibri" w:cs="Calibri"/>
                <w:color w:val="auto"/>
                <w:sz w:val="12"/>
                <w:szCs w:val="12"/>
              </w:rPr>
              <w:t>Service cost</w:t>
            </w:r>
          </w:p>
        </w:tc>
        <w:tc>
          <w:tcPr>
            <w:tcW w:w="34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286</w:t>
            </w:r>
          </w:p>
        </w:tc>
        <w:tc>
          <w:tcPr>
            <w:tcW w:w="560" w:type="dxa"/>
            <w:vAlign w:val="bottom"/>
          </w:tcPr>
          <w:p>
            <w:pPr>
              <w:spacing w:after="0"/>
              <w:rPr>
                <w:color w:val="auto"/>
                <w:sz w:val="12"/>
                <w:szCs w:val="12"/>
              </w:rPr>
            </w:pPr>
          </w:p>
        </w:tc>
        <w:tc>
          <w:tcPr>
            <w:tcW w:w="920" w:type="dxa"/>
            <w:vAlign w:val="bottom"/>
          </w:tcPr>
          <w:p>
            <w:pPr>
              <w:spacing w:after="0" w:line="142" w:lineRule="exact"/>
              <w:jc w:val="right"/>
              <w:rPr>
                <w:color w:val="auto"/>
                <w:sz w:val="20"/>
                <w:szCs w:val="20"/>
              </w:rPr>
            </w:pPr>
            <w:r>
              <w:rPr>
                <w:rFonts w:ascii="Calibri" w:eastAsia="Calibri" w:hAnsi="Calibri" w:cs="Calibri"/>
                <w:color w:val="auto"/>
                <w:sz w:val="12"/>
                <w:szCs w:val="12"/>
              </w:rPr>
              <w:t>270</w:t>
            </w:r>
          </w:p>
        </w:tc>
        <w:tc>
          <w:tcPr>
            <w:tcW w:w="10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14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43</w:t>
            </w:r>
          </w:p>
        </w:tc>
        <w:tc>
          <w:tcPr>
            <w:tcW w:w="620" w:type="dxa"/>
            <w:vAlign w:val="bottom"/>
          </w:tcPr>
          <w:p>
            <w:pPr>
              <w:spacing w:after="0"/>
              <w:rPr>
                <w:color w:val="auto"/>
                <w:sz w:val="12"/>
                <w:szCs w:val="12"/>
              </w:rPr>
            </w:pPr>
          </w:p>
        </w:tc>
        <w:tc>
          <w:tcPr>
            <w:tcW w:w="86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37</w:t>
            </w:r>
          </w:p>
        </w:tc>
        <w:tc>
          <w:tcPr>
            <w:tcW w:w="1" w:type="dxa"/>
            <w:vAlign w:val="bottom"/>
          </w:tcPr>
          <w:p>
            <w:pPr>
              <w:spacing w:after="0"/>
              <w:rPr>
                <w:color w:val="auto"/>
                <w:sz w:val="1"/>
                <w:szCs w:val="1"/>
              </w:rPr>
            </w:pPr>
          </w:p>
        </w:tc>
      </w:tr>
      <w:tr>
        <w:tblPrEx>
          <w:tblInd w:w="0" w:type="dxa"/>
          <w:tblLayout w:type="fixed"/>
        </w:tblPrEx>
        <w:trPr>
          <w:trHeight w:val="159"/>
        </w:trPr>
        <w:tc>
          <w:tcPr>
            <w:tcW w:w="5280" w:type="dxa"/>
            <w:shd w:val="clear" w:color="auto" w:fill="CCEEFF"/>
            <w:vAlign w:val="bottom"/>
          </w:tcPr>
          <w:p>
            <w:pPr>
              <w:spacing w:after="0"/>
              <w:rPr>
                <w:color w:val="auto"/>
                <w:sz w:val="20"/>
                <w:szCs w:val="20"/>
              </w:rPr>
            </w:pPr>
            <w:r>
              <w:rPr>
                <w:rFonts w:ascii="Calibri" w:eastAsia="Calibri" w:hAnsi="Calibri" w:cs="Calibri"/>
                <w:color w:val="auto"/>
                <w:sz w:val="12"/>
                <w:szCs w:val="12"/>
              </w:rPr>
              <w:t>Interest cost</w:t>
            </w:r>
          </w:p>
        </w:tc>
        <w:tc>
          <w:tcPr>
            <w:tcW w:w="34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451</w:t>
            </w:r>
          </w:p>
        </w:tc>
        <w:tc>
          <w:tcPr>
            <w:tcW w:w="560" w:type="dxa"/>
            <w:shd w:val="clear" w:color="auto" w:fill="CCEEFF"/>
            <w:vAlign w:val="bottom"/>
          </w:tcPr>
          <w:p>
            <w:pPr>
              <w:spacing w:after="0"/>
              <w:rPr>
                <w:color w:val="auto"/>
                <w:sz w:val="13"/>
                <w:szCs w:val="13"/>
              </w:rPr>
            </w:pPr>
          </w:p>
        </w:tc>
        <w:tc>
          <w:tcPr>
            <w:tcW w:w="9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432</w:t>
            </w:r>
          </w:p>
        </w:tc>
        <w:tc>
          <w:tcPr>
            <w:tcW w:w="100" w:type="dxa"/>
            <w:shd w:val="clear" w:color="auto" w:fill="CCEEFF"/>
            <w:vAlign w:val="bottom"/>
          </w:tcPr>
          <w:p>
            <w:pPr>
              <w:spacing w:after="0"/>
              <w:rPr>
                <w:color w:val="auto"/>
                <w:sz w:val="13"/>
                <w:szCs w:val="13"/>
              </w:rPr>
            </w:pPr>
          </w:p>
        </w:tc>
        <w:tc>
          <w:tcPr>
            <w:tcW w:w="34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41</w:t>
            </w:r>
          </w:p>
        </w:tc>
        <w:tc>
          <w:tcPr>
            <w:tcW w:w="620" w:type="dxa"/>
            <w:shd w:val="clear" w:color="auto" w:fill="CCEEFF"/>
            <w:vAlign w:val="bottom"/>
          </w:tcPr>
          <w:p>
            <w:pPr>
              <w:spacing w:after="0"/>
              <w:rPr>
                <w:color w:val="auto"/>
                <w:sz w:val="13"/>
                <w:szCs w:val="13"/>
              </w:rPr>
            </w:pPr>
          </w:p>
        </w:tc>
        <w:tc>
          <w:tcPr>
            <w:tcW w:w="86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37</w:t>
            </w:r>
          </w:p>
        </w:tc>
        <w:tc>
          <w:tcPr>
            <w:tcW w:w="1" w:type="dxa"/>
            <w:vAlign w:val="bottom"/>
          </w:tcPr>
          <w:p>
            <w:pPr>
              <w:spacing w:after="0"/>
              <w:rPr>
                <w:color w:val="auto"/>
                <w:sz w:val="1"/>
                <w:szCs w:val="1"/>
              </w:rPr>
            </w:pPr>
          </w:p>
        </w:tc>
      </w:tr>
      <w:tr>
        <w:tblPrEx>
          <w:tblInd w:w="0" w:type="dxa"/>
          <w:tblLayout w:type="fixed"/>
        </w:tblPrEx>
        <w:trPr>
          <w:trHeight w:val="147"/>
        </w:trPr>
        <w:tc>
          <w:tcPr>
            <w:tcW w:w="5280" w:type="dxa"/>
            <w:vAlign w:val="bottom"/>
          </w:tcPr>
          <w:p>
            <w:pPr>
              <w:spacing w:after="0" w:line="142" w:lineRule="exact"/>
              <w:rPr>
                <w:color w:val="auto"/>
                <w:sz w:val="20"/>
                <w:szCs w:val="20"/>
              </w:rPr>
            </w:pPr>
            <w:r>
              <w:rPr>
                <w:rFonts w:ascii="Calibri" w:eastAsia="Calibri" w:hAnsi="Calibri" w:cs="Calibri"/>
                <w:color w:val="auto"/>
                <w:sz w:val="12"/>
                <w:szCs w:val="12"/>
              </w:rPr>
              <w:t>Actuarial (gain) loss</w:t>
            </w:r>
          </w:p>
        </w:tc>
        <w:tc>
          <w:tcPr>
            <w:tcW w:w="340" w:type="dxa"/>
            <w:vAlign w:val="bottom"/>
          </w:tcPr>
          <w:p>
            <w:pPr>
              <w:spacing w:after="0"/>
              <w:rPr>
                <w:color w:val="auto"/>
                <w:sz w:val="12"/>
                <w:szCs w:val="12"/>
              </w:rPr>
            </w:pPr>
          </w:p>
        </w:tc>
        <w:tc>
          <w:tcPr>
            <w:tcW w:w="112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(855)</w:t>
            </w:r>
          </w:p>
        </w:tc>
        <w:tc>
          <w:tcPr>
            <w:tcW w:w="560" w:type="dxa"/>
            <w:vAlign w:val="bottom"/>
          </w:tcPr>
          <w:p>
            <w:pPr>
              <w:spacing w:after="0"/>
              <w:rPr>
                <w:color w:val="auto"/>
                <w:sz w:val="12"/>
                <w:szCs w:val="12"/>
              </w:rPr>
            </w:pPr>
          </w:p>
        </w:tc>
        <w:tc>
          <w:tcPr>
            <w:tcW w:w="920" w:type="dxa"/>
            <w:vAlign w:val="bottom"/>
          </w:tcPr>
          <w:p>
            <w:pPr>
              <w:spacing w:after="0" w:line="142" w:lineRule="exact"/>
              <w:jc w:val="right"/>
              <w:rPr>
                <w:color w:val="auto"/>
                <w:sz w:val="20"/>
                <w:szCs w:val="20"/>
              </w:rPr>
            </w:pPr>
            <w:r>
              <w:rPr>
                <w:rFonts w:ascii="Calibri" w:eastAsia="Calibri" w:hAnsi="Calibri" w:cs="Calibri"/>
                <w:color w:val="auto"/>
                <w:sz w:val="12"/>
                <w:szCs w:val="12"/>
              </w:rPr>
              <w:t>491</w:t>
            </w:r>
          </w:p>
        </w:tc>
        <w:tc>
          <w:tcPr>
            <w:tcW w:w="10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14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(62)</w:t>
            </w:r>
          </w:p>
        </w:tc>
        <w:tc>
          <w:tcPr>
            <w:tcW w:w="620" w:type="dxa"/>
            <w:vAlign w:val="bottom"/>
          </w:tcPr>
          <w:p>
            <w:pPr>
              <w:spacing w:after="0"/>
              <w:rPr>
                <w:color w:val="auto"/>
                <w:sz w:val="12"/>
                <w:szCs w:val="12"/>
              </w:rPr>
            </w:pPr>
          </w:p>
        </w:tc>
        <w:tc>
          <w:tcPr>
            <w:tcW w:w="86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89</w:t>
            </w:r>
          </w:p>
        </w:tc>
        <w:tc>
          <w:tcPr>
            <w:tcW w:w="1" w:type="dxa"/>
            <w:vAlign w:val="bottom"/>
          </w:tcPr>
          <w:p>
            <w:pPr>
              <w:spacing w:after="0"/>
              <w:rPr>
                <w:color w:val="auto"/>
                <w:sz w:val="1"/>
                <w:szCs w:val="1"/>
              </w:rPr>
            </w:pPr>
          </w:p>
        </w:tc>
      </w:tr>
      <w:tr>
        <w:tblPrEx>
          <w:tblInd w:w="0" w:type="dxa"/>
          <w:tblLayout w:type="fixed"/>
        </w:tblPrEx>
        <w:trPr>
          <w:trHeight w:val="159"/>
        </w:trPr>
        <w:tc>
          <w:tcPr>
            <w:tcW w:w="5280" w:type="dxa"/>
            <w:shd w:val="clear" w:color="auto" w:fill="CCEEFF"/>
            <w:vAlign w:val="bottom"/>
          </w:tcPr>
          <w:p>
            <w:pPr>
              <w:spacing w:after="0"/>
              <w:rPr>
                <w:color w:val="auto"/>
                <w:sz w:val="20"/>
                <w:szCs w:val="20"/>
              </w:rPr>
            </w:pPr>
            <w:r>
              <w:rPr>
                <w:rFonts w:ascii="Calibri" w:eastAsia="Calibri" w:hAnsi="Calibri" w:cs="Calibri"/>
                <w:color w:val="auto"/>
                <w:sz w:val="12"/>
                <w:szCs w:val="12"/>
              </w:rPr>
              <w:t>Benefts paid</w:t>
            </w:r>
          </w:p>
        </w:tc>
        <w:tc>
          <w:tcPr>
            <w:tcW w:w="34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(347)</w:t>
            </w:r>
          </w:p>
        </w:tc>
        <w:tc>
          <w:tcPr>
            <w:tcW w:w="560" w:type="dxa"/>
            <w:shd w:val="clear" w:color="auto" w:fill="CCEEFF"/>
            <w:vAlign w:val="bottom"/>
          </w:tcPr>
          <w:p>
            <w:pPr>
              <w:spacing w:after="0"/>
              <w:rPr>
                <w:color w:val="auto"/>
                <w:sz w:val="13"/>
                <w:szCs w:val="13"/>
              </w:rPr>
            </w:pPr>
          </w:p>
        </w:tc>
        <w:tc>
          <w:tcPr>
            <w:tcW w:w="9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(316)</w:t>
            </w:r>
          </w:p>
        </w:tc>
        <w:tc>
          <w:tcPr>
            <w:tcW w:w="100" w:type="dxa"/>
            <w:shd w:val="clear" w:color="auto" w:fill="CCEEFF"/>
            <w:vAlign w:val="bottom"/>
          </w:tcPr>
          <w:p>
            <w:pPr>
              <w:spacing w:after="0"/>
              <w:rPr>
                <w:color w:val="auto"/>
                <w:sz w:val="13"/>
                <w:szCs w:val="13"/>
              </w:rPr>
            </w:pPr>
          </w:p>
        </w:tc>
        <w:tc>
          <w:tcPr>
            <w:tcW w:w="34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(31)</w:t>
            </w:r>
          </w:p>
        </w:tc>
        <w:tc>
          <w:tcPr>
            <w:tcW w:w="620" w:type="dxa"/>
            <w:shd w:val="clear" w:color="auto" w:fill="CCEEFF"/>
            <w:vAlign w:val="bottom"/>
          </w:tcPr>
          <w:p>
            <w:pPr>
              <w:spacing w:after="0"/>
              <w:rPr>
                <w:color w:val="auto"/>
                <w:sz w:val="13"/>
                <w:szCs w:val="13"/>
              </w:rPr>
            </w:pPr>
          </w:p>
        </w:tc>
        <w:tc>
          <w:tcPr>
            <w:tcW w:w="8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(35)</w:t>
            </w:r>
          </w:p>
        </w:tc>
        <w:tc>
          <w:tcPr>
            <w:tcW w:w="1" w:type="dxa"/>
            <w:vAlign w:val="bottom"/>
          </w:tcPr>
          <w:p>
            <w:pPr>
              <w:spacing w:after="0"/>
              <w:rPr>
                <w:color w:val="auto"/>
                <w:sz w:val="1"/>
                <w:szCs w:val="1"/>
              </w:rPr>
            </w:pPr>
          </w:p>
        </w:tc>
      </w:tr>
      <w:tr>
        <w:tblPrEx>
          <w:tblInd w:w="0" w:type="dxa"/>
          <w:tblLayout w:type="fixed"/>
        </w:tblPrEx>
        <w:trPr>
          <w:trHeight w:val="147"/>
        </w:trPr>
        <w:tc>
          <w:tcPr>
            <w:tcW w:w="52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Other, primarily foreign currency translaton adjustments</w:t>
            </w:r>
          </w:p>
        </w:tc>
        <w:tc>
          <w:tcPr>
            <w:tcW w:w="34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(115)</w:t>
            </w:r>
          </w:p>
        </w:tc>
        <w:tc>
          <w:tcPr>
            <w:tcW w:w="560" w:type="dxa"/>
            <w:tcBorders>
              <w:bottom w:val="single" w:sz="8" w:space="0" w:color="auto"/>
            </w:tcBorders>
            <w:vAlign w:val="bottom"/>
          </w:tcPr>
          <w:p>
            <w:pPr>
              <w:spacing w:after="0"/>
              <w:rPr>
                <w:color w:val="auto"/>
                <w:sz w:val="12"/>
                <w:szCs w:val="12"/>
              </w:rPr>
            </w:pPr>
          </w:p>
        </w:tc>
        <w:tc>
          <w:tcPr>
            <w:tcW w:w="9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79</w:t>
            </w:r>
          </w:p>
        </w:tc>
        <w:tc>
          <w:tcPr>
            <w:tcW w:w="100" w:type="dxa"/>
            <w:tcBorders>
              <w:bottom w:val="single" w:sz="8" w:space="0" w:color="auto"/>
            </w:tcBorders>
            <w:vAlign w:val="bottom"/>
          </w:tcPr>
          <w:p>
            <w:pPr>
              <w:spacing w:after="0"/>
              <w:rPr>
                <w:color w:val="auto"/>
                <w:sz w:val="12"/>
                <w:szCs w:val="12"/>
              </w:rPr>
            </w:pPr>
          </w:p>
        </w:tc>
        <w:tc>
          <w:tcPr>
            <w:tcW w:w="34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(1)</w:t>
            </w:r>
          </w:p>
        </w:tc>
        <w:tc>
          <w:tcPr>
            <w:tcW w:w="620" w:type="dxa"/>
            <w:tcBorders>
              <w:bottom w:val="single" w:sz="8" w:space="0" w:color="auto"/>
            </w:tcBorders>
            <w:vAlign w:val="bottom"/>
          </w:tcPr>
          <w:p>
            <w:pPr>
              <w:spacing w:after="0"/>
              <w:rPr>
                <w:color w:val="auto"/>
                <w:sz w:val="12"/>
                <w:szCs w:val="12"/>
              </w:rPr>
            </w:pPr>
          </w:p>
        </w:tc>
        <w:tc>
          <w:tcPr>
            <w:tcW w:w="86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1</w:t>
            </w:r>
          </w:p>
        </w:tc>
        <w:tc>
          <w:tcPr>
            <w:tcW w:w="1" w:type="dxa"/>
            <w:vAlign w:val="bottom"/>
          </w:tcPr>
          <w:p>
            <w:pPr>
              <w:spacing w:after="0"/>
              <w:rPr>
                <w:color w:val="auto"/>
                <w:sz w:val="1"/>
                <w:szCs w:val="1"/>
              </w:rPr>
            </w:pPr>
          </w:p>
        </w:tc>
      </w:tr>
      <w:tr>
        <w:tblPrEx>
          <w:tblInd w:w="0" w:type="dxa"/>
          <w:tblLayout w:type="fixed"/>
        </w:tblPrEx>
        <w:trPr>
          <w:trHeight w:val="142"/>
        </w:trPr>
        <w:tc>
          <w:tcPr>
            <w:tcW w:w="528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End of period</w:t>
            </w:r>
          </w:p>
        </w:tc>
        <w:tc>
          <w:tcPr>
            <w:tcW w:w="3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8,964</w:t>
            </w:r>
          </w:p>
        </w:tc>
        <w:tc>
          <w:tcPr>
            <w:tcW w:w="560" w:type="dxa"/>
            <w:tcBorders>
              <w:bottom w:val="single" w:sz="8" w:space="0" w:color="auto"/>
            </w:tcBorders>
            <w:shd w:val="clear" w:color="auto" w:fill="CCEEFF"/>
            <w:vAlign w:val="bottom"/>
          </w:tcPr>
          <w:p>
            <w:pPr>
              <w:spacing w:after="0"/>
              <w:rPr>
                <w:color w:val="auto"/>
                <w:sz w:val="12"/>
                <w:szCs w:val="12"/>
              </w:rPr>
            </w:pPr>
          </w:p>
        </w:tc>
        <w:tc>
          <w:tcPr>
            <w:tcW w:w="9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9,544</w:t>
            </w:r>
          </w:p>
        </w:tc>
        <w:tc>
          <w:tcPr>
            <w:tcW w:w="100" w:type="dxa"/>
            <w:tcBorders>
              <w:bottom w:val="single" w:sz="8" w:space="0" w:color="auto"/>
            </w:tcBorders>
            <w:shd w:val="clear" w:color="auto" w:fill="CCEEFF"/>
            <w:vAlign w:val="bottom"/>
          </w:tcPr>
          <w:p>
            <w:pPr>
              <w:spacing w:after="0"/>
              <w:rPr>
                <w:color w:val="auto"/>
                <w:sz w:val="12"/>
                <w:szCs w:val="12"/>
              </w:rPr>
            </w:pPr>
          </w:p>
        </w:tc>
        <w:tc>
          <w:tcPr>
            <w:tcW w:w="340" w:type="dxa"/>
            <w:tcBorders>
              <w:bottom w:val="single" w:sz="8" w:space="0" w:color="auto"/>
            </w:tcBorders>
            <w:shd w:val="clear" w:color="auto" w:fill="CCEEFF"/>
            <w:vAlign w:val="bottom"/>
          </w:tcPr>
          <w:p>
            <w:pPr>
              <w:spacing w:after="0"/>
              <w:rPr>
                <w:color w:val="auto"/>
                <w:sz w:val="12"/>
                <w:szCs w:val="12"/>
              </w:rPr>
            </w:pPr>
          </w:p>
        </w:tc>
        <w:tc>
          <w:tcPr>
            <w:tcW w:w="1140" w:type="dxa"/>
            <w:tcBorders>
              <w:bottom w:val="single" w:sz="8" w:space="0" w:color="auto"/>
            </w:tcBorders>
            <w:shd w:val="clear" w:color="auto" w:fill="CCEEFF"/>
            <w:vAlign w:val="bottom"/>
          </w:tcPr>
          <w:p>
            <w:pPr>
              <w:spacing w:after="0" w:line="142" w:lineRule="exact"/>
              <w:ind w:right="41"/>
              <w:jc w:val="right"/>
              <w:rPr>
                <w:color w:val="auto"/>
                <w:sz w:val="20"/>
                <w:szCs w:val="20"/>
              </w:rPr>
            </w:pPr>
            <w:r>
              <w:rPr>
                <w:rFonts w:ascii="Calibri" w:eastAsia="Calibri" w:hAnsi="Calibri" w:cs="Calibri"/>
                <w:color w:val="auto"/>
                <w:sz w:val="12"/>
                <w:szCs w:val="12"/>
              </w:rPr>
              <w:t>786</w:t>
            </w:r>
          </w:p>
        </w:tc>
        <w:tc>
          <w:tcPr>
            <w:tcW w:w="620" w:type="dxa"/>
            <w:tcBorders>
              <w:bottom w:val="single" w:sz="8" w:space="0" w:color="auto"/>
            </w:tcBorders>
            <w:shd w:val="clear" w:color="auto" w:fill="CCEEFF"/>
            <w:vAlign w:val="bottom"/>
          </w:tcPr>
          <w:p>
            <w:pPr>
              <w:spacing w:after="0"/>
              <w:rPr>
                <w:color w:val="auto"/>
                <w:sz w:val="12"/>
                <w:szCs w:val="12"/>
              </w:rPr>
            </w:pPr>
          </w:p>
        </w:tc>
        <w:tc>
          <w:tcPr>
            <w:tcW w:w="86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796</w:t>
            </w:r>
          </w:p>
        </w:tc>
        <w:tc>
          <w:tcPr>
            <w:tcW w:w="1" w:type="dxa"/>
            <w:vAlign w:val="bottom"/>
          </w:tcPr>
          <w:p>
            <w:pPr>
              <w:spacing w:after="0"/>
              <w:rPr>
                <w:color w:val="auto"/>
                <w:sz w:val="1"/>
                <w:szCs w:val="1"/>
              </w:rPr>
            </w:pPr>
          </w:p>
        </w:tc>
      </w:tr>
      <w:tr>
        <w:tblPrEx>
          <w:tblInd w:w="0" w:type="dxa"/>
          <w:tblLayout w:type="fixed"/>
        </w:tblPrEx>
        <w:trPr>
          <w:trHeight w:val="142"/>
        </w:trPr>
        <w:tc>
          <w:tcPr>
            <w:tcW w:w="5280" w:type="dxa"/>
            <w:vAlign w:val="bottom"/>
          </w:tcPr>
          <w:p>
            <w:pPr>
              <w:spacing w:after="0" w:line="142" w:lineRule="exact"/>
              <w:rPr>
                <w:color w:val="auto"/>
                <w:sz w:val="20"/>
                <w:szCs w:val="20"/>
              </w:rPr>
            </w:pPr>
            <w:r>
              <w:rPr>
                <w:rFonts w:ascii="Calibri" w:eastAsia="Calibri" w:hAnsi="Calibri" w:cs="Calibri"/>
                <w:b/>
                <w:bCs/>
                <w:color w:val="auto"/>
                <w:sz w:val="12"/>
                <w:szCs w:val="12"/>
              </w:rPr>
              <w:t>Fair value of plan assets</w:t>
            </w:r>
          </w:p>
        </w:tc>
        <w:tc>
          <w:tcPr>
            <w:tcW w:w="34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560" w:type="dxa"/>
            <w:vAlign w:val="bottom"/>
          </w:tcPr>
          <w:p>
            <w:pPr>
              <w:spacing w:after="0"/>
              <w:rPr>
                <w:color w:val="auto"/>
                <w:sz w:val="12"/>
                <w:szCs w:val="12"/>
              </w:rPr>
            </w:pPr>
          </w:p>
        </w:tc>
        <w:tc>
          <w:tcPr>
            <w:tcW w:w="920" w:type="dxa"/>
            <w:vAlign w:val="bottom"/>
          </w:tcPr>
          <w:p>
            <w:pPr>
              <w:spacing w:after="0"/>
              <w:rPr>
                <w:color w:val="auto"/>
                <w:sz w:val="12"/>
                <w:szCs w:val="12"/>
              </w:rPr>
            </w:pPr>
          </w:p>
        </w:tc>
        <w:tc>
          <w:tcPr>
            <w:tcW w:w="10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140" w:type="dxa"/>
            <w:vAlign w:val="bottom"/>
          </w:tcPr>
          <w:p>
            <w:pPr>
              <w:spacing w:after="0"/>
              <w:rPr>
                <w:color w:val="auto"/>
                <w:sz w:val="12"/>
                <w:szCs w:val="12"/>
              </w:rPr>
            </w:pPr>
          </w:p>
        </w:tc>
        <w:tc>
          <w:tcPr>
            <w:tcW w:w="620" w:type="dxa"/>
            <w:vAlign w:val="bottom"/>
          </w:tcPr>
          <w:p>
            <w:pPr>
              <w:spacing w:after="0"/>
              <w:rPr>
                <w:color w:val="auto"/>
                <w:sz w:val="12"/>
                <w:szCs w:val="12"/>
              </w:rPr>
            </w:pPr>
          </w:p>
        </w:tc>
        <w:tc>
          <w:tcPr>
            <w:tcW w:w="86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59"/>
        </w:trPr>
        <w:tc>
          <w:tcPr>
            <w:tcW w:w="5280" w:type="dxa"/>
            <w:shd w:val="clear" w:color="auto" w:fill="CCEEFF"/>
            <w:vAlign w:val="bottom"/>
          </w:tcPr>
          <w:p>
            <w:pPr>
              <w:spacing w:after="0"/>
              <w:rPr>
                <w:color w:val="auto"/>
                <w:sz w:val="20"/>
                <w:szCs w:val="20"/>
              </w:rPr>
            </w:pPr>
            <w:r>
              <w:rPr>
                <w:rFonts w:ascii="Calibri" w:eastAsia="Calibri" w:hAnsi="Calibri" w:cs="Calibri"/>
                <w:color w:val="auto"/>
                <w:sz w:val="12"/>
                <w:szCs w:val="12"/>
              </w:rPr>
              <w:t>Beginning of period</w:t>
            </w:r>
          </w:p>
        </w:tc>
        <w:tc>
          <w:tcPr>
            <w:tcW w:w="34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9,839</w:t>
            </w:r>
          </w:p>
        </w:tc>
        <w:tc>
          <w:tcPr>
            <w:tcW w:w="560" w:type="dxa"/>
            <w:shd w:val="clear" w:color="auto" w:fill="CCEEFF"/>
            <w:vAlign w:val="bottom"/>
          </w:tcPr>
          <w:p>
            <w:pPr>
              <w:spacing w:after="0"/>
              <w:rPr>
                <w:color w:val="auto"/>
                <w:sz w:val="13"/>
                <w:szCs w:val="13"/>
              </w:rPr>
            </w:pPr>
          </w:p>
        </w:tc>
        <w:tc>
          <w:tcPr>
            <w:tcW w:w="9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8,472</w:t>
            </w:r>
          </w:p>
        </w:tc>
        <w:tc>
          <w:tcPr>
            <w:tcW w:w="100" w:type="dxa"/>
            <w:shd w:val="clear" w:color="auto" w:fill="CCEEFF"/>
            <w:vAlign w:val="bottom"/>
          </w:tcPr>
          <w:p>
            <w:pPr>
              <w:spacing w:after="0"/>
              <w:rPr>
                <w:color w:val="auto"/>
                <w:sz w:val="13"/>
                <w:szCs w:val="13"/>
              </w:rPr>
            </w:pPr>
          </w:p>
        </w:tc>
        <w:tc>
          <w:tcPr>
            <w:tcW w:w="34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w:t>
            </w:r>
          </w:p>
        </w:tc>
        <w:tc>
          <w:tcPr>
            <w:tcW w:w="620" w:type="dxa"/>
            <w:shd w:val="clear" w:color="auto" w:fill="CCEEFF"/>
            <w:vAlign w:val="bottom"/>
          </w:tcPr>
          <w:p>
            <w:pPr>
              <w:spacing w:after="0"/>
              <w:rPr>
                <w:color w:val="auto"/>
                <w:sz w:val="13"/>
                <w:szCs w:val="13"/>
              </w:rPr>
            </w:pPr>
          </w:p>
        </w:tc>
        <w:tc>
          <w:tcPr>
            <w:tcW w:w="86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w:t>
            </w:r>
          </w:p>
        </w:tc>
        <w:tc>
          <w:tcPr>
            <w:tcW w:w="1" w:type="dxa"/>
            <w:vAlign w:val="bottom"/>
          </w:tcPr>
          <w:p>
            <w:pPr>
              <w:spacing w:after="0"/>
              <w:rPr>
                <w:color w:val="auto"/>
                <w:sz w:val="1"/>
                <w:szCs w:val="1"/>
              </w:rPr>
            </w:pPr>
          </w:p>
        </w:tc>
      </w:tr>
      <w:tr>
        <w:tblPrEx>
          <w:tblInd w:w="0" w:type="dxa"/>
          <w:tblLayout w:type="fixed"/>
        </w:tblPrEx>
        <w:trPr>
          <w:trHeight w:val="147"/>
        </w:trPr>
        <w:tc>
          <w:tcPr>
            <w:tcW w:w="5280" w:type="dxa"/>
            <w:vAlign w:val="bottom"/>
          </w:tcPr>
          <w:p>
            <w:pPr>
              <w:spacing w:after="0" w:line="142" w:lineRule="exact"/>
              <w:rPr>
                <w:color w:val="auto"/>
                <w:sz w:val="20"/>
                <w:szCs w:val="20"/>
              </w:rPr>
            </w:pPr>
            <w:r>
              <w:rPr>
                <w:rFonts w:ascii="Calibri" w:eastAsia="Calibri" w:hAnsi="Calibri" w:cs="Calibri"/>
                <w:color w:val="auto"/>
                <w:sz w:val="12"/>
                <w:szCs w:val="12"/>
              </w:rPr>
              <w:t>Actual return on plan assets</w:t>
            </w:r>
          </w:p>
        </w:tc>
        <w:tc>
          <w:tcPr>
            <w:tcW w:w="34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865</w:t>
            </w:r>
          </w:p>
        </w:tc>
        <w:tc>
          <w:tcPr>
            <w:tcW w:w="560" w:type="dxa"/>
            <w:vAlign w:val="bottom"/>
          </w:tcPr>
          <w:p>
            <w:pPr>
              <w:spacing w:after="0"/>
              <w:rPr>
                <w:color w:val="auto"/>
                <w:sz w:val="12"/>
                <w:szCs w:val="12"/>
              </w:rPr>
            </w:pPr>
          </w:p>
        </w:tc>
        <w:tc>
          <w:tcPr>
            <w:tcW w:w="920" w:type="dxa"/>
            <w:vAlign w:val="bottom"/>
          </w:tcPr>
          <w:p>
            <w:pPr>
              <w:spacing w:after="0" w:line="142" w:lineRule="exact"/>
              <w:jc w:val="right"/>
              <w:rPr>
                <w:color w:val="auto"/>
                <w:sz w:val="20"/>
                <w:szCs w:val="20"/>
              </w:rPr>
            </w:pPr>
            <w:r>
              <w:rPr>
                <w:rFonts w:ascii="Calibri" w:eastAsia="Calibri" w:hAnsi="Calibri" w:cs="Calibri"/>
                <w:color w:val="auto"/>
                <w:sz w:val="12"/>
                <w:szCs w:val="12"/>
              </w:rPr>
              <w:t>1,230</w:t>
            </w:r>
          </w:p>
        </w:tc>
        <w:tc>
          <w:tcPr>
            <w:tcW w:w="10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14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w:t>
            </w:r>
          </w:p>
        </w:tc>
        <w:tc>
          <w:tcPr>
            <w:tcW w:w="620" w:type="dxa"/>
            <w:vAlign w:val="bottom"/>
          </w:tcPr>
          <w:p>
            <w:pPr>
              <w:spacing w:after="0"/>
              <w:rPr>
                <w:color w:val="auto"/>
                <w:sz w:val="12"/>
                <w:szCs w:val="12"/>
              </w:rPr>
            </w:pPr>
          </w:p>
        </w:tc>
        <w:tc>
          <w:tcPr>
            <w:tcW w:w="86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w:t>
            </w:r>
          </w:p>
        </w:tc>
        <w:tc>
          <w:tcPr>
            <w:tcW w:w="1" w:type="dxa"/>
            <w:vAlign w:val="bottom"/>
          </w:tcPr>
          <w:p>
            <w:pPr>
              <w:spacing w:after="0"/>
              <w:rPr>
                <w:color w:val="auto"/>
                <w:sz w:val="1"/>
                <w:szCs w:val="1"/>
              </w:rPr>
            </w:pPr>
          </w:p>
        </w:tc>
      </w:tr>
      <w:tr>
        <w:tblPrEx>
          <w:tblInd w:w="0" w:type="dxa"/>
          <w:tblLayout w:type="fixed"/>
        </w:tblPrEx>
        <w:trPr>
          <w:trHeight w:val="159"/>
        </w:trPr>
        <w:tc>
          <w:tcPr>
            <w:tcW w:w="5280" w:type="dxa"/>
            <w:shd w:val="clear" w:color="auto" w:fill="CCEEFF"/>
            <w:vAlign w:val="bottom"/>
          </w:tcPr>
          <w:p>
            <w:pPr>
              <w:spacing w:after="0"/>
              <w:rPr>
                <w:color w:val="auto"/>
                <w:sz w:val="20"/>
                <w:szCs w:val="20"/>
              </w:rPr>
            </w:pPr>
            <w:r>
              <w:rPr>
                <w:rFonts w:ascii="Calibri" w:eastAsia="Calibri" w:hAnsi="Calibri" w:cs="Calibri"/>
                <w:color w:val="auto"/>
                <w:sz w:val="12"/>
                <w:szCs w:val="12"/>
              </w:rPr>
              <w:t>Company contributons</w:t>
            </w:r>
          </w:p>
        </w:tc>
        <w:tc>
          <w:tcPr>
            <w:tcW w:w="34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326</w:t>
            </w:r>
          </w:p>
        </w:tc>
        <w:tc>
          <w:tcPr>
            <w:tcW w:w="560" w:type="dxa"/>
            <w:shd w:val="clear" w:color="auto" w:fill="CCEEFF"/>
            <w:vAlign w:val="bottom"/>
          </w:tcPr>
          <w:p>
            <w:pPr>
              <w:spacing w:after="0"/>
              <w:rPr>
                <w:color w:val="auto"/>
                <w:sz w:val="13"/>
                <w:szCs w:val="13"/>
              </w:rPr>
            </w:pPr>
          </w:p>
        </w:tc>
        <w:tc>
          <w:tcPr>
            <w:tcW w:w="9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366</w:t>
            </w:r>
          </w:p>
        </w:tc>
        <w:tc>
          <w:tcPr>
            <w:tcW w:w="100" w:type="dxa"/>
            <w:shd w:val="clear" w:color="auto" w:fill="CCEEFF"/>
            <w:vAlign w:val="bottom"/>
          </w:tcPr>
          <w:p>
            <w:pPr>
              <w:spacing w:after="0"/>
              <w:rPr>
                <w:color w:val="auto"/>
                <w:sz w:val="13"/>
                <w:szCs w:val="13"/>
              </w:rPr>
            </w:pPr>
          </w:p>
        </w:tc>
        <w:tc>
          <w:tcPr>
            <w:tcW w:w="34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31</w:t>
            </w:r>
          </w:p>
        </w:tc>
        <w:tc>
          <w:tcPr>
            <w:tcW w:w="620" w:type="dxa"/>
            <w:shd w:val="clear" w:color="auto" w:fill="CCEEFF"/>
            <w:vAlign w:val="bottom"/>
          </w:tcPr>
          <w:p>
            <w:pPr>
              <w:spacing w:after="0"/>
              <w:rPr>
                <w:color w:val="auto"/>
                <w:sz w:val="13"/>
                <w:szCs w:val="13"/>
              </w:rPr>
            </w:pPr>
          </w:p>
        </w:tc>
        <w:tc>
          <w:tcPr>
            <w:tcW w:w="86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35</w:t>
            </w:r>
          </w:p>
        </w:tc>
        <w:tc>
          <w:tcPr>
            <w:tcW w:w="1" w:type="dxa"/>
            <w:vAlign w:val="bottom"/>
          </w:tcPr>
          <w:p>
            <w:pPr>
              <w:spacing w:after="0"/>
              <w:rPr>
                <w:color w:val="auto"/>
                <w:sz w:val="1"/>
                <w:szCs w:val="1"/>
              </w:rPr>
            </w:pPr>
          </w:p>
        </w:tc>
      </w:tr>
      <w:tr>
        <w:tblPrEx>
          <w:tblInd w:w="0" w:type="dxa"/>
          <w:tblLayout w:type="fixed"/>
        </w:tblPrEx>
        <w:trPr>
          <w:trHeight w:val="147"/>
        </w:trPr>
        <w:tc>
          <w:tcPr>
            <w:tcW w:w="5280" w:type="dxa"/>
            <w:vAlign w:val="bottom"/>
          </w:tcPr>
          <w:p>
            <w:pPr>
              <w:spacing w:after="0" w:line="142" w:lineRule="exact"/>
              <w:rPr>
                <w:color w:val="auto"/>
                <w:sz w:val="20"/>
                <w:szCs w:val="20"/>
              </w:rPr>
            </w:pPr>
            <w:r>
              <w:rPr>
                <w:rFonts w:ascii="Calibri" w:eastAsia="Calibri" w:hAnsi="Calibri" w:cs="Calibri"/>
                <w:color w:val="auto"/>
                <w:sz w:val="12"/>
                <w:szCs w:val="12"/>
              </w:rPr>
              <w:t>Benefts paid</w:t>
            </w:r>
          </w:p>
        </w:tc>
        <w:tc>
          <w:tcPr>
            <w:tcW w:w="340" w:type="dxa"/>
            <w:vAlign w:val="bottom"/>
          </w:tcPr>
          <w:p>
            <w:pPr>
              <w:spacing w:after="0"/>
              <w:rPr>
                <w:color w:val="auto"/>
                <w:sz w:val="12"/>
                <w:szCs w:val="12"/>
              </w:rPr>
            </w:pPr>
          </w:p>
        </w:tc>
        <w:tc>
          <w:tcPr>
            <w:tcW w:w="112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(347)</w:t>
            </w:r>
          </w:p>
        </w:tc>
        <w:tc>
          <w:tcPr>
            <w:tcW w:w="560" w:type="dxa"/>
            <w:vAlign w:val="bottom"/>
          </w:tcPr>
          <w:p>
            <w:pPr>
              <w:spacing w:after="0"/>
              <w:rPr>
                <w:color w:val="auto"/>
                <w:sz w:val="12"/>
                <w:szCs w:val="12"/>
              </w:rPr>
            </w:pPr>
          </w:p>
        </w:tc>
        <w:tc>
          <w:tcPr>
            <w:tcW w:w="920" w:type="dxa"/>
            <w:vAlign w:val="bottom"/>
          </w:tcPr>
          <w:p>
            <w:pPr>
              <w:spacing w:after="0" w:line="142" w:lineRule="exact"/>
              <w:jc w:val="right"/>
              <w:rPr>
                <w:color w:val="auto"/>
                <w:sz w:val="20"/>
                <w:szCs w:val="20"/>
              </w:rPr>
            </w:pPr>
            <w:r>
              <w:rPr>
                <w:rFonts w:ascii="Calibri" w:eastAsia="Calibri" w:hAnsi="Calibri" w:cs="Calibri"/>
                <w:color w:val="auto"/>
                <w:sz w:val="12"/>
                <w:szCs w:val="12"/>
              </w:rPr>
              <w:t>(316)</w:t>
            </w:r>
          </w:p>
        </w:tc>
        <w:tc>
          <w:tcPr>
            <w:tcW w:w="100" w:type="dxa"/>
            <w:vAlign w:val="bottom"/>
          </w:tcPr>
          <w:p>
            <w:pPr>
              <w:spacing w:after="0"/>
              <w:rPr>
                <w:color w:val="auto"/>
                <w:sz w:val="12"/>
                <w:szCs w:val="12"/>
              </w:rPr>
            </w:pPr>
          </w:p>
        </w:tc>
        <w:tc>
          <w:tcPr>
            <w:tcW w:w="340" w:type="dxa"/>
            <w:vAlign w:val="bottom"/>
          </w:tcPr>
          <w:p>
            <w:pPr>
              <w:spacing w:after="0"/>
              <w:rPr>
                <w:color w:val="auto"/>
                <w:sz w:val="12"/>
                <w:szCs w:val="12"/>
              </w:rPr>
            </w:pPr>
          </w:p>
        </w:tc>
        <w:tc>
          <w:tcPr>
            <w:tcW w:w="114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(31)</w:t>
            </w:r>
          </w:p>
        </w:tc>
        <w:tc>
          <w:tcPr>
            <w:tcW w:w="620" w:type="dxa"/>
            <w:vAlign w:val="bottom"/>
          </w:tcPr>
          <w:p>
            <w:pPr>
              <w:spacing w:after="0"/>
              <w:rPr>
                <w:color w:val="auto"/>
                <w:sz w:val="12"/>
                <w:szCs w:val="12"/>
              </w:rPr>
            </w:pPr>
          </w:p>
        </w:tc>
        <w:tc>
          <w:tcPr>
            <w:tcW w:w="860" w:type="dxa"/>
            <w:vAlign w:val="bottom"/>
          </w:tcPr>
          <w:p>
            <w:pPr>
              <w:spacing w:after="0" w:line="142" w:lineRule="exact"/>
              <w:jc w:val="right"/>
              <w:rPr>
                <w:color w:val="auto"/>
                <w:sz w:val="20"/>
                <w:szCs w:val="20"/>
              </w:rPr>
            </w:pPr>
            <w:r>
              <w:rPr>
                <w:rFonts w:ascii="Calibri" w:eastAsia="Calibri" w:hAnsi="Calibri" w:cs="Calibri"/>
                <w:color w:val="auto"/>
                <w:sz w:val="12"/>
                <w:szCs w:val="12"/>
              </w:rPr>
              <w:t>(35)</w:t>
            </w:r>
          </w:p>
        </w:tc>
        <w:tc>
          <w:tcPr>
            <w:tcW w:w="1" w:type="dxa"/>
            <w:vAlign w:val="bottom"/>
          </w:tcPr>
          <w:p>
            <w:pPr>
              <w:spacing w:after="0"/>
              <w:rPr>
                <w:color w:val="auto"/>
                <w:sz w:val="1"/>
                <w:szCs w:val="1"/>
              </w:rPr>
            </w:pPr>
          </w:p>
        </w:tc>
      </w:tr>
      <w:tr>
        <w:tblPrEx>
          <w:tblInd w:w="0" w:type="dxa"/>
          <w:tblLayout w:type="fixed"/>
        </w:tblPrEx>
        <w:trPr>
          <w:trHeight w:val="153"/>
        </w:trPr>
        <w:tc>
          <w:tcPr>
            <w:tcW w:w="528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Other, primarily foreign currency translaton adjustments</w:t>
            </w:r>
          </w:p>
        </w:tc>
        <w:tc>
          <w:tcPr>
            <w:tcW w:w="34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(132)</w:t>
            </w:r>
          </w:p>
        </w:tc>
        <w:tc>
          <w:tcPr>
            <w:tcW w:w="560" w:type="dxa"/>
            <w:tcBorders>
              <w:bottom w:val="single" w:sz="8" w:space="0" w:color="auto"/>
            </w:tcBorders>
            <w:shd w:val="clear" w:color="auto" w:fill="CCEEFF"/>
            <w:vAlign w:val="bottom"/>
          </w:tcPr>
          <w:p>
            <w:pPr>
              <w:spacing w:after="0"/>
              <w:rPr>
                <w:color w:val="auto"/>
                <w:sz w:val="13"/>
                <w:szCs w:val="13"/>
              </w:rPr>
            </w:pPr>
          </w:p>
        </w:tc>
        <w:tc>
          <w:tcPr>
            <w:tcW w:w="9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87</w:t>
            </w:r>
          </w:p>
        </w:tc>
        <w:tc>
          <w:tcPr>
            <w:tcW w:w="100" w:type="dxa"/>
            <w:tcBorders>
              <w:bottom w:val="single" w:sz="8" w:space="0" w:color="auto"/>
            </w:tcBorders>
            <w:shd w:val="clear" w:color="auto" w:fill="CCEEFF"/>
            <w:vAlign w:val="bottom"/>
          </w:tcPr>
          <w:p>
            <w:pPr>
              <w:spacing w:after="0"/>
              <w:rPr>
                <w:color w:val="auto"/>
                <w:sz w:val="13"/>
                <w:szCs w:val="13"/>
              </w:rPr>
            </w:pPr>
          </w:p>
        </w:tc>
        <w:tc>
          <w:tcPr>
            <w:tcW w:w="340" w:type="dxa"/>
            <w:tcBorders>
              <w:bottom w:val="single" w:sz="8" w:space="0" w:color="auto"/>
            </w:tcBorders>
            <w:shd w:val="clear" w:color="auto" w:fill="CCEEFF"/>
            <w:vAlign w:val="bottom"/>
          </w:tcPr>
          <w:p>
            <w:pPr>
              <w:spacing w:after="0"/>
              <w:rPr>
                <w:color w:val="auto"/>
                <w:sz w:val="13"/>
                <w:szCs w:val="13"/>
              </w:rPr>
            </w:pPr>
          </w:p>
        </w:tc>
        <w:tc>
          <w:tcPr>
            <w:tcW w:w="1140" w:type="dxa"/>
            <w:tcBorders>
              <w:bottom w:val="single" w:sz="8" w:space="0" w:color="auto"/>
            </w:tcBorders>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w:t>
            </w:r>
          </w:p>
        </w:tc>
        <w:tc>
          <w:tcPr>
            <w:tcW w:w="620" w:type="dxa"/>
            <w:tcBorders>
              <w:bottom w:val="single" w:sz="8" w:space="0" w:color="auto"/>
            </w:tcBorders>
            <w:shd w:val="clear" w:color="auto" w:fill="CCEEFF"/>
            <w:vAlign w:val="bottom"/>
          </w:tcPr>
          <w:p>
            <w:pPr>
              <w:spacing w:after="0"/>
              <w:rPr>
                <w:color w:val="auto"/>
                <w:sz w:val="13"/>
                <w:szCs w:val="13"/>
              </w:rPr>
            </w:pPr>
          </w:p>
        </w:tc>
        <w:tc>
          <w:tcPr>
            <w:tcW w:w="86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w:t>
            </w:r>
          </w:p>
        </w:tc>
        <w:tc>
          <w:tcPr>
            <w:tcW w:w="1" w:type="dxa"/>
            <w:vAlign w:val="bottom"/>
          </w:tcPr>
          <w:p>
            <w:pPr>
              <w:spacing w:after="0"/>
              <w:rPr>
                <w:color w:val="auto"/>
                <w:sz w:val="1"/>
                <w:szCs w:val="1"/>
              </w:rPr>
            </w:pPr>
          </w:p>
        </w:tc>
      </w:tr>
      <w:tr>
        <w:tblPrEx>
          <w:tblInd w:w="0" w:type="dxa"/>
          <w:tblLayout w:type="fixed"/>
        </w:tblPrEx>
        <w:trPr>
          <w:trHeight w:val="142"/>
        </w:trPr>
        <w:tc>
          <w:tcPr>
            <w:tcW w:w="52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End of period</w:t>
            </w:r>
          </w:p>
        </w:tc>
        <w:tc>
          <w:tcPr>
            <w:tcW w:w="34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10,551</w:t>
            </w:r>
          </w:p>
        </w:tc>
        <w:tc>
          <w:tcPr>
            <w:tcW w:w="560" w:type="dxa"/>
            <w:tcBorders>
              <w:bottom w:val="single" w:sz="8" w:space="0" w:color="auto"/>
            </w:tcBorders>
            <w:vAlign w:val="bottom"/>
          </w:tcPr>
          <w:p>
            <w:pPr>
              <w:spacing w:after="0"/>
              <w:rPr>
                <w:color w:val="auto"/>
                <w:sz w:val="12"/>
                <w:szCs w:val="12"/>
              </w:rPr>
            </w:pPr>
          </w:p>
        </w:tc>
        <w:tc>
          <w:tcPr>
            <w:tcW w:w="9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9,839</w:t>
            </w:r>
          </w:p>
        </w:tc>
        <w:tc>
          <w:tcPr>
            <w:tcW w:w="100" w:type="dxa"/>
            <w:tcBorders>
              <w:bottom w:val="single" w:sz="8" w:space="0" w:color="auto"/>
            </w:tcBorders>
            <w:vAlign w:val="bottom"/>
          </w:tcPr>
          <w:p>
            <w:pPr>
              <w:spacing w:after="0"/>
              <w:rPr>
                <w:color w:val="auto"/>
                <w:sz w:val="12"/>
                <w:szCs w:val="12"/>
              </w:rPr>
            </w:pPr>
          </w:p>
        </w:tc>
        <w:tc>
          <w:tcPr>
            <w:tcW w:w="34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41"/>
              <w:jc w:val="right"/>
              <w:rPr>
                <w:color w:val="auto"/>
                <w:sz w:val="20"/>
                <w:szCs w:val="20"/>
              </w:rPr>
            </w:pPr>
            <w:r>
              <w:rPr>
                <w:rFonts w:ascii="Calibri" w:eastAsia="Calibri" w:hAnsi="Calibri" w:cs="Calibri"/>
                <w:color w:val="auto"/>
                <w:sz w:val="12"/>
                <w:szCs w:val="12"/>
              </w:rPr>
              <w:t>—</w:t>
            </w:r>
          </w:p>
        </w:tc>
        <w:tc>
          <w:tcPr>
            <w:tcW w:w="620" w:type="dxa"/>
            <w:tcBorders>
              <w:bottom w:val="single" w:sz="8" w:space="0" w:color="auto"/>
            </w:tcBorders>
            <w:vAlign w:val="bottom"/>
          </w:tcPr>
          <w:p>
            <w:pPr>
              <w:spacing w:after="0"/>
              <w:rPr>
                <w:color w:val="auto"/>
                <w:sz w:val="12"/>
                <w:szCs w:val="12"/>
              </w:rPr>
            </w:pPr>
          </w:p>
        </w:tc>
        <w:tc>
          <w:tcPr>
            <w:tcW w:w="86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w:t>
            </w:r>
          </w:p>
        </w:tc>
        <w:tc>
          <w:tcPr>
            <w:tcW w:w="1" w:type="dxa"/>
            <w:vAlign w:val="bottom"/>
          </w:tcPr>
          <w:p>
            <w:pPr>
              <w:spacing w:after="0"/>
              <w:rPr>
                <w:color w:val="auto"/>
                <w:sz w:val="1"/>
                <w:szCs w:val="1"/>
              </w:rPr>
            </w:pPr>
          </w:p>
        </w:tc>
      </w:tr>
      <w:tr>
        <w:tblPrEx>
          <w:tblInd w:w="0" w:type="dxa"/>
          <w:tblLayout w:type="fixed"/>
        </w:tblPrEx>
        <w:trPr>
          <w:trHeight w:val="164"/>
        </w:trPr>
        <w:tc>
          <w:tcPr>
            <w:tcW w:w="528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Funded status, end of period</w:t>
            </w:r>
          </w:p>
        </w:tc>
        <w:tc>
          <w:tcPr>
            <w:tcW w:w="34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20" w:type="dxa"/>
            <w:tcBorders>
              <w:bottom w:val="single" w:sz="8" w:space="0" w:color="auto"/>
            </w:tcBorders>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1,587</w:t>
            </w:r>
          </w:p>
        </w:tc>
        <w:tc>
          <w:tcPr>
            <w:tcW w:w="560" w:type="dxa"/>
            <w:tcBorders>
              <w:bottom w:val="single" w:sz="8" w:space="0" w:color="auto"/>
            </w:tcBorders>
            <w:shd w:val="clear" w:color="auto" w:fill="CCEEFF"/>
            <w:vAlign w:val="bottom"/>
          </w:tcPr>
          <w:p>
            <w:pPr>
              <w:spacing w:after="0" w:line="142" w:lineRule="exact"/>
              <w:ind w:right="380"/>
              <w:jc w:val="right"/>
              <w:rPr>
                <w:color w:val="auto"/>
                <w:sz w:val="20"/>
                <w:szCs w:val="20"/>
              </w:rPr>
            </w:pPr>
            <w:r>
              <w:rPr>
                <w:rFonts w:ascii="Calibri" w:eastAsia="Calibri" w:hAnsi="Calibri" w:cs="Calibri"/>
                <w:color w:val="auto"/>
                <w:sz w:val="12"/>
                <w:szCs w:val="12"/>
              </w:rPr>
              <w:t>$</w:t>
            </w:r>
          </w:p>
        </w:tc>
        <w:tc>
          <w:tcPr>
            <w:tcW w:w="9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295</w:t>
            </w:r>
          </w:p>
        </w:tc>
        <w:tc>
          <w:tcPr>
            <w:tcW w:w="100" w:type="dxa"/>
            <w:tcBorders>
              <w:bottom w:val="single" w:sz="8" w:space="0" w:color="auto"/>
            </w:tcBorders>
            <w:shd w:val="clear" w:color="auto" w:fill="CCEEFF"/>
            <w:vAlign w:val="bottom"/>
          </w:tcPr>
          <w:p>
            <w:pPr>
              <w:spacing w:after="0"/>
              <w:rPr>
                <w:color w:val="auto"/>
                <w:sz w:val="14"/>
                <w:szCs w:val="14"/>
              </w:rPr>
            </w:pPr>
          </w:p>
        </w:tc>
        <w:tc>
          <w:tcPr>
            <w:tcW w:w="34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4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(786)</w:t>
            </w:r>
          </w:p>
        </w:tc>
        <w:tc>
          <w:tcPr>
            <w:tcW w:w="620" w:type="dxa"/>
            <w:tcBorders>
              <w:bottom w:val="single" w:sz="8" w:space="0" w:color="auto"/>
            </w:tcBorders>
            <w:shd w:val="clear" w:color="auto" w:fill="CCEEFF"/>
            <w:vAlign w:val="bottom"/>
          </w:tcPr>
          <w:p>
            <w:pPr>
              <w:spacing w:after="0" w:line="142" w:lineRule="exact"/>
              <w:ind w:right="440"/>
              <w:jc w:val="right"/>
              <w:rPr>
                <w:color w:val="auto"/>
                <w:sz w:val="20"/>
                <w:szCs w:val="20"/>
              </w:rPr>
            </w:pPr>
            <w:r>
              <w:rPr>
                <w:rFonts w:ascii="Calibri" w:eastAsia="Calibri" w:hAnsi="Calibri" w:cs="Calibri"/>
                <w:color w:val="auto"/>
                <w:sz w:val="12"/>
                <w:szCs w:val="12"/>
              </w:rPr>
              <w:t>$</w:t>
            </w:r>
          </w:p>
        </w:tc>
        <w:tc>
          <w:tcPr>
            <w:tcW w:w="86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(796)</w:t>
            </w:r>
          </w:p>
        </w:tc>
        <w:tc>
          <w:tcPr>
            <w:tcW w:w="1" w:type="dxa"/>
            <w:vAlign w:val="bottom"/>
          </w:tcPr>
          <w:p>
            <w:pPr>
              <w:spacing w:after="0"/>
              <w:rPr>
                <w:color w:val="auto"/>
                <w:sz w:val="1"/>
                <w:szCs w:val="1"/>
              </w:rPr>
            </w:pPr>
          </w:p>
        </w:tc>
      </w:tr>
      <w:tr>
        <w:tblPrEx>
          <w:tblInd w:w="0" w:type="dxa"/>
          <w:tblLayout w:type="fixed"/>
        </w:tblPrEx>
        <w:trPr>
          <w:trHeight w:val="126"/>
        </w:trPr>
        <w:tc>
          <w:tcPr>
            <w:tcW w:w="528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560" w:type="dxa"/>
            <w:vAlign w:val="bottom"/>
          </w:tcPr>
          <w:p>
            <w:pPr>
              <w:spacing w:after="0"/>
              <w:rPr>
                <w:color w:val="auto"/>
                <w:sz w:val="10"/>
                <w:szCs w:val="10"/>
              </w:rPr>
            </w:pPr>
          </w:p>
        </w:tc>
        <w:tc>
          <w:tcPr>
            <w:tcW w:w="92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340" w:type="dxa"/>
            <w:vAlign w:val="bottom"/>
          </w:tcPr>
          <w:p>
            <w:pPr>
              <w:spacing w:after="0"/>
              <w:rPr>
                <w:color w:val="auto"/>
                <w:sz w:val="10"/>
                <w:szCs w:val="10"/>
              </w:rPr>
            </w:pPr>
          </w:p>
        </w:tc>
        <w:tc>
          <w:tcPr>
            <w:tcW w:w="1140" w:type="dxa"/>
            <w:vAlign w:val="bottom"/>
          </w:tcPr>
          <w:p>
            <w:pPr>
              <w:spacing w:after="0"/>
              <w:rPr>
                <w:color w:val="auto"/>
                <w:sz w:val="10"/>
                <w:szCs w:val="10"/>
              </w:rPr>
            </w:pPr>
          </w:p>
        </w:tc>
        <w:tc>
          <w:tcPr>
            <w:tcW w:w="620" w:type="dxa"/>
            <w:vAlign w:val="bottom"/>
          </w:tcPr>
          <w:p>
            <w:pPr>
              <w:spacing w:after="0"/>
              <w:rPr>
                <w:color w:val="auto"/>
                <w:sz w:val="10"/>
                <w:szCs w:val="10"/>
              </w:rPr>
            </w:pPr>
          </w:p>
        </w:tc>
        <w:tc>
          <w:tcPr>
            <w:tcW w:w="86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153"/>
        </w:trPr>
        <w:tc>
          <w:tcPr>
            <w:tcW w:w="5280" w:type="dxa"/>
            <w:shd w:val="clear" w:color="auto" w:fill="CCEEFF"/>
            <w:vAlign w:val="bottom"/>
          </w:tcPr>
          <w:p>
            <w:pPr>
              <w:spacing w:after="0" w:line="142" w:lineRule="exact"/>
              <w:rPr>
                <w:color w:val="auto"/>
                <w:sz w:val="20"/>
                <w:szCs w:val="20"/>
              </w:rPr>
            </w:pPr>
            <w:r>
              <w:rPr>
                <w:rFonts w:ascii="Calibri" w:eastAsia="Calibri" w:hAnsi="Calibri" w:cs="Calibri"/>
                <w:b/>
                <w:bCs/>
                <w:color w:val="auto"/>
                <w:sz w:val="12"/>
                <w:szCs w:val="12"/>
              </w:rPr>
              <w:t>Amounts recognized on the consolidated balance sheets</w:t>
            </w:r>
          </w:p>
        </w:tc>
        <w:tc>
          <w:tcPr>
            <w:tcW w:w="34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560" w:type="dxa"/>
            <w:shd w:val="clear" w:color="auto" w:fill="CCEEFF"/>
            <w:vAlign w:val="bottom"/>
          </w:tcPr>
          <w:p>
            <w:pPr>
              <w:spacing w:after="0"/>
              <w:rPr>
                <w:color w:val="auto"/>
                <w:sz w:val="13"/>
                <w:szCs w:val="13"/>
              </w:rPr>
            </w:pPr>
          </w:p>
        </w:tc>
        <w:tc>
          <w:tcPr>
            <w:tcW w:w="920" w:type="dxa"/>
            <w:shd w:val="clear" w:color="auto" w:fill="CCEEFF"/>
            <w:vAlign w:val="bottom"/>
          </w:tcPr>
          <w:p>
            <w:pPr>
              <w:spacing w:after="0"/>
              <w:rPr>
                <w:color w:val="auto"/>
                <w:sz w:val="13"/>
                <w:szCs w:val="13"/>
              </w:rPr>
            </w:pPr>
          </w:p>
        </w:tc>
        <w:tc>
          <w:tcPr>
            <w:tcW w:w="100" w:type="dxa"/>
            <w:shd w:val="clear" w:color="auto" w:fill="CCEEFF"/>
            <w:vAlign w:val="bottom"/>
          </w:tcPr>
          <w:p>
            <w:pPr>
              <w:spacing w:after="0"/>
              <w:rPr>
                <w:color w:val="auto"/>
                <w:sz w:val="13"/>
                <w:szCs w:val="13"/>
              </w:rPr>
            </w:pPr>
          </w:p>
        </w:tc>
        <w:tc>
          <w:tcPr>
            <w:tcW w:w="34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rPr>
                <w:color w:val="auto"/>
                <w:sz w:val="13"/>
                <w:szCs w:val="13"/>
              </w:rPr>
            </w:pPr>
          </w:p>
        </w:tc>
        <w:tc>
          <w:tcPr>
            <w:tcW w:w="620" w:type="dxa"/>
            <w:shd w:val="clear" w:color="auto" w:fill="CCEEFF"/>
            <w:vAlign w:val="bottom"/>
          </w:tcPr>
          <w:p>
            <w:pPr>
              <w:spacing w:after="0"/>
              <w:rPr>
                <w:color w:val="auto"/>
                <w:sz w:val="13"/>
                <w:szCs w:val="13"/>
              </w:rPr>
            </w:pPr>
          </w:p>
        </w:tc>
        <w:tc>
          <w:tcPr>
            <w:tcW w:w="860" w:type="dxa"/>
            <w:shd w:val="clear" w:color="auto" w:fill="CCEEFF"/>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7"/>
        </w:trPr>
        <w:tc>
          <w:tcPr>
            <w:tcW w:w="5280" w:type="dxa"/>
            <w:vAlign w:val="bottom"/>
          </w:tcPr>
          <w:p>
            <w:pPr>
              <w:spacing w:after="0" w:line="142" w:lineRule="exact"/>
              <w:rPr>
                <w:color w:val="auto"/>
                <w:sz w:val="20"/>
                <w:szCs w:val="20"/>
              </w:rPr>
            </w:pPr>
            <w:r>
              <w:rPr>
                <w:rFonts w:ascii="Calibri" w:eastAsia="Calibri" w:hAnsi="Calibri" w:cs="Calibri"/>
                <w:color w:val="auto"/>
                <w:sz w:val="12"/>
                <w:szCs w:val="12"/>
              </w:rPr>
              <w:t>Other assets</w:t>
            </w:r>
          </w:p>
        </w:tc>
        <w:tc>
          <w:tcPr>
            <w:tcW w:w="340" w:type="dxa"/>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2,097</w:t>
            </w:r>
          </w:p>
        </w:tc>
        <w:tc>
          <w:tcPr>
            <w:tcW w:w="560" w:type="dxa"/>
            <w:vAlign w:val="bottom"/>
          </w:tcPr>
          <w:p>
            <w:pPr>
              <w:spacing w:after="0" w:line="142" w:lineRule="exact"/>
              <w:ind w:right="380"/>
              <w:jc w:val="right"/>
              <w:rPr>
                <w:color w:val="auto"/>
                <w:sz w:val="20"/>
                <w:szCs w:val="20"/>
              </w:rPr>
            </w:pPr>
            <w:r>
              <w:rPr>
                <w:rFonts w:ascii="Calibri" w:eastAsia="Calibri" w:hAnsi="Calibri" w:cs="Calibri"/>
                <w:color w:val="auto"/>
                <w:sz w:val="12"/>
                <w:szCs w:val="12"/>
              </w:rPr>
              <w:t>$</w:t>
            </w:r>
          </w:p>
        </w:tc>
        <w:tc>
          <w:tcPr>
            <w:tcW w:w="920" w:type="dxa"/>
            <w:vAlign w:val="bottom"/>
          </w:tcPr>
          <w:p>
            <w:pPr>
              <w:spacing w:after="0" w:line="142" w:lineRule="exact"/>
              <w:jc w:val="right"/>
              <w:rPr>
                <w:color w:val="auto"/>
                <w:sz w:val="20"/>
                <w:szCs w:val="20"/>
              </w:rPr>
            </w:pPr>
            <w:r>
              <w:rPr>
                <w:rFonts w:ascii="Calibri" w:eastAsia="Calibri" w:hAnsi="Calibri" w:cs="Calibri"/>
                <w:color w:val="auto"/>
                <w:sz w:val="12"/>
                <w:szCs w:val="12"/>
              </w:rPr>
              <w:t>1,086</w:t>
            </w:r>
          </w:p>
        </w:tc>
        <w:tc>
          <w:tcPr>
            <w:tcW w:w="100" w:type="dxa"/>
            <w:vAlign w:val="bottom"/>
          </w:tcPr>
          <w:p>
            <w:pPr>
              <w:spacing w:after="0"/>
              <w:rPr>
                <w:color w:val="auto"/>
                <w:sz w:val="12"/>
                <w:szCs w:val="12"/>
              </w:rPr>
            </w:pPr>
          </w:p>
        </w:tc>
        <w:tc>
          <w:tcPr>
            <w:tcW w:w="340" w:type="dxa"/>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4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w:t>
            </w:r>
          </w:p>
        </w:tc>
        <w:tc>
          <w:tcPr>
            <w:tcW w:w="620" w:type="dxa"/>
            <w:vAlign w:val="bottom"/>
          </w:tcPr>
          <w:p>
            <w:pPr>
              <w:spacing w:after="0" w:line="142" w:lineRule="exact"/>
              <w:ind w:right="440"/>
              <w:jc w:val="right"/>
              <w:rPr>
                <w:color w:val="auto"/>
                <w:sz w:val="20"/>
                <w:szCs w:val="20"/>
              </w:rPr>
            </w:pPr>
            <w:r>
              <w:rPr>
                <w:rFonts w:ascii="Calibri" w:eastAsia="Calibri" w:hAnsi="Calibri" w:cs="Calibri"/>
                <w:color w:val="auto"/>
                <w:sz w:val="12"/>
                <w:szCs w:val="12"/>
              </w:rPr>
              <w:t>$</w:t>
            </w:r>
          </w:p>
        </w:tc>
        <w:tc>
          <w:tcPr>
            <w:tcW w:w="86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w:t>
            </w:r>
          </w:p>
        </w:tc>
        <w:tc>
          <w:tcPr>
            <w:tcW w:w="1" w:type="dxa"/>
            <w:vAlign w:val="bottom"/>
          </w:tcPr>
          <w:p>
            <w:pPr>
              <w:spacing w:after="0"/>
              <w:rPr>
                <w:color w:val="auto"/>
                <w:sz w:val="1"/>
                <w:szCs w:val="1"/>
              </w:rPr>
            </w:pPr>
          </w:p>
        </w:tc>
      </w:tr>
      <w:tr>
        <w:tblPrEx>
          <w:tblInd w:w="0" w:type="dxa"/>
          <w:tblLayout w:type="fixed"/>
        </w:tblPrEx>
        <w:trPr>
          <w:trHeight w:val="159"/>
        </w:trPr>
        <w:tc>
          <w:tcPr>
            <w:tcW w:w="5280" w:type="dxa"/>
            <w:shd w:val="clear" w:color="auto" w:fill="CCEEFF"/>
            <w:vAlign w:val="bottom"/>
          </w:tcPr>
          <w:p>
            <w:pPr>
              <w:spacing w:after="0"/>
              <w:rPr>
                <w:color w:val="auto"/>
                <w:sz w:val="20"/>
                <w:szCs w:val="20"/>
              </w:rPr>
            </w:pPr>
            <w:r>
              <w:rPr>
                <w:rFonts w:ascii="Calibri" w:eastAsia="Calibri" w:hAnsi="Calibri" w:cs="Calibri"/>
                <w:color w:val="auto"/>
                <w:sz w:val="12"/>
                <w:szCs w:val="12"/>
              </w:rPr>
              <w:t>Accounts payable and accrued liabilites</w:t>
            </w:r>
          </w:p>
        </w:tc>
        <w:tc>
          <w:tcPr>
            <w:tcW w:w="34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(20)</w:t>
            </w:r>
          </w:p>
        </w:tc>
        <w:tc>
          <w:tcPr>
            <w:tcW w:w="560" w:type="dxa"/>
            <w:shd w:val="clear" w:color="auto" w:fill="CCEEFF"/>
            <w:vAlign w:val="bottom"/>
          </w:tcPr>
          <w:p>
            <w:pPr>
              <w:spacing w:after="0"/>
              <w:rPr>
                <w:color w:val="auto"/>
                <w:sz w:val="13"/>
                <w:szCs w:val="13"/>
              </w:rPr>
            </w:pPr>
          </w:p>
        </w:tc>
        <w:tc>
          <w:tcPr>
            <w:tcW w:w="9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(17)</w:t>
            </w:r>
          </w:p>
        </w:tc>
        <w:tc>
          <w:tcPr>
            <w:tcW w:w="100" w:type="dxa"/>
            <w:shd w:val="clear" w:color="auto" w:fill="CCEEFF"/>
            <w:vAlign w:val="bottom"/>
          </w:tcPr>
          <w:p>
            <w:pPr>
              <w:spacing w:after="0"/>
              <w:rPr>
                <w:color w:val="auto"/>
                <w:sz w:val="13"/>
                <w:szCs w:val="13"/>
              </w:rPr>
            </w:pPr>
          </w:p>
        </w:tc>
        <w:tc>
          <w:tcPr>
            <w:tcW w:w="34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(42)</w:t>
            </w:r>
          </w:p>
        </w:tc>
        <w:tc>
          <w:tcPr>
            <w:tcW w:w="620" w:type="dxa"/>
            <w:shd w:val="clear" w:color="auto" w:fill="CCEEFF"/>
            <w:vAlign w:val="bottom"/>
          </w:tcPr>
          <w:p>
            <w:pPr>
              <w:spacing w:after="0"/>
              <w:rPr>
                <w:color w:val="auto"/>
                <w:sz w:val="13"/>
                <w:szCs w:val="13"/>
              </w:rPr>
            </w:pPr>
          </w:p>
        </w:tc>
        <w:tc>
          <w:tcPr>
            <w:tcW w:w="8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(32)</w:t>
            </w:r>
          </w:p>
        </w:tc>
        <w:tc>
          <w:tcPr>
            <w:tcW w:w="1" w:type="dxa"/>
            <w:vAlign w:val="bottom"/>
          </w:tcPr>
          <w:p>
            <w:pPr>
              <w:spacing w:after="0"/>
              <w:rPr>
                <w:color w:val="auto"/>
                <w:sz w:val="1"/>
                <w:szCs w:val="1"/>
              </w:rPr>
            </w:pPr>
          </w:p>
        </w:tc>
      </w:tr>
      <w:tr>
        <w:tblPrEx>
          <w:tblInd w:w="0" w:type="dxa"/>
          <w:tblLayout w:type="fixed"/>
        </w:tblPrEx>
        <w:trPr>
          <w:trHeight w:val="147"/>
        </w:trPr>
        <w:tc>
          <w:tcPr>
            <w:tcW w:w="52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Other long-term liabilites</w:t>
            </w:r>
          </w:p>
        </w:tc>
        <w:tc>
          <w:tcPr>
            <w:tcW w:w="34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(490)</w:t>
            </w:r>
          </w:p>
        </w:tc>
        <w:tc>
          <w:tcPr>
            <w:tcW w:w="560" w:type="dxa"/>
            <w:tcBorders>
              <w:bottom w:val="single" w:sz="8" w:space="0" w:color="auto"/>
            </w:tcBorders>
            <w:vAlign w:val="bottom"/>
          </w:tcPr>
          <w:p>
            <w:pPr>
              <w:spacing w:after="0"/>
              <w:rPr>
                <w:color w:val="auto"/>
                <w:sz w:val="12"/>
                <w:szCs w:val="12"/>
              </w:rPr>
            </w:pPr>
          </w:p>
        </w:tc>
        <w:tc>
          <w:tcPr>
            <w:tcW w:w="9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(774)</w:t>
            </w:r>
          </w:p>
        </w:tc>
        <w:tc>
          <w:tcPr>
            <w:tcW w:w="100" w:type="dxa"/>
            <w:tcBorders>
              <w:bottom w:val="single" w:sz="8" w:space="0" w:color="auto"/>
            </w:tcBorders>
            <w:vAlign w:val="bottom"/>
          </w:tcPr>
          <w:p>
            <w:pPr>
              <w:spacing w:after="0"/>
              <w:rPr>
                <w:color w:val="auto"/>
                <w:sz w:val="12"/>
                <w:szCs w:val="12"/>
              </w:rPr>
            </w:pPr>
          </w:p>
        </w:tc>
        <w:tc>
          <w:tcPr>
            <w:tcW w:w="34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(744)</w:t>
            </w:r>
          </w:p>
        </w:tc>
        <w:tc>
          <w:tcPr>
            <w:tcW w:w="620" w:type="dxa"/>
            <w:tcBorders>
              <w:bottom w:val="single" w:sz="8" w:space="0" w:color="auto"/>
            </w:tcBorders>
            <w:vAlign w:val="bottom"/>
          </w:tcPr>
          <w:p>
            <w:pPr>
              <w:spacing w:after="0"/>
              <w:rPr>
                <w:color w:val="auto"/>
                <w:sz w:val="12"/>
                <w:szCs w:val="12"/>
              </w:rPr>
            </w:pPr>
          </w:p>
        </w:tc>
        <w:tc>
          <w:tcPr>
            <w:tcW w:w="8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(764)</w:t>
            </w:r>
          </w:p>
        </w:tc>
        <w:tc>
          <w:tcPr>
            <w:tcW w:w="1" w:type="dxa"/>
            <w:vAlign w:val="bottom"/>
          </w:tcPr>
          <w:p>
            <w:pPr>
              <w:spacing w:after="0"/>
              <w:rPr>
                <w:color w:val="auto"/>
                <w:sz w:val="1"/>
                <w:szCs w:val="1"/>
              </w:rPr>
            </w:pPr>
          </w:p>
        </w:tc>
      </w:tr>
      <w:tr>
        <w:tblPrEx>
          <w:tblInd w:w="0" w:type="dxa"/>
          <w:tblLayout w:type="fixed"/>
        </w:tblPrEx>
        <w:trPr>
          <w:trHeight w:val="164"/>
        </w:trPr>
        <w:tc>
          <w:tcPr>
            <w:tcW w:w="528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Net asset (obligaton)</w:t>
            </w:r>
          </w:p>
        </w:tc>
        <w:tc>
          <w:tcPr>
            <w:tcW w:w="34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20" w:type="dxa"/>
            <w:tcBorders>
              <w:bottom w:val="single" w:sz="8" w:space="0" w:color="auto"/>
            </w:tcBorders>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1,587</w:t>
            </w:r>
          </w:p>
        </w:tc>
        <w:tc>
          <w:tcPr>
            <w:tcW w:w="560" w:type="dxa"/>
            <w:tcBorders>
              <w:bottom w:val="single" w:sz="8" w:space="0" w:color="auto"/>
            </w:tcBorders>
            <w:shd w:val="clear" w:color="auto" w:fill="CCEEFF"/>
            <w:vAlign w:val="bottom"/>
          </w:tcPr>
          <w:p>
            <w:pPr>
              <w:spacing w:after="0" w:line="142" w:lineRule="exact"/>
              <w:ind w:right="380"/>
              <w:jc w:val="right"/>
              <w:rPr>
                <w:color w:val="auto"/>
                <w:sz w:val="20"/>
                <w:szCs w:val="20"/>
              </w:rPr>
            </w:pPr>
            <w:r>
              <w:rPr>
                <w:rFonts w:ascii="Calibri" w:eastAsia="Calibri" w:hAnsi="Calibri" w:cs="Calibri"/>
                <w:color w:val="auto"/>
                <w:sz w:val="12"/>
                <w:szCs w:val="12"/>
              </w:rPr>
              <w:t>$</w:t>
            </w:r>
          </w:p>
        </w:tc>
        <w:tc>
          <w:tcPr>
            <w:tcW w:w="9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295</w:t>
            </w:r>
          </w:p>
        </w:tc>
        <w:tc>
          <w:tcPr>
            <w:tcW w:w="100" w:type="dxa"/>
            <w:tcBorders>
              <w:bottom w:val="single" w:sz="8" w:space="0" w:color="auto"/>
            </w:tcBorders>
            <w:shd w:val="clear" w:color="auto" w:fill="CCEEFF"/>
            <w:vAlign w:val="bottom"/>
          </w:tcPr>
          <w:p>
            <w:pPr>
              <w:spacing w:after="0"/>
              <w:rPr>
                <w:color w:val="auto"/>
                <w:sz w:val="14"/>
                <w:szCs w:val="14"/>
              </w:rPr>
            </w:pPr>
          </w:p>
        </w:tc>
        <w:tc>
          <w:tcPr>
            <w:tcW w:w="34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4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(786)</w:t>
            </w:r>
          </w:p>
        </w:tc>
        <w:tc>
          <w:tcPr>
            <w:tcW w:w="620" w:type="dxa"/>
            <w:tcBorders>
              <w:bottom w:val="single" w:sz="8" w:space="0" w:color="auto"/>
            </w:tcBorders>
            <w:shd w:val="clear" w:color="auto" w:fill="CCEEFF"/>
            <w:vAlign w:val="bottom"/>
          </w:tcPr>
          <w:p>
            <w:pPr>
              <w:spacing w:after="0" w:line="142" w:lineRule="exact"/>
              <w:ind w:right="440"/>
              <w:jc w:val="right"/>
              <w:rPr>
                <w:color w:val="auto"/>
                <w:sz w:val="20"/>
                <w:szCs w:val="20"/>
              </w:rPr>
            </w:pPr>
            <w:r>
              <w:rPr>
                <w:rFonts w:ascii="Calibri" w:eastAsia="Calibri" w:hAnsi="Calibri" w:cs="Calibri"/>
                <w:color w:val="auto"/>
                <w:sz w:val="12"/>
                <w:szCs w:val="12"/>
              </w:rPr>
              <w:t>$</w:t>
            </w:r>
          </w:p>
        </w:tc>
        <w:tc>
          <w:tcPr>
            <w:tcW w:w="86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(796)</w:t>
            </w:r>
          </w:p>
        </w:tc>
        <w:tc>
          <w:tcPr>
            <w:tcW w:w="1" w:type="dxa"/>
            <w:vAlign w:val="bottom"/>
          </w:tcPr>
          <w:p>
            <w:pPr>
              <w:spacing w:after="0"/>
              <w:rPr>
                <w:color w:val="auto"/>
                <w:sz w:val="1"/>
                <w:szCs w:val="1"/>
              </w:rPr>
            </w:pPr>
          </w:p>
        </w:tc>
      </w:tr>
      <w:tr>
        <w:tblPrEx>
          <w:tblInd w:w="0" w:type="dxa"/>
          <w:tblLayout w:type="fixed"/>
        </w:tblPrEx>
        <w:trPr>
          <w:trHeight w:val="147"/>
        </w:trPr>
        <w:tc>
          <w:tcPr>
            <w:tcW w:w="5280" w:type="dxa"/>
            <w:vAlign w:val="bottom"/>
          </w:tcPr>
          <w:p>
            <w:pPr>
              <w:spacing w:after="0" w:line="142" w:lineRule="exact"/>
              <w:rPr>
                <w:color w:val="auto"/>
                <w:sz w:val="20"/>
                <w:szCs w:val="20"/>
              </w:rPr>
            </w:pPr>
            <w:r>
              <w:rPr>
                <w:rFonts w:ascii="Calibri" w:eastAsia="Calibri" w:hAnsi="Calibri" w:cs="Calibri"/>
                <w:color w:val="auto"/>
                <w:sz w:val="12"/>
                <w:szCs w:val="12"/>
              </w:rPr>
              <w:t>Actuarial loss, net</w:t>
            </w:r>
          </w:p>
        </w:tc>
        <w:tc>
          <w:tcPr>
            <w:tcW w:w="340" w:type="dxa"/>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1,303</w:t>
            </w:r>
          </w:p>
        </w:tc>
        <w:tc>
          <w:tcPr>
            <w:tcW w:w="560" w:type="dxa"/>
            <w:vAlign w:val="bottom"/>
          </w:tcPr>
          <w:p>
            <w:pPr>
              <w:spacing w:after="0" w:line="142" w:lineRule="exact"/>
              <w:ind w:right="380"/>
              <w:jc w:val="right"/>
              <w:rPr>
                <w:color w:val="auto"/>
                <w:sz w:val="20"/>
                <w:szCs w:val="20"/>
              </w:rPr>
            </w:pPr>
            <w:r>
              <w:rPr>
                <w:rFonts w:ascii="Calibri" w:eastAsia="Calibri" w:hAnsi="Calibri" w:cs="Calibri"/>
                <w:color w:val="auto"/>
                <w:sz w:val="12"/>
                <w:szCs w:val="12"/>
              </w:rPr>
              <w:t>$</w:t>
            </w:r>
          </w:p>
        </w:tc>
        <w:tc>
          <w:tcPr>
            <w:tcW w:w="920" w:type="dxa"/>
            <w:vAlign w:val="bottom"/>
          </w:tcPr>
          <w:p>
            <w:pPr>
              <w:spacing w:after="0" w:line="142" w:lineRule="exact"/>
              <w:jc w:val="right"/>
              <w:rPr>
                <w:color w:val="auto"/>
                <w:sz w:val="20"/>
                <w:szCs w:val="20"/>
              </w:rPr>
            </w:pPr>
            <w:r>
              <w:rPr>
                <w:rFonts w:ascii="Calibri" w:eastAsia="Calibri" w:hAnsi="Calibri" w:cs="Calibri"/>
                <w:color w:val="auto"/>
                <w:sz w:val="12"/>
                <w:szCs w:val="12"/>
              </w:rPr>
              <w:t>2,290</w:t>
            </w:r>
          </w:p>
        </w:tc>
        <w:tc>
          <w:tcPr>
            <w:tcW w:w="100" w:type="dxa"/>
            <w:vAlign w:val="bottom"/>
          </w:tcPr>
          <w:p>
            <w:pPr>
              <w:spacing w:after="0"/>
              <w:rPr>
                <w:color w:val="auto"/>
                <w:sz w:val="12"/>
                <w:szCs w:val="12"/>
              </w:rPr>
            </w:pPr>
          </w:p>
        </w:tc>
        <w:tc>
          <w:tcPr>
            <w:tcW w:w="340" w:type="dxa"/>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4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203</w:t>
            </w:r>
          </w:p>
        </w:tc>
        <w:tc>
          <w:tcPr>
            <w:tcW w:w="620" w:type="dxa"/>
            <w:vAlign w:val="bottom"/>
          </w:tcPr>
          <w:p>
            <w:pPr>
              <w:spacing w:after="0" w:line="142" w:lineRule="exact"/>
              <w:ind w:right="440"/>
              <w:jc w:val="right"/>
              <w:rPr>
                <w:color w:val="auto"/>
                <w:sz w:val="20"/>
                <w:szCs w:val="20"/>
              </w:rPr>
            </w:pPr>
            <w:r>
              <w:rPr>
                <w:rFonts w:ascii="Calibri" w:eastAsia="Calibri" w:hAnsi="Calibri" w:cs="Calibri"/>
                <w:color w:val="auto"/>
                <w:sz w:val="12"/>
                <w:szCs w:val="12"/>
              </w:rPr>
              <w:t>$</w:t>
            </w:r>
          </w:p>
        </w:tc>
        <w:tc>
          <w:tcPr>
            <w:tcW w:w="86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282</w:t>
            </w:r>
          </w:p>
        </w:tc>
        <w:tc>
          <w:tcPr>
            <w:tcW w:w="1" w:type="dxa"/>
            <w:vAlign w:val="bottom"/>
          </w:tcPr>
          <w:p>
            <w:pPr>
              <w:spacing w:after="0"/>
              <w:rPr>
                <w:color w:val="auto"/>
                <w:sz w:val="1"/>
                <w:szCs w:val="1"/>
              </w:rPr>
            </w:pPr>
          </w:p>
        </w:tc>
      </w:tr>
      <w:tr>
        <w:tblPrEx>
          <w:tblInd w:w="0" w:type="dxa"/>
          <w:tblLayout w:type="fixed"/>
        </w:tblPrEx>
        <w:trPr>
          <w:trHeight w:val="153"/>
        </w:trPr>
        <w:tc>
          <w:tcPr>
            <w:tcW w:w="528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Prior service cost (credit)</w:t>
            </w:r>
          </w:p>
        </w:tc>
        <w:tc>
          <w:tcPr>
            <w:tcW w:w="34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w:t>
            </w:r>
          </w:p>
        </w:tc>
        <w:tc>
          <w:tcPr>
            <w:tcW w:w="560" w:type="dxa"/>
            <w:tcBorders>
              <w:bottom w:val="single" w:sz="8" w:space="0" w:color="auto"/>
            </w:tcBorders>
            <w:shd w:val="clear" w:color="auto" w:fill="CCEEFF"/>
            <w:vAlign w:val="bottom"/>
          </w:tcPr>
          <w:p>
            <w:pPr>
              <w:spacing w:after="0"/>
              <w:rPr>
                <w:color w:val="auto"/>
                <w:sz w:val="13"/>
                <w:szCs w:val="13"/>
              </w:rPr>
            </w:pPr>
          </w:p>
        </w:tc>
        <w:tc>
          <w:tcPr>
            <w:tcW w:w="9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w:t>
            </w:r>
          </w:p>
        </w:tc>
        <w:tc>
          <w:tcPr>
            <w:tcW w:w="100" w:type="dxa"/>
            <w:tcBorders>
              <w:bottom w:val="single" w:sz="8" w:space="0" w:color="auto"/>
            </w:tcBorders>
            <w:shd w:val="clear" w:color="auto" w:fill="CCEEFF"/>
            <w:vAlign w:val="bottom"/>
          </w:tcPr>
          <w:p>
            <w:pPr>
              <w:spacing w:after="0"/>
              <w:rPr>
                <w:color w:val="auto"/>
                <w:sz w:val="13"/>
                <w:szCs w:val="13"/>
              </w:rPr>
            </w:pPr>
          </w:p>
        </w:tc>
        <w:tc>
          <w:tcPr>
            <w:tcW w:w="340" w:type="dxa"/>
            <w:tcBorders>
              <w:bottom w:val="single" w:sz="8" w:space="0" w:color="auto"/>
            </w:tcBorders>
            <w:shd w:val="clear" w:color="auto" w:fill="CCEEFF"/>
            <w:vAlign w:val="bottom"/>
          </w:tcPr>
          <w:p>
            <w:pPr>
              <w:spacing w:after="0"/>
              <w:rPr>
                <w:color w:val="auto"/>
                <w:sz w:val="13"/>
                <w:szCs w:val="13"/>
              </w:rPr>
            </w:pPr>
          </w:p>
        </w:tc>
        <w:tc>
          <w:tcPr>
            <w:tcW w:w="114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(261)</w:t>
            </w:r>
          </w:p>
        </w:tc>
        <w:tc>
          <w:tcPr>
            <w:tcW w:w="620" w:type="dxa"/>
            <w:tcBorders>
              <w:bottom w:val="single" w:sz="8" w:space="0" w:color="auto"/>
            </w:tcBorders>
            <w:shd w:val="clear" w:color="auto" w:fill="CCEEFF"/>
            <w:vAlign w:val="bottom"/>
          </w:tcPr>
          <w:p>
            <w:pPr>
              <w:spacing w:after="0"/>
              <w:rPr>
                <w:color w:val="auto"/>
                <w:sz w:val="13"/>
                <w:szCs w:val="13"/>
              </w:rPr>
            </w:pPr>
          </w:p>
        </w:tc>
        <w:tc>
          <w:tcPr>
            <w:tcW w:w="86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(297)</w:t>
            </w:r>
          </w:p>
        </w:tc>
        <w:tc>
          <w:tcPr>
            <w:tcW w:w="1" w:type="dxa"/>
            <w:vAlign w:val="bottom"/>
          </w:tcPr>
          <w:p>
            <w:pPr>
              <w:spacing w:after="0"/>
              <w:rPr>
                <w:color w:val="auto"/>
                <w:sz w:val="1"/>
                <w:szCs w:val="1"/>
              </w:rPr>
            </w:pPr>
          </w:p>
        </w:tc>
      </w:tr>
      <w:tr>
        <w:tblPrEx>
          <w:tblInd w:w="0" w:type="dxa"/>
          <w:tblLayout w:type="fixed"/>
        </w:tblPrEx>
        <w:trPr>
          <w:trHeight w:val="142"/>
        </w:trPr>
        <w:tc>
          <w:tcPr>
            <w:tcW w:w="52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Accumulated other comprehensive loss (income)</w:t>
            </w:r>
          </w:p>
        </w:tc>
        <w:tc>
          <w:tcPr>
            <w:tcW w:w="340" w:type="dxa"/>
            <w:tcBorders>
              <w:bottom w:val="single" w:sz="8" w:space="0" w:color="auto"/>
            </w:tcBorders>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1,304</w:t>
            </w:r>
          </w:p>
        </w:tc>
        <w:tc>
          <w:tcPr>
            <w:tcW w:w="560" w:type="dxa"/>
            <w:tcBorders>
              <w:bottom w:val="single" w:sz="8" w:space="0" w:color="auto"/>
            </w:tcBorders>
            <w:vAlign w:val="bottom"/>
          </w:tcPr>
          <w:p>
            <w:pPr>
              <w:spacing w:after="0" w:line="142" w:lineRule="exact"/>
              <w:ind w:right="380"/>
              <w:jc w:val="right"/>
              <w:rPr>
                <w:color w:val="auto"/>
                <w:sz w:val="20"/>
                <w:szCs w:val="20"/>
              </w:rPr>
            </w:pPr>
            <w:r>
              <w:rPr>
                <w:rFonts w:ascii="Calibri" w:eastAsia="Calibri" w:hAnsi="Calibri" w:cs="Calibri"/>
                <w:color w:val="auto"/>
                <w:sz w:val="12"/>
                <w:szCs w:val="12"/>
              </w:rPr>
              <w:t>$</w:t>
            </w:r>
          </w:p>
        </w:tc>
        <w:tc>
          <w:tcPr>
            <w:tcW w:w="9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2,291</w:t>
            </w:r>
          </w:p>
        </w:tc>
        <w:tc>
          <w:tcPr>
            <w:tcW w:w="100" w:type="dxa"/>
            <w:tcBorders>
              <w:bottom w:val="single" w:sz="8" w:space="0" w:color="auto"/>
            </w:tcBorders>
            <w:vAlign w:val="bottom"/>
          </w:tcPr>
          <w:p>
            <w:pPr>
              <w:spacing w:after="0"/>
              <w:rPr>
                <w:color w:val="auto"/>
                <w:sz w:val="12"/>
                <w:szCs w:val="12"/>
              </w:rPr>
            </w:pPr>
          </w:p>
        </w:tc>
        <w:tc>
          <w:tcPr>
            <w:tcW w:w="340" w:type="dxa"/>
            <w:tcBorders>
              <w:bottom w:val="single" w:sz="8" w:space="0" w:color="auto"/>
            </w:tcBorders>
            <w:vAlign w:val="bottom"/>
          </w:tcPr>
          <w:p>
            <w:pPr>
              <w:spacing w:after="0"/>
              <w:ind w:right="226"/>
              <w:jc w:val="right"/>
              <w:rPr>
                <w:color w:val="auto"/>
                <w:sz w:val="20"/>
                <w:szCs w:val="20"/>
              </w:rPr>
            </w:pPr>
            <w:r>
              <w:rPr>
                <w:rFonts w:ascii="Calibri" w:eastAsia="Calibri" w:hAnsi="Calibri" w:cs="Calibri"/>
                <w:color w:val="auto"/>
                <w:w w:val="70"/>
                <w:sz w:val="11"/>
                <w:szCs w:val="11"/>
              </w:rPr>
              <w:t>$</w:t>
            </w:r>
          </w:p>
        </w:tc>
        <w:tc>
          <w:tcPr>
            <w:tcW w:w="114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(58)</w:t>
            </w:r>
          </w:p>
        </w:tc>
        <w:tc>
          <w:tcPr>
            <w:tcW w:w="620" w:type="dxa"/>
            <w:tcBorders>
              <w:bottom w:val="single" w:sz="8" w:space="0" w:color="auto"/>
            </w:tcBorders>
            <w:vAlign w:val="bottom"/>
          </w:tcPr>
          <w:p>
            <w:pPr>
              <w:spacing w:after="0" w:line="142" w:lineRule="exact"/>
              <w:ind w:right="440"/>
              <w:jc w:val="right"/>
              <w:rPr>
                <w:color w:val="auto"/>
                <w:sz w:val="20"/>
                <w:szCs w:val="20"/>
              </w:rPr>
            </w:pPr>
            <w:r>
              <w:rPr>
                <w:rFonts w:ascii="Calibri" w:eastAsia="Calibri" w:hAnsi="Calibri" w:cs="Calibri"/>
                <w:color w:val="auto"/>
                <w:sz w:val="12"/>
                <w:szCs w:val="12"/>
              </w:rPr>
              <w:t>$</w:t>
            </w:r>
          </w:p>
        </w:tc>
        <w:tc>
          <w:tcPr>
            <w:tcW w:w="8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(15)</w:t>
            </w:r>
          </w:p>
        </w:tc>
        <w:tc>
          <w:tcPr>
            <w:tcW w:w="1" w:type="dxa"/>
            <w:vAlign w:val="bottom"/>
          </w:tcPr>
          <w:p>
            <w:pPr>
              <w:spacing w:after="0"/>
              <w:rPr>
                <w:color w:val="auto"/>
                <w:sz w:val="1"/>
                <w:szCs w:val="1"/>
              </w:rPr>
            </w:pPr>
          </w:p>
        </w:tc>
      </w:tr>
      <w:tr>
        <w:tblPrEx>
          <w:tblInd w:w="0" w:type="dxa"/>
          <w:tblLayout w:type="fixed"/>
        </w:tblPrEx>
        <w:trPr>
          <w:trHeight w:val="20"/>
        </w:trPr>
        <w:tc>
          <w:tcPr>
            <w:tcW w:w="5280" w:type="dxa"/>
            <w:tcBorders>
              <w:bottom w:val="single" w:sz="8" w:space="0" w:color="auto"/>
            </w:tcBorders>
            <w:vAlign w:val="bottom"/>
          </w:tcPr>
          <w:p>
            <w:pPr>
              <w:spacing w:after="0" w:line="20" w:lineRule="exact"/>
              <w:rPr>
                <w:color w:val="auto"/>
                <w:sz w:val="1"/>
                <w:szCs w:val="1"/>
              </w:rPr>
            </w:pPr>
          </w:p>
        </w:tc>
        <w:tc>
          <w:tcPr>
            <w:tcW w:w="34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560" w:type="dxa"/>
            <w:tcBorders>
              <w:bottom w:val="single" w:sz="8" w:space="0" w:color="auto"/>
            </w:tcBorders>
            <w:vAlign w:val="bottom"/>
          </w:tcPr>
          <w:p>
            <w:pPr>
              <w:spacing w:after="0" w:line="20" w:lineRule="exact"/>
              <w:rPr>
                <w:color w:val="auto"/>
                <w:sz w:val="1"/>
                <w:szCs w:val="1"/>
              </w:rPr>
            </w:pPr>
          </w:p>
        </w:tc>
        <w:tc>
          <w:tcPr>
            <w:tcW w:w="920" w:type="dxa"/>
            <w:tcBorders>
              <w:bottom w:val="single" w:sz="8" w:space="0" w:color="auto"/>
            </w:tcBorders>
            <w:vAlign w:val="bottom"/>
          </w:tcPr>
          <w:p>
            <w:pPr>
              <w:spacing w:after="0" w:line="20" w:lineRule="exact"/>
              <w:rPr>
                <w:color w:val="auto"/>
                <w:sz w:val="1"/>
                <w:szCs w:val="1"/>
              </w:rPr>
            </w:pPr>
          </w:p>
        </w:tc>
        <w:tc>
          <w:tcPr>
            <w:tcW w:w="100" w:type="dxa"/>
            <w:tcBorders>
              <w:bottom w:val="single" w:sz="8" w:space="0" w:color="auto"/>
            </w:tcBorders>
            <w:vAlign w:val="bottom"/>
          </w:tcPr>
          <w:p>
            <w:pPr>
              <w:spacing w:after="0" w:line="20" w:lineRule="exact"/>
              <w:rPr>
                <w:color w:val="auto"/>
                <w:sz w:val="1"/>
                <w:szCs w:val="1"/>
              </w:rPr>
            </w:pPr>
          </w:p>
        </w:tc>
        <w:tc>
          <w:tcPr>
            <w:tcW w:w="340" w:type="dxa"/>
            <w:tcBorders>
              <w:bottom w:val="single" w:sz="8" w:space="0" w:color="auto"/>
            </w:tcBorders>
            <w:vAlign w:val="bottom"/>
          </w:tcPr>
          <w:p>
            <w:pPr>
              <w:spacing w:after="0" w:line="20" w:lineRule="exact"/>
              <w:rPr>
                <w:color w:val="auto"/>
                <w:sz w:val="1"/>
                <w:szCs w:val="1"/>
              </w:rPr>
            </w:pPr>
          </w:p>
        </w:tc>
        <w:tc>
          <w:tcPr>
            <w:tcW w:w="1140" w:type="dxa"/>
            <w:tcBorders>
              <w:bottom w:val="single" w:sz="8" w:space="0" w:color="auto"/>
            </w:tcBorders>
            <w:vAlign w:val="bottom"/>
          </w:tcPr>
          <w:p>
            <w:pPr>
              <w:spacing w:after="0" w:line="20" w:lineRule="exact"/>
              <w:rPr>
                <w:color w:val="auto"/>
                <w:sz w:val="1"/>
                <w:szCs w:val="1"/>
              </w:rPr>
            </w:pPr>
          </w:p>
        </w:tc>
        <w:tc>
          <w:tcPr>
            <w:tcW w:w="620" w:type="dxa"/>
            <w:tcBorders>
              <w:bottom w:val="single" w:sz="8" w:space="0" w:color="auto"/>
            </w:tcBorders>
            <w:vAlign w:val="bottom"/>
          </w:tcPr>
          <w:p>
            <w:pPr>
              <w:spacing w:after="0" w:line="20" w:lineRule="exact"/>
              <w:rPr>
                <w:color w:val="auto"/>
                <w:sz w:val="1"/>
                <w:szCs w:val="1"/>
              </w:rPr>
            </w:pPr>
          </w:p>
        </w:tc>
        <w:tc>
          <w:tcPr>
            <w:tcW w:w="860" w:type="dxa"/>
            <w:tcBorders>
              <w:bottom w:val="single" w:sz="8" w:space="0" w:color="auto"/>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bl>
    <w:p>
      <w:pPr>
        <w:spacing w:after="0" w:line="134"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Related to internatonal defned beneft plans the projected beneft obligatons in the table above included $2.2 billion at December 31, 2024 and $2.4 billion at December 31, 2023.</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For plans refected in the table above, the accumulated beneft obligatons were $8.1 billion at December 31, 2024 and $8.6 billion at December 31, 2023.</w:t>
      </w:r>
    </w:p>
    <w:p>
      <w:pPr>
        <w:spacing w:after="0" w:line="101" w:lineRule="exact"/>
        <w:rPr>
          <w:color w:val="auto"/>
          <w:sz w:val="20"/>
          <w:szCs w:val="20"/>
        </w:rPr>
      </w:pPr>
    </w:p>
    <w:p>
      <w:pPr>
        <w:spacing w:after="0" w:line="234" w:lineRule="auto"/>
        <w:ind w:right="160" w:firstLine="297"/>
        <w:rPr>
          <w:color w:val="auto"/>
          <w:sz w:val="20"/>
          <w:szCs w:val="20"/>
        </w:rPr>
      </w:pPr>
      <w:r>
        <w:rPr>
          <w:rFonts w:ascii="Calibri" w:eastAsia="Calibri" w:hAnsi="Calibri" w:cs="Calibri"/>
          <w:color w:val="auto"/>
          <w:sz w:val="12"/>
          <w:szCs w:val="12"/>
        </w:rPr>
        <w:t>The 2024 actuarial gain of $855 million for qualifed pension plans and actuarial gain of $62 million for other post-employment plans were primarily driven by an increase in the discount rate. The 2023 actuarial loss of $491 million for qualifed pension plans and actuarial loss of $89 million for other post-employment plans were primarily driven by a decrease in the discount rate and changes to experience impact and medical trends assumptons.</w:t>
      </w:r>
    </w:p>
    <w:p>
      <w:pPr>
        <w:spacing w:after="0" w:line="20" w:lineRule="exact"/>
        <w:rPr>
          <w:color w:val="auto"/>
          <w:sz w:val="20"/>
          <w:szCs w:val="20"/>
        </w:rPr>
      </w:pPr>
      <w:r>
        <w:rPr>
          <w:color w:val="auto"/>
          <w:sz w:val="20"/>
          <w:szCs w:val="20"/>
        </w:rPr>
        <w:drawing>
          <wp:anchor simplePos="0" relativeHeight="251873280" behindDoc="1" locked="0" layoutInCell="0" allowOverlap="1">
            <wp:simplePos x="0" y="0"/>
            <wp:positionH relativeFrom="column">
              <wp:posOffset>6475730</wp:posOffset>
            </wp:positionH>
            <wp:positionV relativeFrom="paragraph">
              <wp:posOffset>250825</wp:posOffset>
            </wp:positionV>
            <wp:extent cx="400050" cy="7429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84</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74304" behindDoc="1" locked="0" layoutInCell="0" allowOverlap="1">
            <wp:simplePos x="0" y="0"/>
            <wp:positionH relativeFrom="column">
              <wp:posOffset>7154545</wp:posOffset>
            </wp:positionH>
            <wp:positionV relativeFrom="paragraph">
              <wp:posOffset>-23495</wp:posOffset>
            </wp:positionV>
            <wp:extent cx="31115" cy="3683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75328" behindDoc="1" locked="0" layoutInCell="0" allowOverlap="1">
            <wp:simplePos x="0" y="0"/>
            <wp:positionH relativeFrom="column">
              <wp:posOffset>-17145</wp:posOffset>
            </wp:positionH>
            <wp:positionV relativeFrom="paragraph">
              <wp:posOffset>-23495</wp:posOffset>
            </wp:positionV>
            <wp:extent cx="31115" cy="3683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805" w:right="299" w:bottom="1440" w:left="300" w:header="0" w:footer="0" w:gutter="0"/>
          <w:cols w:num="1" w:space="720" w:equalWidth="0">
            <w:col w:w="11300" w:space="0"/>
          </w:cols>
        </w:sectPr>
      </w:pPr>
    </w:p>
    <w:bookmarkStart w:id="86" w:name="page87"/>
    <w:bookmarkEnd w:id="86"/>
    <w:p>
      <w:pPr>
        <w:spacing w:after="0"/>
        <w:rPr>
          <w:color w:val="auto"/>
          <w:sz w:val="20"/>
          <w:szCs w:val="20"/>
        </w:rPr>
      </w:pPr>
      <w:r>
        <w:rPr>
          <w:rFonts w:ascii="Calibri" w:eastAsia="Calibri" w:hAnsi="Calibri" w:cs="Calibri"/>
          <w:i/>
          <w:iCs/>
          <w:color w:val="auto"/>
          <w:sz w:val="12"/>
          <w:szCs w:val="12"/>
        </w:rPr>
        <w:t>Informaton For Pension Plans With An Accumulated Beneft Obligaton In Excess Of Plan Assets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6040"/>
        <w:gridCol w:w="1100"/>
        <w:gridCol w:w="1120"/>
        <w:gridCol w:w="420"/>
        <w:gridCol w:w="1120"/>
        <w:gridCol w:w="400"/>
        <w:gridCol w:w="1080"/>
        <w:gridCol w:w="20"/>
      </w:tblGrid>
      <w:tr>
        <w:tblPrEx>
          <w:tblInd w:w="0" w:type="dxa"/>
          <w:tblLayout w:type="fixed"/>
        </w:tblPrEx>
        <w:trPr>
          <w:trHeight w:val="122"/>
        </w:trPr>
        <w:tc>
          <w:tcPr>
            <w:tcW w:w="604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110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420" w:type="dxa"/>
            <w:vAlign w:val="bottom"/>
          </w:tcPr>
          <w:p>
            <w:pPr>
              <w:spacing w:after="0"/>
              <w:rPr>
                <w:color w:val="auto"/>
                <w:sz w:val="10"/>
                <w:szCs w:val="10"/>
              </w:rPr>
            </w:pPr>
          </w:p>
        </w:tc>
        <w:tc>
          <w:tcPr>
            <w:tcW w:w="1120" w:type="dxa"/>
            <w:vAlign w:val="bottom"/>
          </w:tcPr>
          <w:p>
            <w:pPr>
              <w:spacing w:after="0"/>
              <w:ind w:right="582"/>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080" w:type="dxa"/>
            <w:vAlign w:val="bottom"/>
          </w:tcPr>
          <w:p>
            <w:pPr>
              <w:spacing w:after="0"/>
              <w:ind w:right="542"/>
              <w:jc w:val="right"/>
              <w:rPr>
                <w:color w:val="auto"/>
                <w:sz w:val="20"/>
                <w:szCs w:val="20"/>
              </w:rPr>
            </w:pPr>
            <w:r>
              <w:rPr>
                <w:rFonts w:ascii="Calibri" w:eastAsia="Calibri" w:hAnsi="Calibri" w:cs="Calibri"/>
                <w:b/>
                <w:bCs/>
                <w:color w:val="auto"/>
                <w:sz w:val="10"/>
                <w:szCs w:val="10"/>
              </w:rPr>
              <w:t>2023</w:t>
            </w:r>
          </w:p>
        </w:tc>
        <w:tc>
          <w:tcPr>
            <w:tcW w:w="20" w:type="dxa"/>
            <w:vAlign w:val="bottom"/>
          </w:tcPr>
          <w:p>
            <w:pPr>
              <w:spacing w:after="0"/>
              <w:rPr>
                <w:color w:val="auto"/>
                <w:sz w:val="10"/>
                <w:szCs w:val="10"/>
              </w:rPr>
            </w:pPr>
          </w:p>
        </w:tc>
      </w:tr>
      <w:tr>
        <w:tblPrEx>
          <w:tblInd w:w="0" w:type="dxa"/>
          <w:tblLayout w:type="fixed"/>
        </w:tblPrEx>
        <w:trPr>
          <w:trHeight w:val="32"/>
        </w:trPr>
        <w:tc>
          <w:tcPr>
            <w:tcW w:w="604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c>
          <w:tcPr>
            <w:tcW w:w="2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60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Accumulated beneft obligaton</w:t>
            </w:r>
          </w:p>
        </w:tc>
        <w:tc>
          <w:tcPr>
            <w:tcW w:w="110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2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527</w:t>
            </w:r>
          </w:p>
        </w:tc>
        <w:tc>
          <w:tcPr>
            <w:tcW w:w="40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1,410</w:t>
            </w:r>
          </w:p>
        </w:tc>
        <w:tc>
          <w:tcPr>
            <w:tcW w:w="20" w:type="dxa"/>
            <w:shd w:val="clear" w:color="auto" w:fill="CCEEFF"/>
            <w:vAlign w:val="bottom"/>
          </w:tcPr>
          <w:p>
            <w:pPr>
              <w:spacing w:after="0"/>
              <w:rPr>
                <w:color w:val="auto"/>
                <w:sz w:val="12"/>
                <w:szCs w:val="12"/>
              </w:rPr>
            </w:pPr>
          </w:p>
        </w:tc>
      </w:tr>
      <w:tr>
        <w:tblPrEx>
          <w:tblInd w:w="0" w:type="dxa"/>
          <w:tblLayout w:type="fixed"/>
        </w:tblPrEx>
        <w:trPr>
          <w:trHeight w:val="147"/>
        </w:trPr>
        <w:tc>
          <w:tcPr>
            <w:tcW w:w="6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Fair value of plan assets</w:t>
            </w:r>
          </w:p>
        </w:tc>
        <w:tc>
          <w:tcPr>
            <w:tcW w:w="11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rPr>
                <w:color w:val="auto"/>
                <w:sz w:val="12"/>
                <w:szCs w:val="12"/>
              </w:rPr>
            </w:pPr>
          </w:p>
        </w:tc>
        <w:tc>
          <w:tcPr>
            <w:tcW w:w="42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94</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890</w:t>
            </w:r>
          </w:p>
        </w:tc>
        <w:tc>
          <w:tcPr>
            <w:tcW w:w="20" w:type="dxa"/>
            <w:tcBorders>
              <w:bottom w:val="single" w:sz="8" w:space="0" w:color="auto"/>
            </w:tcBorders>
            <w:vAlign w:val="bottom"/>
          </w:tcPr>
          <w:p>
            <w:pPr>
              <w:spacing w:after="0"/>
              <w:rPr>
                <w:color w:val="auto"/>
                <w:sz w:val="12"/>
                <w:szCs w:val="12"/>
              </w:rPr>
            </w:pPr>
          </w:p>
        </w:tc>
      </w:tr>
      <w:tr>
        <w:tblPrEx>
          <w:tblInd w:w="0" w:type="dxa"/>
          <w:tblLayout w:type="fixed"/>
        </w:tblPrEx>
        <w:trPr>
          <w:trHeight w:val="275"/>
        </w:trPr>
        <w:tc>
          <w:tcPr>
            <w:tcW w:w="6040" w:type="dxa"/>
            <w:vAlign w:val="bottom"/>
          </w:tcPr>
          <w:p>
            <w:pPr>
              <w:spacing w:after="0"/>
              <w:rPr>
                <w:color w:val="auto"/>
                <w:sz w:val="20"/>
                <w:szCs w:val="20"/>
              </w:rPr>
            </w:pPr>
            <w:r>
              <w:rPr>
                <w:rFonts w:ascii="Calibri" w:eastAsia="Calibri" w:hAnsi="Calibri" w:cs="Calibri"/>
                <w:i/>
                <w:iCs/>
                <w:color w:val="auto"/>
                <w:sz w:val="12"/>
                <w:szCs w:val="12"/>
              </w:rPr>
              <w:t>Informaton For Pension Plans With A Projected Beneft Obligaton In Excess Of Plan Assets</w:t>
            </w:r>
          </w:p>
        </w:tc>
        <w:tc>
          <w:tcPr>
            <w:tcW w:w="1100" w:type="dxa"/>
            <w:vAlign w:val="bottom"/>
          </w:tcPr>
          <w:p>
            <w:pPr>
              <w:spacing w:after="0"/>
              <w:rPr>
                <w:color w:val="auto"/>
                <w:sz w:val="23"/>
                <w:szCs w:val="23"/>
              </w:rPr>
            </w:pPr>
          </w:p>
        </w:tc>
        <w:tc>
          <w:tcPr>
            <w:tcW w:w="1120" w:type="dxa"/>
            <w:vAlign w:val="bottom"/>
          </w:tcPr>
          <w:p>
            <w:pPr>
              <w:spacing w:after="0"/>
              <w:rPr>
                <w:color w:val="auto"/>
                <w:sz w:val="23"/>
                <w:szCs w:val="23"/>
              </w:rPr>
            </w:pPr>
          </w:p>
        </w:tc>
        <w:tc>
          <w:tcPr>
            <w:tcW w:w="420" w:type="dxa"/>
            <w:vAlign w:val="bottom"/>
          </w:tcPr>
          <w:p>
            <w:pPr>
              <w:spacing w:after="0"/>
              <w:rPr>
                <w:color w:val="auto"/>
                <w:sz w:val="23"/>
                <w:szCs w:val="23"/>
              </w:rPr>
            </w:pPr>
          </w:p>
        </w:tc>
        <w:tc>
          <w:tcPr>
            <w:tcW w:w="1120" w:type="dxa"/>
            <w:vAlign w:val="bottom"/>
          </w:tcPr>
          <w:p>
            <w:pPr>
              <w:spacing w:after="0"/>
              <w:rPr>
                <w:color w:val="auto"/>
                <w:sz w:val="23"/>
                <w:szCs w:val="23"/>
              </w:rPr>
            </w:pPr>
          </w:p>
        </w:tc>
        <w:tc>
          <w:tcPr>
            <w:tcW w:w="400" w:type="dxa"/>
            <w:vAlign w:val="bottom"/>
          </w:tcPr>
          <w:p>
            <w:pPr>
              <w:spacing w:after="0"/>
              <w:rPr>
                <w:color w:val="auto"/>
                <w:sz w:val="23"/>
                <w:szCs w:val="23"/>
              </w:rPr>
            </w:pPr>
          </w:p>
        </w:tc>
        <w:tc>
          <w:tcPr>
            <w:tcW w:w="1080" w:type="dxa"/>
            <w:vAlign w:val="bottom"/>
          </w:tcPr>
          <w:p>
            <w:pPr>
              <w:spacing w:after="0"/>
              <w:rPr>
                <w:color w:val="auto"/>
                <w:sz w:val="23"/>
                <w:szCs w:val="23"/>
              </w:rPr>
            </w:pPr>
          </w:p>
        </w:tc>
        <w:tc>
          <w:tcPr>
            <w:tcW w:w="20" w:type="dxa"/>
            <w:vAlign w:val="bottom"/>
          </w:tcPr>
          <w:p>
            <w:pPr>
              <w:spacing w:after="0"/>
              <w:rPr>
                <w:color w:val="auto"/>
                <w:sz w:val="23"/>
                <w:szCs w:val="23"/>
              </w:rPr>
            </w:pPr>
          </w:p>
        </w:tc>
      </w:tr>
      <w:tr>
        <w:tblPrEx>
          <w:tblInd w:w="0" w:type="dxa"/>
          <w:tblLayout w:type="fixed"/>
        </w:tblPrEx>
        <w:trPr>
          <w:trHeight w:val="138"/>
        </w:trPr>
        <w:tc>
          <w:tcPr>
            <w:tcW w:w="604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110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20" w:type="dxa"/>
            <w:vAlign w:val="bottom"/>
          </w:tcPr>
          <w:p>
            <w:pPr>
              <w:spacing w:after="0"/>
              <w:rPr>
                <w:color w:val="auto"/>
                <w:sz w:val="12"/>
                <w:szCs w:val="12"/>
              </w:rPr>
            </w:pPr>
          </w:p>
        </w:tc>
        <w:tc>
          <w:tcPr>
            <w:tcW w:w="1120" w:type="dxa"/>
            <w:vAlign w:val="bottom"/>
          </w:tcPr>
          <w:p>
            <w:pPr>
              <w:spacing w:after="0"/>
              <w:ind w:right="582"/>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2"/>
                <w:szCs w:val="12"/>
              </w:rPr>
            </w:pPr>
          </w:p>
        </w:tc>
        <w:tc>
          <w:tcPr>
            <w:tcW w:w="1080" w:type="dxa"/>
            <w:vAlign w:val="bottom"/>
          </w:tcPr>
          <w:p>
            <w:pPr>
              <w:spacing w:after="0"/>
              <w:ind w:right="542"/>
              <w:jc w:val="right"/>
              <w:rPr>
                <w:color w:val="auto"/>
                <w:sz w:val="20"/>
                <w:szCs w:val="20"/>
              </w:rPr>
            </w:pPr>
            <w:r>
              <w:rPr>
                <w:rFonts w:ascii="Calibri" w:eastAsia="Calibri" w:hAnsi="Calibri" w:cs="Calibri"/>
                <w:b/>
                <w:bCs/>
                <w:color w:val="auto"/>
                <w:sz w:val="10"/>
                <w:szCs w:val="10"/>
              </w:rPr>
              <w:t>2023</w:t>
            </w:r>
          </w:p>
        </w:tc>
        <w:tc>
          <w:tcPr>
            <w:tcW w:w="20" w:type="dxa"/>
            <w:vAlign w:val="bottom"/>
          </w:tcPr>
          <w:p>
            <w:pPr>
              <w:spacing w:after="0"/>
              <w:rPr>
                <w:color w:val="auto"/>
                <w:sz w:val="12"/>
                <w:szCs w:val="12"/>
              </w:rPr>
            </w:pPr>
          </w:p>
        </w:tc>
      </w:tr>
      <w:tr>
        <w:tblPrEx>
          <w:tblInd w:w="0" w:type="dxa"/>
          <w:tblLayout w:type="fixed"/>
        </w:tblPrEx>
        <w:trPr>
          <w:trHeight w:val="32"/>
        </w:trPr>
        <w:tc>
          <w:tcPr>
            <w:tcW w:w="604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c>
          <w:tcPr>
            <w:tcW w:w="2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60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Projected beneft obligaton</w:t>
            </w:r>
          </w:p>
        </w:tc>
        <w:tc>
          <w:tcPr>
            <w:tcW w:w="110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2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775</w:t>
            </w:r>
          </w:p>
        </w:tc>
        <w:tc>
          <w:tcPr>
            <w:tcW w:w="40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6,343</w:t>
            </w:r>
          </w:p>
        </w:tc>
        <w:tc>
          <w:tcPr>
            <w:tcW w:w="20" w:type="dxa"/>
            <w:shd w:val="clear" w:color="auto" w:fill="CCEEFF"/>
            <w:vAlign w:val="bottom"/>
          </w:tcPr>
          <w:p>
            <w:pPr>
              <w:spacing w:after="0"/>
              <w:rPr>
                <w:color w:val="auto"/>
                <w:sz w:val="12"/>
                <w:szCs w:val="12"/>
              </w:rPr>
            </w:pPr>
          </w:p>
        </w:tc>
      </w:tr>
      <w:tr>
        <w:tblPrEx>
          <w:tblInd w:w="0" w:type="dxa"/>
          <w:tblLayout w:type="fixed"/>
        </w:tblPrEx>
        <w:trPr>
          <w:trHeight w:val="147"/>
        </w:trPr>
        <w:tc>
          <w:tcPr>
            <w:tcW w:w="6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Fair value of plan assets</w:t>
            </w:r>
          </w:p>
        </w:tc>
        <w:tc>
          <w:tcPr>
            <w:tcW w:w="11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rPr>
                <w:color w:val="auto"/>
                <w:sz w:val="12"/>
                <w:szCs w:val="12"/>
              </w:rPr>
            </w:pPr>
          </w:p>
        </w:tc>
        <w:tc>
          <w:tcPr>
            <w:tcW w:w="42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265</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5,552</w:t>
            </w:r>
          </w:p>
        </w:tc>
        <w:tc>
          <w:tcPr>
            <w:tcW w:w="20" w:type="dxa"/>
            <w:tcBorders>
              <w:bottom w:val="single" w:sz="8" w:space="0" w:color="auto"/>
            </w:tcBorders>
            <w:vAlign w:val="bottom"/>
          </w:tcPr>
          <w:p>
            <w:pPr>
              <w:spacing w:after="0"/>
              <w:rPr>
                <w:color w:val="auto"/>
                <w:sz w:val="12"/>
                <w:szCs w:val="12"/>
              </w:rPr>
            </w:pPr>
          </w:p>
        </w:tc>
      </w:tr>
      <w:tr>
        <w:tblPrEx>
          <w:tblInd w:w="0" w:type="dxa"/>
          <w:tblLayout w:type="fixed"/>
        </w:tblPrEx>
        <w:trPr>
          <w:trHeight w:val="275"/>
        </w:trPr>
        <w:tc>
          <w:tcPr>
            <w:tcW w:w="6040" w:type="dxa"/>
            <w:vAlign w:val="bottom"/>
          </w:tcPr>
          <w:p>
            <w:pPr>
              <w:spacing w:after="0"/>
              <w:rPr>
                <w:color w:val="auto"/>
                <w:sz w:val="20"/>
                <w:szCs w:val="20"/>
              </w:rPr>
            </w:pPr>
            <w:r>
              <w:rPr>
                <w:rFonts w:ascii="Calibri" w:eastAsia="Calibri" w:hAnsi="Calibri" w:cs="Calibri"/>
                <w:i/>
                <w:iCs/>
                <w:color w:val="auto"/>
                <w:sz w:val="12"/>
                <w:szCs w:val="12"/>
              </w:rPr>
              <w:t>Amounts Recognized in Other Comprehensive Income (Loss)</w:t>
            </w:r>
          </w:p>
        </w:tc>
        <w:tc>
          <w:tcPr>
            <w:tcW w:w="1100" w:type="dxa"/>
            <w:vAlign w:val="bottom"/>
          </w:tcPr>
          <w:p>
            <w:pPr>
              <w:spacing w:after="0"/>
              <w:rPr>
                <w:color w:val="auto"/>
                <w:sz w:val="23"/>
                <w:szCs w:val="23"/>
              </w:rPr>
            </w:pPr>
          </w:p>
        </w:tc>
        <w:tc>
          <w:tcPr>
            <w:tcW w:w="1120" w:type="dxa"/>
            <w:vAlign w:val="bottom"/>
          </w:tcPr>
          <w:p>
            <w:pPr>
              <w:spacing w:after="0"/>
              <w:rPr>
                <w:color w:val="auto"/>
                <w:sz w:val="23"/>
                <w:szCs w:val="23"/>
              </w:rPr>
            </w:pPr>
          </w:p>
        </w:tc>
        <w:tc>
          <w:tcPr>
            <w:tcW w:w="420" w:type="dxa"/>
            <w:vAlign w:val="bottom"/>
          </w:tcPr>
          <w:p>
            <w:pPr>
              <w:spacing w:after="0"/>
              <w:rPr>
                <w:color w:val="auto"/>
                <w:sz w:val="23"/>
                <w:szCs w:val="23"/>
              </w:rPr>
            </w:pPr>
          </w:p>
        </w:tc>
        <w:tc>
          <w:tcPr>
            <w:tcW w:w="1120" w:type="dxa"/>
            <w:vAlign w:val="bottom"/>
          </w:tcPr>
          <w:p>
            <w:pPr>
              <w:spacing w:after="0"/>
              <w:rPr>
                <w:color w:val="auto"/>
                <w:sz w:val="23"/>
                <w:szCs w:val="23"/>
              </w:rPr>
            </w:pPr>
          </w:p>
        </w:tc>
        <w:tc>
          <w:tcPr>
            <w:tcW w:w="400" w:type="dxa"/>
            <w:vAlign w:val="bottom"/>
          </w:tcPr>
          <w:p>
            <w:pPr>
              <w:spacing w:after="0"/>
              <w:rPr>
                <w:color w:val="auto"/>
                <w:sz w:val="23"/>
                <w:szCs w:val="23"/>
              </w:rPr>
            </w:pPr>
          </w:p>
        </w:tc>
        <w:tc>
          <w:tcPr>
            <w:tcW w:w="1080" w:type="dxa"/>
            <w:vAlign w:val="bottom"/>
          </w:tcPr>
          <w:p>
            <w:pPr>
              <w:spacing w:after="0"/>
              <w:rPr>
                <w:color w:val="auto"/>
                <w:sz w:val="23"/>
                <w:szCs w:val="23"/>
              </w:rPr>
            </w:pPr>
          </w:p>
        </w:tc>
        <w:tc>
          <w:tcPr>
            <w:tcW w:w="20" w:type="dxa"/>
            <w:vAlign w:val="bottom"/>
          </w:tcPr>
          <w:p>
            <w:pPr>
              <w:spacing w:after="0"/>
              <w:rPr>
                <w:color w:val="auto"/>
                <w:sz w:val="23"/>
                <w:szCs w:val="23"/>
              </w:rPr>
            </w:pPr>
          </w:p>
        </w:tc>
      </w:tr>
      <w:tr>
        <w:tblPrEx>
          <w:tblInd w:w="0" w:type="dxa"/>
          <w:tblLayout w:type="fixed"/>
        </w:tblPrEx>
        <w:trPr>
          <w:trHeight w:val="243"/>
        </w:trPr>
        <w:tc>
          <w:tcPr>
            <w:tcW w:w="6040" w:type="dxa"/>
            <w:vAlign w:val="bottom"/>
          </w:tcPr>
          <w:p>
            <w:pPr>
              <w:spacing w:after="0"/>
              <w:ind w:left="280"/>
              <w:rPr>
                <w:color w:val="auto"/>
                <w:sz w:val="20"/>
                <w:szCs w:val="20"/>
              </w:rPr>
            </w:pPr>
            <w:r>
              <w:rPr>
                <w:rFonts w:ascii="Calibri" w:eastAsia="Calibri" w:hAnsi="Calibri" w:cs="Calibri"/>
                <w:color w:val="auto"/>
                <w:sz w:val="12"/>
                <w:szCs w:val="12"/>
              </w:rPr>
              <w:t>The following table summarizes the pre-tax losses (gains) included in other comprehensive income (loss):</w:t>
            </w:r>
          </w:p>
        </w:tc>
        <w:tc>
          <w:tcPr>
            <w:tcW w:w="1100" w:type="dxa"/>
            <w:vAlign w:val="bottom"/>
          </w:tcPr>
          <w:p>
            <w:pPr>
              <w:spacing w:after="0"/>
              <w:rPr>
                <w:color w:val="auto"/>
                <w:sz w:val="21"/>
                <w:szCs w:val="21"/>
              </w:rPr>
            </w:pPr>
          </w:p>
        </w:tc>
        <w:tc>
          <w:tcPr>
            <w:tcW w:w="1120" w:type="dxa"/>
            <w:vAlign w:val="bottom"/>
          </w:tcPr>
          <w:p>
            <w:pPr>
              <w:spacing w:after="0"/>
              <w:rPr>
                <w:color w:val="auto"/>
                <w:sz w:val="21"/>
                <w:szCs w:val="21"/>
              </w:rPr>
            </w:pPr>
          </w:p>
        </w:tc>
        <w:tc>
          <w:tcPr>
            <w:tcW w:w="420" w:type="dxa"/>
            <w:vAlign w:val="bottom"/>
          </w:tcPr>
          <w:p>
            <w:pPr>
              <w:spacing w:after="0"/>
              <w:rPr>
                <w:color w:val="auto"/>
                <w:sz w:val="21"/>
                <w:szCs w:val="21"/>
              </w:rPr>
            </w:pPr>
          </w:p>
        </w:tc>
        <w:tc>
          <w:tcPr>
            <w:tcW w:w="1120" w:type="dxa"/>
            <w:vAlign w:val="bottom"/>
          </w:tcPr>
          <w:p>
            <w:pPr>
              <w:spacing w:after="0"/>
              <w:rPr>
                <w:color w:val="auto"/>
                <w:sz w:val="21"/>
                <w:szCs w:val="21"/>
              </w:rPr>
            </w:pPr>
          </w:p>
        </w:tc>
        <w:tc>
          <w:tcPr>
            <w:tcW w:w="400" w:type="dxa"/>
            <w:vAlign w:val="bottom"/>
          </w:tcPr>
          <w:p>
            <w:pPr>
              <w:spacing w:after="0"/>
              <w:rPr>
                <w:color w:val="auto"/>
                <w:sz w:val="21"/>
                <w:szCs w:val="21"/>
              </w:rPr>
            </w:pPr>
          </w:p>
        </w:tc>
        <w:tc>
          <w:tcPr>
            <w:tcW w:w="1080" w:type="dxa"/>
            <w:vAlign w:val="bottom"/>
          </w:tcPr>
          <w:p>
            <w:pPr>
              <w:spacing w:after="0"/>
              <w:rPr>
                <w:color w:val="auto"/>
                <w:sz w:val="21"/>
                <w:szCs w:val="21"/>
              </w:rPr>
            </w:pPr>
          </w:p>
        </w:tc>
        <w:tc>
          <w:tcPr>
            <w:tcW w:w="20" w:type="dxa"/>
            <w:vAlign w:val="bottom"/>
          </w:tcPr>
          <w:p>
            <w:pPr>
              <w:spacing w:after="0"/>
              <w:rPr>
                <w:color w:val="auto"/>
                <w:sz w:val="21"/>
                <w:szCs w:val="21"/>
              </w:rPr>
            </w:pPr>
          </w:p>
        </w:tc>
      </w:tr>
      <w:tr>
        <w:tblPrEx>
          <w:tblInd w:w="0" w:type="dxa"/>
          <w:tblLayout w:type="fixed"/>
        </w:tblPrEx>
        <w:trPr>
          <w:trHeight w:val="138"/>
        </w:trPr>
        <w:tc>
          <w:tcPr>
            <w:tcW w:w="604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1100" w:type="dxa"/>
            <w:vAlign w:val="bottom"/>
          </w:tcPr>
          <w:p>
            <w:pPr>
              <w:spacing w:after="0"/>
              <w:rPr>
                <w:color w:val="auto"/>
                <w:sz w:val="12"/>
                <w:szCs w:val="12"/>
              </w:rPr>
            </w:pPr>
          </w:p>
        </w:tc>
        <w:tc>
          <w:tcPr>
            <w:tcW w:w="1120" w:type="dxa"/>
            <w:vAlign w:val="bottom"/>
          </w:tcPr>
          <w:p>
            <w:pPr>
              <w:spacing w:after="0"/>
              <w:ind w:right="601"/>
              <w:jc w:val="right"/>
              <w:rPr>
                <w:color w:val="auto"/>
                <w:sz w:val="20"/>
                <w:szCs w:val="20"/>
              </w:rPr>
            </w:pPr>
            <w:r>
              <w:rPr>
                <w:rFonts w:ascii="Calibri" w:eastAsia="Calibri" w:hAnsi="Calibri" w:cs="Calibri"/>
                <w:b/>
                <w:bCs/>
                <w:color w:val="auto"/>
                <w:sz w:val="10"/>
                <w:szCs w:val="10"/>
              </w:rPr>
              <w:t>2024</w:t>
            </w:r>
          </w:p>
        </w:tc>
        <w:tc>
          <w:tcPr>
            <w:tcW w:w="420" w:type="dxa"/>
            <w:vAlign w:val="bottom"/>
          </w:tcPr>
          <w:p>
            <w:pPr>
              <w:spacing w:after="0"/>
              <w:rPr>
                <w:color w:val="auto"/>
                <w:sz w:val="12"/>
                <w:szCs w:val="12"/>
              </w:rPr>
            </w:pPr>
          </w:p>
        </w:tc>
        <w:tc>
          <w:tcPr>
            <w:tcW w:w="1120" w:type="dxa"/>
            <w:vAlign w:val="bottom"/>
          </w:tcPr>
          <w:p>
            <w:pPr>
              <w:spacing w:after="0"/>
              <w:ind w:right="622"/>
              <w:jc w:val="right"/>
              <w:rPr>
                <w:color w:val="auto"/>
                <w:sz w:val="20"/>
                <w:szCs w:val="20"/>
              </w:rPr>
            </w:pPr>
            <w:r>
              <w:rPr>
                <w:rFonts w:ascii="Calibri" w:eastAsia="Calibri" w:hAnsi="Calibri" w:cs="Calibri"/>
                <w:b/>
                <w:bCs/>
                <w:color w:val="auto"/>
                <w:sz w:val="10"/>
                <w:szCs w:val="10"/>
              </w:rPr>
              <w:t>2023</w:t>
            </w:r>
          </w:p>
        </w:tc>
        <w:tc>
          <w:tcPr>
            <w:tcW w:w="400" w:type="dxa"/>
            <w:vAlign w:val="bottom"/>
          </w:tcPr>
          <w:p>
            <w:pPr>
              <w:spacing w:after="0"/>
              <w:rPr>
                <w:color w:val="auto"/>
                <w:sz w:val="12"/>
                <w:szCs w:val="12"/>
              </w:rPr>
            </w:pPr>
          </w:p>
        </w:tc>
        <w:tc>
          <w:tcPr>
            <w:tcW w:w="1080" w:type="dxa"/>
            <w:vAlign w:val="bottom"/>
          </w:tcPr>
          <w:p>
            <w:pPr>
              <w:spacing w:after="0"/>
              <w:ind w:right="562"/>
              <w:jc w:val="right"/>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12"/>
                <w:szCs w:val="12"/>
              </w:rPr>
            </w:pPr>
          </w:p>
        </w:tc>
      </w:tr>
      <w:tr>
        <w:tblPrEx>
          <w:tblInd w:w="0" w:type="dxa"/>
          <w:tblLayout w:type="fixed"/>
        </w:tblPrEx>
        <w:trPr>
          <w:trHeight w:val="32"/>
        </w:trPr>
        <w:tc>
          <w:tcPr>
            <w:tcW w:w="604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r>
      <w:tr>
        <w:tblPrEx>
          <w:tblInd w:w="0" w:type="dxa"/>
          <w:tblLayout w:type="fixed"/>
        </w:tblPrEx>
        <w:trPr>
          <w:trHeight w:val="136"/>
        </w:trPr>
        <w:tc>
          <w:tcPr>
            <w:tcW w:w="6040" w:type="dxa"/>
            <w:vAlign w:val="bottom"/>
          </w:tcPr>
          <w:p>
            <w:pPr>
              <w:spacing w:after="0" w:line="137" w:lineRule="exact"/>
              <w:rPr>
                <w:color w:val="auto"/>
                <w:sz w:val="20"/>
                <w:szCs w:val="20"/>
              </w:rPr>
            </w:pPr>
            <w:r>
              <w:rPr>
                <w:rFonts w:ascii="Calibri" w:eastAsia="Calibri" w:hAnsi="Calibri" w:cs="Calibri"/>
                <w:b/>
                <w:bCs/>
                <w:color w:val="auto"/>
                <w:sz w:val="12"/>
                <w:szCs w:val="12"/>
              </w:rPr>
              <w:t>Defned beneft plans</w:t>
            </w:r>
          </w:p>
        </w:tc>
        <w:tc>
          <w:tcPr>
            <w:tcW w:w="110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2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080" w:type="dxa"/>
            <w:vAlign w:val="bottom"/>
          </w:tcPr>
          <w:p>
            <w:pPr>
              <w:spacing w:after="0"/>
              <w:rPr>
                <w:color w:val="auto"/>
                <w:sz w:val="11"/>
                <w:szCs w:val="11"/>
              </w:rPr>
            </w:pPr>
          </w:p>
        </w:tc>
        <w:tc>
          <w:tcPr>
            <w:tcW w:w="20" w:type="dxa"/>
            <w:vAlign w:val="bottom"/>
          </w:tcPr>
          <w:p>
            <w:pPr>
              <w:spacing w:after="0"/>
              <w:rPr>
                <w:color w:val="auto"/>
                <w:sz w:val="11"/>
                <w:szCs w:val="11"/>
              </w:rPr>
            </w:pPr>
          </w:p>
        </w:tc>
      </w:tr>
      <w:tr>
        <w:tblPrEx>
          <w:tblInd w:w="0" w:type="dxa"/>
          <w:tblLayout w:type="fixed"/>
        </w:tblPrEx>
        <w:trPr>
          <w:trHeight w:val="159"/>
        </w:trPr>
        <w:tc>
          <w:tcPr>
            <w:tcW w:w="6040" w:type="dxa"/>
            <w:shd w:val="clear" w:color="auto" w:fill="CCEEFF"/>
            <w:vAlign w:val="bottom"/>
          </w:tcPr>
          <w:p>
            <w:pPr>
              <w:spacing w:after="0"/>
              <w:rPr>
                <w:color w:val="auto"/>
                <w:sz w:val="20"/>
                <w:szCs w:val="20"/>
              </w:rPr>
            </w:pPr>
            <w:r>
              <w:rPr>
                <w:rFonts w:ascii="Calibri" w:eastAsia="Calibri" w:hAnsi="Calibri" w:cs="Calibri"/>
                <w:color w:val="auto"/>
                <w:sz w:val="12"/>
                <w:szCs w:val="12"/>
              </w:rPr>
              <w:t>Actuarial gain</w:t>
            </w:r>
          </w:p>
        </w:tc>
        <w:tc>
          <w:tcPr>
            <w:tcW w:w="11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(935)</w:t>
            </w:r>
          </w:p>
        </w:tc>
        <w:tc>
          <w:tcPr>
            <w:tcW w:w="42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(16)</w:t>
            </w:r>
          </w:p>
        </w:tc>
        <w:tc>
          <w:tcPr>
            <w:tcW w:w="4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(925)</w:t>
            </w:r>
          </w:p>
        </w:tc>
        <w:tc>
          <w:tcPr>
            <w:tcW w:w="20" w:type="dxa"/>
            <w:vAlign w:val="bottom"/>
          </w:tcPr>
          <w:p>
            <w:pPr>
              <w:spacing w:after="0"/>
              <w:rPr>
                <w:color w:val="auto"/>
                <w:sz w:val="13"/>
                <w:szCs w:val="13"/>
              </w:rPr>
            </w:pPr>
          </w:p>
        </w:tc>
      </w:tr>
      <w:tr>
        <w:tblPrEx>
          <w:tblInd w:w="0" w:type="dxa"/>
          <w:tblLayout w:type="fixed"/>
        </w:tblPrEx>
        <w:trPr>
          <w:trHeight w:val="147"/>
        </w:trPr>
        <w:tc>
          <w:tcPr>
            <w:tcW w:w="6040" w:type="dxa"/>
            <w:vAlign w:val="bottom"/>
          </w:tcPr>
          <w:p>
            <w:pPr>
              <w:spacing w:after="0" w:line="142" w:lineRule="exact"/>
              <w:rPr>
                <w:color w:val="auto"/>
                <w:sz w:val="20"/>
                <w:szCs w:val="20"/>
              </w:rPr>
            </w:pPr>
            <w:r>
              <w:rPr>
                <w:rFonts w:ascii="Calibri" w:eastAsia="Calibri" w:hAnsi="Calibri" w:cs="Calibri"/>
                <w:color w:val="auto"/>
                <w:sz w:val="12"/>
                <w:szCs w:val="12"/>
              </w:rPr>
              <w:t>Amortzaton of prior service cost</w:t>
            </w:r>
          </w:p>
        </w:tc>
        <w:tc>
          <w:tcPr>
            <w:tcW w:w="11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w:t>
            </w:r>
          </w:p>
        </w:tc>
        <w:tc>
          <w:tcPr>
            <w:tcW w:w="420" w:type="dxa"/>
            <w:vAlign w:val="bottom"/>
          </w:tcPr>
          <w:p>
            <w:pPr>
              <w:spacing w:after="0"/>
              <w:rPr>
                <w:color w:val="auto"/>
                <w:sz w:val="12"/>
                <w:szCs w:val="12"/>
              </w:rPr>
            </w:pPr>
          </w:p>
        </w:tc>
        <w:tc>
          <w:tcPr>
            <w:tcW w:w="112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(2)</w:t>
            </w:r>
          </w:p>
        </w:tc>
        <w:tc>
          <w:tcPr>
            <w:tcW w:w="20" w:type="dxa"/>
            <w:vAlign w:val="bottom"/>
          </w:tcPr>
          <w:p>
            <w:pPr>
              <w:spacing w:after="0"/>
              <w:rPr>
                <w:color w:val="auto"/>
                <w:sz w:val="12"/>
                <w:szCs w:val="12"/>
              </w:rPr>
            </w:pPr>
          </w:p>
        </w:tc>
      </w:tr>
      <w:tr>
        <w:tblPrEx>
          <w:tblInd w:w="0" w:type="dxa"/>
          <w:tblLayout w:type="fixed"/>
        </w:tblPrEx>
        <w:trPr>
          <w:trHeight w:val="159"/>
        </w:trPr>
        <w:tc>
          <w:tcPr>
            <w:tcW w:w="6040" w:type="dxa"/>
            <w:shd w:val="clear" w:color="auto" w:fill="CCEEFF"/>
            <w:vAlign w:val="bottom"/>
          </w:tcPr>
          <w:p>
            <w:pPr>
              <w:spacing w:after="0"/>
              <w:rPr>
                <w:color w:val="auto"/>
                <w:sz w:val="20"/>
                <w:szCs w:val="20"/>
              </w:rPr>
            </w:pPr>
            <w:r>
              <w:rPr>
                <w:rFonts w:ascii="Calibri" w:eastAsia="Calibri" w:hAnsi="Calibri" w:cs="Calibri"/>
                <w:color w:val="auto"/>
                <w:sz w:val="12"/>
                <w:szCs w:val="12"/>
              </w:rPr>
              <w:t>Amortzaton of actuarial loss</w:t>
            </w:r>
          </w:p>
        </w:tc>
        <w:tc>
          <w:tcPr>
            <w:tcW w:w="11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(52)</w:t>
            </w:r>
          </w:p>
        </w:tc>
        <w:tc>
          <w:tcPr>
            <w:tcW w:w="42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(16)</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(231)</w:t>
            </w:r>
          </w:p>
        </w:tc>
        <w:tc>
          <w:tcPr>
            <w:tcW w:w="20" w:type="dxa"/>
            <w:vAlign w:val="bottom"/>
          </w:tcPr>
          <w:p>
            <w:pPr>
              <w:spacing w:after="0"/>
              <w:rPr>
                <w:color w:val="auto"/>
                <w:sz w:val="13"/>
                <w:szCs w:val="13"/>
              </w:rPr>
            </w:pPr>
          </w:p>
        </w:tc>
      </w:tr>
      <w:tr>
        <w:tblPrEx>
          <w:tblInd w:w="0" w:type="dxa"/>
          <w:tblLayout w:type="fixed"/>
        </w:tblPrEx>
        <w:trPr>
          <w:trHeight w:val="147"/>
        </w:trPr>
        <w:tc>
          <w:tcPr>
            <w:tcW w:w="6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Foreign exchange loss (gain) and other</w:t>
            </w:r>
          </w:p>
        </w:tc>
        <w:tc>
          <w:tcPr>
            <w:tcW w:w="11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w:t>
            </w:r>
          </w:p>
        </w:tc>
        <w:tc>
          <w:tcPr>
            <w:tcW w:w="42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(44)</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17</w:t>
            </w:r>
          </w:p>
        </w:tc>
        <w:tc>
          <w:tcPr>
            <w:tcW w:w="20" w:type="dxa"/>
            <w:vAlign w:val="bottom"/>
          </w:tcPr>
          <w:p>
            <w:pPr>
              <w:spacing w:after="0"/>
              <w:rPr>
                <w:color w:val="auto"/>
                <w:sz w:val="12"/>
                <w:szCs w:val="12"/>
              </w:rPr>
            </w:pPr>
          </w:p>
        </w:tc>
      </w:tr>
      <w:tr>
        <w:tblPrEx>
          <w:tblInd w:w="0" w:type="dxa"/>
          <w:tblLayout w:type="fixed"/>
        </w:tblPrEx>
        <w:trPr>
          <w:trHeight w:val="164"/>
        </w:trPr>
        <w:tc>
          <w:tcPr>
            <w:tcW w:w="60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gain</w:t>
            </w:r>
          </w:p>
        </w:tc>
        <w:tc>
          <w:tcPr>
            <w:tcW w:w="11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(987)</w:t>
            </w:r>
          </w:p>
        </w:tc>
        <w:tc>
          <w:tcPr>
            <w:tcW w:w="420" w:type="dxa"/>
            <w:tcBorders>
              <w:bottom w:val="single" w:sz="8" w:space="0" w:color="auto"/>
            </w:tcBorders>
            <w:shd w:val="clear" w:color="auto" w:fill="CCEEFF"/>
            <w:vAlign w:val="bottom"/>
          </w:tcPr>
          <w:p>
            <w:pPr>
              <w:spacing w:after="0" w:line="142" w:lineRule="exact"/>
              <w:ind w:right="24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(77)</w:t>
            </w:r>
          </w:p>
        </w:tc>
        <w:tc>
          <w:tcPr>
            <w:tcW w:w="4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(1,141)</w:t>
            </w:r>
          </w:p>
        </w:tc>
        <w:tc>
          <w:tcPr>
            <w:tcW w:w="20" w:type="dxa"/>
            <w:vAlign w:val="bottom"/>
          </w:tcPr>
          <w:p>
            <w:pPr>
              <w:spacing w:after="0"/>
              <w:rPr>
                <w:color w:val="auto"/>
                <w:sz w:val="14"/>
                <w:szCs w:val="14"/>
              </w:rPr>
            </w:pPr>
          </w:p>
        </w:tc>
      </w:tr>
      <w:tr>
        <w:tblPrEx>
          <w:tblInd w:w="0" w:type="dxa"/>
          <w:tblLayout w:type="fixed"/>
        </w:tblPrEx>
        <w:trPr>
          <w:trHeight w:val="147"/>
        </w:trPr>
        <w:tc>
          <w:tcPr>
            <w:tcW w:w="6040" w:type="dxa"/>
            <w:vAlign w:val="bottom"/>
          </w:tcPr>
          <w:p>
            <w:pPr>
              <w:spacing w:after="0" w:line="142" w:lineRule="exact"/>
              <w:rPr>
                <w:color w:val="auto"/>
                <w:sz w:val="20"/>
                <w:szCs w:val="20"/>
              </w:rPr>
            </w:pPr>
            <w:r>
              <w:rPr>
                <w:rFonts w:ascii="Calibri" w:eastAsia="Calibri" w:hAnsi="Calibri" w:cs="Calibri"/>
                <w:b/>
                <w:bCs/>
                <w:color w:val="auto"/>
                <w:sz w:val="12"/>
                <w:szCs w:val="12"/>
              </w:rPr>
              <w:t>Other post-employment plans</w:t>
            </w:r>
          </w:p>
        </w:tc>
        <w:tc>
          <w:tcPr>
            <w:tcW w:w="110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2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08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0" w:type="dxa"/>
          <w:tblLayout w:type="fixed"/>
        </w:tblPrEx>
        <w:trPr>
          <w:trHeight w:val="159"/>
        </w:trPr>
        <w:tc>
          <w:tcPr>
            <w:tcW w:w="6040" w:type="dxa"/>
            <w:shd w:val="clear" w:color="auto" w:fill="CCEEFF"/>
            <w:vAlign w:val="bottom"/>
          </w:tcPr>
          <w:p>
            <w:pPr>
              <w:spacing w:after="0"/>
              <w:rPr>
                <w:color w:val="auto"/>
                <w:sz w:val="20"/>
                <w:szCs w:val="20"/>
              </w:rPr>
            </w:pPr>
            <w:r>
              <w:rPr>
                <w:rFonts w:ascii="Calibri" w:eastAsia="Calibri" w:hAnsi="Calibri" w:cs="Calibri"/>
                <w:color w:val="auto"/>
                <w:sz w:val="12"/>
                <w:szCs w:val="12"/>
              </w:rPr>
              <w:t>Actuarial loss (gain)</w:t>
            </w:r>
          </w:p>
        </w:tc>
        <w:tc>
          <w:tcPr>
            <w:tcW w:w="11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(62)</w:t>
            </w:r>
          </w:p>
        </w:tc>
        <w:tc>
          <w:tcPr>
            <w:tcW w:w="42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89</w:t>
            </w:r>
          </w:p>
        </w:tc>
        <w:tc>
          <w:tcPr>
            <w:tcW w:w="4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(229)</w:t>
            </w:r>
          </w:p>
        </w:tc>
        <w:tc>
          <w:tcPr>
            <w:tcW w:w="20" w:type="dxa"/>
            <w:vAlign w:val="bottom"/>
          </w:tcPr>
          <w:p>
            <w:pPr>
              <w:spacing w:after="0"/>
              <w:rPr>
                <w:color w:val="auto"/>
                <w:sz w:val="13"/>
                <w:szCs w:val="13"/>
              </w:rPr>
            </w:pPr>
          </w:p>
        </w:tc>
      </w:tr>
      <w:tr>
        <w:tblPrEx>
          <w:tblInd w:w="0" w:type="dxa"/>
          <w:tblLayout w:type="fixed"/>
        </w:tblPrEx>
        <w:trPr>
          <w:trHeight w:val="147"/>
        </w:trPr>
        <w:tc>
          <w:tcPr>
            <w:tcW w:w="6040" w:type="dxa"/>
            <w:vAlign w:val="bottom"/>
          </w:tcPr>
          <w:p>
            <w:pPr>
              <w:spacing w:after="0" w:line="142" w:lineRule="exact"/>
              <w:rPr>
                <w:color w:val="auto"/>
                <w:sz w:val="20"/>
                <w:szCs w:val="20"/>
              </w:rPr>
            </w:pPr>
            <w:r>
              <w:rPr>
                <w:rFonts w:ascii="Calibri" w:eastAsia="Calibri" w:hAnsi="Calibri" w:cs="Calibri"/>
                <w:color w:val="auto"/>
                <w:sz w:val="12"/>
                <w:szCs w:val="12"/>
              </w:rPr>
              <w:t>Prior service credit</w:t>
            </w:r>
          </w:p>
        </w:tc>
        <w:tc>
          <w:tcPr>
            <w:tcW w:w="11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w:t>
            </w:r>
          </w:p>
        </w:tc>
        <w:tc>
          <w:tcPr>
            <w:tcW w:w="420" w:type="dxa"/>
            <w:vAlign w:val="bottom"/>
          </w:tcPr>
          <w:p>
            <w:pPr>
              <w:spacing w:after="0"/>
              <w:rPr>
                <w:color w:val="auto"/>
                <w:sz w:val="12"/>
                <w:szCs w:val="12"/>
              </w:rPr>
            </w:pPr>
          </w:p>
        </w:tc>
        <w:tc>
          <w:tcPr>
            <w:tcW w:w="112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(2)</w:t>
            </w:r>
          </w:p>
        </w:tc>
        <w:tc>
          <w:tcPr>
            <w:tcW w:w="20" w:type="dxa"/>
            <w:vAlign w:val="bottom"/>
          </w:tcPr>
          <w:p>
            <w:pPr>
              <w:spacing w:after="0"/>
              <w:rPr>
                <w:color w:val="auto"/>
                <w:sz w:val="12"/>
                <w:szCs w:val="12"/>
              </w:rPr>
            </w:pPr>
          </w:p>
        </w:tc>
      </w:tr>
      <w:tr>
        <w:tblPrEx>
          <w:tblInd w:w="0" w:type="dxa"/>
          <w:tblLayout w:type="fixed"/>
        </w:tblPrEx>
        <w:trPr>
          <w:trHeight w:val="159"/>
        </w:trPr>
        <w:tc>
          <w:tcPr>
            <w:tcW w:w="6040" w:type="dxa"/>
            <w:shd w:val="clear" w:color="auto" w:fill="CCEEFF"/>
            <w:vAlign w:val="bottom"/>
          </w:tcPr>
          <w:p>
            <w:pPr>
              <w:spacing w:after="0"/>
              <w:rPr>
                <w:color w:val="auto"/>
                <w:sz w:val="20"/>
                <w:szCs w:val="20"/>
              </w:rPr>
            </w:pPr>
            <w:r>
              <w:rPr>
                <w:rFonts w:ascii="Calibri" w:eastAsia="Calibri" w:hAnsi="Calibri" w:cs="Calibri"/>
                <w:color w:val="auto"/>
                <w:sz w:val="12"/>
                <w:szCs w:val="12"/>
              </w:rPr>
              <w:t>Amortzaton of prior service credit</w:t>
            </w:r>
          </w:p>
        </w:tc>
        <w:tc>
          <w:tcPr>
            <w:tcW w:w="11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36</w:t>
            </w:r>
          </w:p>
        </w:tc>
        <w:tc>
          <w:tcPr>
            <w:tcW w:w="42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36</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38</w:t>
            </w:r>
          </w:p>
        </w:tc>
        <w:tc>
          <w:tcPr>
            <w:tcW w:w="20" w:type="dxa"/>
            <w:vAlign w:val="bottom"/>
          </w:tcPr>
          <w:p>
            <w:pPr>
              <w:spacing w:after="0"/>
              <w:rPr>
                <w:color w:val="auto"/>
                <w:sz w:val="13"/>
                <w:szCs w:val="13"/>
              </w:rPr>
            </w:pPr>
          </w:p>
        </w:tc>
      </w:tr>
      <w:tr>
        <w:tblPrEx>
          <w:tblInd w:w="0" w:type="dxa"/>
          <w:tblLayout w:type="fixed"/>
        </w:tblPrEx>
        <w:trPr>
          <w:trHeight w:val="147"/>
        </w:trPr>
        <w:tc>
          <w:tcPr>
            <w:tcW w:w="6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Amortzaton of actuarial loss</w:t>
            </w:r>
          </w:p>
        </w:tc>
        <w:tc>
          <w:tcPr>
            <w:tcW w:w="11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(17)</w:t>
            </w:r>
          </w:p>
        </w:tc>
        <w:tc>
          <w:tcPr>
            <w:tcW w:w="42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(12)</w:t>
            </w:r>
          </w:p>
        </w:tc>
        <w:tc>
          <w:tcPr>
            <w:tcW w:w="400" w:type="dxa"/>
            <w:tcBorders>
              <w:bottom w:val="single" w:sz="8" w:space="0" w:color="auto"/>
            </w:tcBorders>
            <w:vAlign w:val="bottom"/>
          </w:tcPr>
          <w:p>
            <w:pPr>
              <w:spacing w:after="0"/>
              <w:rPr>
                <w:color w:val="auto"/>
                <w:sz w:val="12"/>
                <w:szCs w:val="12"/>
              </w:rPr>
            </w:pPr>
          </w:p>
        </w:tc>
        <w:tc>
          <w:tcPr>
            <w:tcW w:w="10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(26)</w:t>
            </w:r>
          </w:p>
        </w:tc>
        <w:tc>
          <w:tcPr>
            <w:tcW w:w="20" w:type="dxa"/>
            <w:vAlign w:val="bottom"/>
          </w:tcPr>
          <w:p>
            <w:pPr>
              <w:spacing w:after="0"/>
              <w:rPr>
                <w:color w:val="auto"/>
                <w:sz w:val="12"/>
                <w:szCs w:val="12"/>
              </w:rPr>
            </w:pPr>
          </w:p>
        </w:tc>
      </w:tr>
      <w:tr>
        <w:tblPrEx>
          <w:tblInd w:w="0" w:type="dxa"/>
          <w:tblLayout w:type="fixed"/>
        </w:tblPrEx>
        <w:trPr>
          <w:trHeight w:val="164"/>
        </w:trPr>
        <w:tc>
          <w:tcPr>
            <w:tcW w:w="60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loss (gain)</w:t>
            </w:r>
          </w:p>
        </w:tc>
        <w:tc>
          <w:tcPr>
            <w:tcW w:w="11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(43)</w:t>
            </w:r>
          </w:p>
        </w:tc>
        <w:tc>
          <w:tcPr>
            <w:tcW w:w="420" w:type="dxa"/>
            <w:tcBorders>
              <w:bottom w:val="single" w:sz="8" w:space="0" w:color="auto"/>
            </w:tcBorders>
            <w:shd w:val="clear" w:color="auto" w:fill="CCEEFF"/>
            <w:vAlign w:val="bottom"/>
          </w:tcPr>
          <w:p>
            <w:pPr>
              <w:spacing w:after="0" w:line="142" w:lineRule="exact"/>
              <w:ind w:right="24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113</w:t>
            </w:r>
          </w:p>
        </w:tc>
        <w:tc>
          <w:tcPr>
            <w:tcW w:w="4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(219)</w:t>
            </w:r>
          </w:p>
        </w:tc>
        <w:tc>
          <w:tcPr>
            <w:tcW w:w="20" w:type="dxa"/>
            <w:vAlign w:val="bottom"/>
          </w:tcPr>
          <w:p>
            <w:pPr>
              <w:spacing w:after="0"/>
              <w:rPr>
                <w:color w:val="auto"/>
                <w:sz w:val="14"/>
                <w:szCs w:val="14"/>
              </w:rPr>
            </w:pPr>
          </w:p>
        </w:tc>
      </w:tr>
      <w:tr>
        <w:tblPrEx>
          <w:tblInd w:w="0" w:type="dxa"/>
          <w:tblLayout w:type="fixed"/>
        </w:tblPrEx>
        <w:trPr>
          <w:trHeight w:val="280"/>
        </w:trPr>
        <w:tc>
          <w:tcPr>
            <w:tcW w:w="6040" w:type="dxa"/>
            <w:vAlign w:val="bottom"/>
          </w:tcPr>
          <w:p>
            <w:pPr>
              <w:spacing w:after="0"/>
              <w:rPr>
                <w:color w:val="auto"/>
                <w:sz w:val="20"/>
                <w:szCs w:val="20"/>
              </w:rPr>
            </w:pPr>
            <w:r>
              <w:rPr>
                <w:rFonts w:ascii="Calibri" w:eastAsia="Calibri" w:hAnsi="Calibri" w:cs="Calibri"/>
                <w:i/>
                <w:iCs/>
                <w:color w:val="auto"/>
                <w:sz w:val="12"/>
                <w:szCs w:val="12"/>
              </w:rPr>
              <w:t>Net Periodic Beneft Cost</w:t>
            </w:r>
          </w:p>
        </w:tc>
        <w:tc>
          <w:tcPr>
            <w:tcW w:w="1100" w:type="dxa"/>
            <w:vAlign w:val="bottom"/>
          </w:tcPr>
          <w:p>
            <w:pPr>
              <w:spacing w:after="0"/>
              <w:rPr>
                <w:color w:val="auto"/>
                <w:sz w:val="24"/>
                <w:szCs w:val="24"/>
              </w:rPr>
            </w:pPr>
          </w:p>
        </w:tc>
        <w:tc>
          <w:tcPr>
            <w:tcW w:w="1120" w:type="dxa"/>
            <w:vAlign w:val="bottom"/>
          </w:tcPr>
          <w:p>
            <w:pPr>
              <w:spacing w:after="0"/>
              <w:rPr>
                <w:color w:val="auto"/>
                <w:sz w:val="24"/>
                <w:szCs w:val="24"/>
              </w:rPr>
            </w:pPr>
          </w:p>
        </w:tc>
        <w:tc>
          <w:tcPr>
            <w:tcW w:w="420" w:type="dxa"/>
            <w:vAlign w:val="bottom"/>
          </w:tcPr>
          <w:p>
            <w:pPr>
              <w:spacing w:after="0"/>
              <w:rPr>
                <w:color w:val="auto"/>
                <w:sz w:val="24"/>
                <w:szCs w:val="24"/>
              </w:rPr>
            </w:pPr>
          </w:p>
        </w:tc>
        <w:tc>
          <w:tcPr>
            <w:tcW w:w="1120" w:type="dxa"/>
            <w:vAlign w:val="bottom"/>
          </w:tcPr>
          <w:p>
            <w:pPr>
              <w:spacing w:after="0"/>
              <w:rPr>
                <w:color w:val="auto"/>
                <w:sz w:val="24"/>
                <w:szCs w:val="24"/>
              </w:rPr>
            </w:pPr>
          </w:p>
        </w:tc>
        <w:tc>
          <w:tcPr>
            <w:tcW w:w="400" w:type="dxa"/>
            <w:vAlign w:val="bottom"/>
          </w:tcPr>
          <w:p>
            <w:pPr>
              <w:spacing w:after="0"/>
              <w:rPr>
                <w:color w:val="auto"/>
                <w:sz w:val="24"/>
                <w:szCs w:val="24"/>
              </w:rPr>
            </w:pPr>
          </w:p>
        </w:tc>
        <w:tc>
          <w:tcPr>
            <w:tcW w:w="1080" w:type="dxa"/>
            <w:vAlign w:val="bottom"/>
          </w:tcPr>
          <w:p>
            <w:pPr>
              <w:spacing w:after="0"/>
              <w:rPr>
                <w:color w:val="auto"/>
                <w:sz w:val="24"/>
                <w:szCs w:val="24"/>
              </w:rPr>
            </w:pPr>
          </w:p>
        </w:tc>
        <w:tc>
          <w:tcPr>
            <w:tcW w:w="20" w:type="dxa"/>
            <w:vAlign w:val="bottom"/>
          </w:tcPr>
          <w:p>
            <w:pPr>
              <w:spacing w:after="0"/>
              <w:rPr>
                <w:color w:val="auto"/>
                <w:sz w:val="24"/>
                <w:szCs w:val="24"/>
              </w:rPr>
            </w:pPr>
          </w:p>
        </w:tc>
      </w:tr>
      <w:tr>
        <w:tblPrEx>
          <w:tblInd w:w="0" w:type="dxa"/>
          <w:tblLayout w:type="fixed"/>
        </w:tblPrEx>
        <w:trPr>
          <w:trHeight w:val="138"/>
        </w:trPr>
        <w:tc>
          <w:tcPr>
            <w:tcW w:w="604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1100" w:type="dxa"/>
            <w:vAlign w:val="bottom"/>
          </w:tcPr>
          <w:p>
            <w:pPr>
              <w:spacing w:after="0"/>
              <w:rPr>
                <w:color w:val="auto"/>
                <w:sz w:val="12"/>
                <w:szCs w:val="12"/>
              </w:rPr>
            </w:pPr>
          </w:p>
        </w:tc>
        <w:tc>
          <w:tcPr>
            <w:tcW w:w="1120" w:type="dxa"/>
            <w:vAlign w:val="bottom"/>
          </w:tcPr>
          <w:p>
            <w:pPr>
              <w:spacing w:after="0"/>
              <w:ind w:right="601"/>
              <w:jc w:val="right"/>
              <w:rPr>
                <w:color w:val="auto"/>
                <w:sz w:val="20"/>
                <w:szCs w:val="20"/>
              </w:rPr>
            </w:pPr>
            <w:r>
              <w:rPr>
                <w:rFonts w:ascii="Calibri" w:eastAsia="Calibri" w:hAnsi="Calibri" w:cs="Calibri"/>
                <w:b/>
                <w:bCs/>
                <w:color w:val="auto"/>
                <w:sz w:val="10"/>
                <w:szCs w:val="10"/>
              </w:rPr>
              <w:t>2024</w:t>
            </w:r>
          </w:p>
        </w:tc>
        <w:tc>
          <w:tcPr>
            <w:tcW w:w="420" w:type="dxa"/>
            <w:vAlign w:val="bottom"/>
          </w:tcPr>
          <w:p>
            <w:pPr>
              <w:spacing w:after="0"/>
              <w:rPr>
                <w:color w:val="auto"/>
                <w:sz w:val="12"/>
                <w:szCs w:val="12"/>
              </w:rPr>
            </w:pPr>
          </w:p>
        </w:tc>
        <w:tc>
          <w:tcPr>
            <w:tcW w:w="1120" w:type="dxa"/>
            <w:vAlign w:val="bottom"/>
          </w:tcPr>
          <w:p>
            <w:pPr>
              <w:spacing w:after="0"/>
              <w:ind w:right="622"/>
              <w:jc w:val="right"/>
              <w:rPr>
                <w:color w:val="auto"/>
                <w:sz w:val="20"/>
                <w:szCs w:val="20"/>
              </w:rPr>
            </w:pPr>
            <w:r>
              <w:rPr>
                <w:rFonts w:ascii="Calibri" w:eastAsia="Calibri" w:hAnsi="Calibri" w:cs="Calibri"/>
                <w:b/>
                <w:bCs/>
                <w:color w:val="auto"/>
                <w:sz w:val="10"/>
                <w:szCs w:val="10"/>
              </w:rPr>
              <w:t>2023</w:t>
            </w:r>
          </w:p>
        </w:tc>
        <w:tc>
          <w:tcPr>
            <w:tcW w:w="400" w:type="dxa"/>
            <w:vAlign w:val="bottom"/>
          </w:tcPr>
          <w:p>
            <w:pPr>
              <w:spacing w:after="0"/>
              <w:rPr>
                <w:color w:val="auto"/>
                <w:sz w:val="12"/>
                <w:szCs w:val="12"/>
              </w:rPr>
            </w:pPr>
          </w:p>
        </w:tc>
        <w:tc>
          <w:tcPr>
            <w:tcW w:w="1080" w:type="dxa"/>
            <w:vAlign w:val="bottom"/>
          </w:tcPr>
          <w:p>
            <w:pPr>
              <w:spacing w:after="0"/>
              <w:ind w:right="562"/>
              <w:jc w:val="right"/>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12"/>
                <w:szCs w:val="12"/>
              </w:rPr>
            </w:pPr>
          </w:p>
        </w:tc>
      </w:tr>
      <w:tr>
        <w:tblPrEx>
          <w:tblInd w:w="0" w:type="dxa"/>
          <w:tblLayout w:type="fixed"/>
        </w:tblPrEx>
        <w:trPr>
          <w:trHeight w:val="32"/>
        </w:trPr>
        <w:tc>
          <w:tcPr>
            <w:tcW w:w="604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08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r>
      <w:tr>
        <w:tblPrEx>
          <w:tblInd w:w="0" w:type="dxa"/>
          <w:tblLayout w:type="fixed"/>
        </w:tblPrEx>
        <w:trPr>
          <w:trHeight w:val="136"/>
        </w:trPr>
        <w:tc>
          <w:tcPr>
            <w:tcW w:w="6040" w:type="dxa"/>
            <w:vAlign w:val="bottom"/>
          </w:tcPr>
          <w:p>
            <w:pPr>
              <w:spacing w:after="0" w:line="137" w:lineRule="exact"/>
              <w:rPr>
                <w:color w:val="auto"/>
                <w:sz w:val="20"/>
                <w:szCs w:val="20"/>
              </w:rPr>
            </w:pPr>
            <w:r>
              <w:rPr>
                <w:rFonts w:ascii="Calibri" w:eastAsia="Calibri" w:hAnsi="Calibri" w:cs="Calibri"/>
                <w:b/>
                <w:bCs/>
                <w:color w:val="auto"/>
                <w:sz w:val="12"/>
                <w:szCs w:val="12"/>
              </w:rPr>
              <w:t>Defned beneft plans</w:t>
            </w:r>
          </w:p>
        </w:tc>
        <w:tc>
          <w:tcPr>
            <w:tcW w:w="110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2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080" w:type="dxa"/>
            <w:vAlign w:val="bottom"/>
          </w:tcPr>
          <w:p>
            <w:pPr>
              <w:spacing w:after="0"/>
              <w:rPr>
                <w:color w:val="auto"/>
                <w:sz w:val="11"/>
                <w:szCs w:val="11"/>
              </w:rPr>
            </w:pPr>
          </w:p>
        </w:tc>
        <w:tc>
          <w:tcPr>
            <w:tcW w:w="20" w:type="dxa"/>
            <w:vAlign w:val="bottom"/>
          </w:tcPr>
          <w:p>
            <w:pPr>
              <w:spacing w:after="0"/>
              <w:rPr>
                <w:color w:val="auto"/>
                <w:sz w:val="11"/>
                <w:szCs w:val="11"/>
              </w:rPr>
            </w:pPr>
          </w:p>
        </w:tc>
      </w:tr>
      <w:tr>
        <w:tblPrEx>
          <w:tblInd w:w="0" w:type="dxa"/>
          <w:tblLayout w:type="fixed"/>
        </w:tblPrEx>
        <w:trPr>
          <w:trHeight w:val="159"/>
        </w:trPr>
        <w:tc>
          <w:tcPr>
            <w:tcW w:w="6040" w:type="dxa"/>
            <w:shd w:val="clear" w:color="auto" w:fill="CCEEFF"/>
            <w:vAlign w:val="bottom"/>
          </w:tcPr>
          <w:p>
            <w:pPr>
              <w:spacing w:after="0"/>
              <w:rPr>
                <w:color w:val="auto"/>
                <w:sz w:val="20"/>
                <w:szCs w:val="20"/>
              </w:rPr>
            </w:pPr>
            <w:r>
              <w:rPr>
                <w:rFonts w:ascii="Calibri" w:eastAsia="Calibri" w:hAnsi="Calibri" w:cs="Calibri"/>
                <w:color w:val="auto"/>
                <w:sz w:val="12"/>
                <w:szCs w:val="12"/>
              </w:rPr>
              <w:t>Service cost</w:t>
            </w:r>
          </w:p>
        </w:tc>
        <w:tc>
          <w:tcPr>
            <w:tcW w:w="11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286</w:t>
            </w:r>
          </w:p>
        </w:tc>
        <w:tc>
          <w:tcPr>
            <w:tcW w:w="420" w:type="dxa"/>
            <w:shd w:val="clear" w:color="auto" w:fill="CCEEFF"/>
            <w:vAlign w:val="bottom"/>
          </w:tcPr>
          <w:p>
            <w:pPr>
              <w:spacing w:after="0"/>
              <w:ind w:right="24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270</w:t>
            </w:r>
          </w:p>
        </w:tc>
        <w:tc>
          <w:tcPr>
            <w:tcW w:w="40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08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454</w:t>
            </w:r>
          </w:p>
        </w:tc>
        <w:tc>
          <w:tcPr>
            <w:tcW w:w="20" w:type="dxa"/>
            <w:vAlign w:val="bottom"/>
          </w:tcPr>
          <w:p>
            <w:pPr>
              <w:spacing w:after="0"/>
              <w:rPr>
                <w:color w:val="auto"/>
                <w:sz w:val="13"/>
                <w:szCs w:val="13"/>
              </w:rPr>
            </w:pPr>
          </w:p>
        </w:tc>
      </w:tr>
      <w:tr>
        <w:tblPrEx>
          <w:tblInd w:w="0" w:type="dxa"/>
          <w:tblLayout w:type="fixed"/>
        </w:tblPrEx>
        <w:trPr>
          <w:trHeight w:val="147"/>
        </w:trPr>
        <w:tc>
          <w:tcPr>
            <w:tcW w:w="6040" w:type="dxa"/>
            <w:vAlign w:val="bottom"/>
          </w:tcPr>
          <w:p>
            <w:pPr>
              <w:spacing w:after="0" w:line="142" w:lineRule="exact"/>
              <w:rPr>
                <w:color w:val="auto"/>
                <w:sz w:val="20"/>
                <w:szCs w:val="20"/>
              </w:rPr>
            </w:pPr>
            <w:r>
              <w:rPr>
                <w:rFonts w:ascii="Calibri" w:eastAsia="Calibri" w:hAnsi="Calibri" w:cs="Calibri"/>
                <w:color w:val="auto"/>
                <w:sz w:val="12"/>
                <w:szCs w:val="12"/>
              </w:rPr>
              <w:t>Interest cost</w:t>
            </w:r>
          </w:p>
        </w:tc>
        <w:tc>
          <w:tcPr>
            <w:tcW w:w="11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451</w:t>
            </w:r>
          </w:p>
        </w:tc>
        <w:tc>
          <w:tcPr>
            <w:tcW w:w="420" w:type="dxa"/>
            <w:vAlign w:val="bottom"/>
          </w:tcPr>
          <w:p>
            <w:pPr>
              <w:spacing w:after="0"/>
              <w:rPr>
                <w:color w:val="auto"/>
                <w:sz w:val="12"/>
                <w:szCs w:val="12"/>
              </w:rPr>
            </w:pPr>
          </w:p>
        </w:tc>
        <w:tc>
          <w:tcPr>
            <w:tcW w:w="112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432</w:t>
            </w:r>
          </w:p>
        </w:tc>
        <w:tc>
          <w:tcPr>
            <w:tcW w:w="400" w:type="dxa"/>
            <w:vAlign w:val="bottom"/>
          </w:tcPr>
          <w:p>
            <w:pPr>
              <w:spacing w:after="0"/>
              <w:rPr>
                <w:color w:val="auto"/>
                <w:sz w:val="12"/>
                <w:szCs w:val="12"/>
              </w:rPr>
            </w:pPr>
          </w:p>
        </w:tc>
        <w:tc>
          <w:tcPr>
            <w:tcW w:w="108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297</w:t>
            </w:r>
          </w:p>
        </w:tc>
        <w:tc>
          <w:tcPr>
            <w:tcW w:w="20" w:type="dxa"/>
            <w:vAlign w:val="bottom"/>
          </w:tcPr>
          <w:p>
            <w:pPr>
              <w:spacing w:after="0"/>
              <w:rPr>
                <w:color w:val="auto"/>
                <w:sz w:val="12"/>
                <w:szCs w:val="12"/>
              </w:rPr>
            </w:pPr>
          </w:p>
        </w:tc>
      </w:tr>
      <w:tr>
        <w:tblPrEx>
          <w:tblInd w:w="0" w:type="dxa"/>
          <w:tblLayout w:type="fixed"/>
        </w:tblPrEx>
        <w:trPr>
          <w:trHeight w:val="159"/>
        </w:trPr>
        <w:tc>
          <w:tcPr>
            <w:tcW w:w="6040" w:type="dxa"/>
            <w:shd w:val="clear" w:color="auto" w:fill="CCEEFF"/>
            <w:vAlign w:val="bottom"/>
          </w:tcPr>
          <w:p>
            <w:pPr>
              <w:spacing w:after="0"/>
              <w:rPr>
                <w:color w:val="auto"/>
                <w:sz w:val="20"/>
                <w:szCs w:val="20"/>
              </w:rPr>
            </w:pPr>
            <w:r>
              <w:rPr>
                <w:rFonts w:ascii="Calibri" w:eastAsia="Calibri" w:hAnsi="Calibri" w:cs="Calibri"/>
                <w:color w:val="auto"/>
                <w:sz w:val="12"/>
                <w:szCs w:val="12"/>
              </w:rPr>
              <w:t>Expected return on plan assets</w:t>
            </w:r>
          </w:p>
        </w:tc>
        <w:tc>
          <w:tcPr>
            <w:tcW w:w="11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(785)</w:t>
            </w:r>
          </w:p>
        </w:tc>
        <w:tc>
          <w:tcPr>
            <w:tcW w:w="42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(723)</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(712)</w:t>
            </w:r>
          </w:p>
        </w:tc>
        <w:tc>
          <w:tcPr>
            <w:tcW w:w="20" w:type="dxa"/>
            <w:vAlign w:val="bottom"/>
          </w:tcPr>
          <w:p>
            <w:pPr>
              <w:spacing w:after="0"/>
              <w:rPr>
                <w:color w:val="auto"/>
                <w:sz w:val="13"/>
                <w:szCs w:val="13"/>
              </w:rPr>
            </w:pPr>
          </w:p>
        </w:tc>
      </w:tr>
      <w:tr>
        <w:tblPrEx>
          <w:tblInd w:w="0" w:type="dxa"/>
          <w:tblLayout w:type="fixed"/>
        </w:tblPrEx>
        <w:trPr>
          <w:trHeight w:val="147"/>
        </w:trPr>
        <w:tc>
          <w:tcPr>
            <w:tcW w:w="6040" w:type="dxa"/>
            <w:vAlign w:val="bottom"/>
          </w:tcPr>
          <w:p>
            <w:pPr>
              <w:spacing w:after="0" w:line="142" w:lineRule="exact"/>
              <w:rPr>
                <w:color w:val="auto"/>
                <w:sz w:val="20"/>
                <w:szCs w:val="20"/>
              </w:rPr>
            </w:pPr>
            <w:r>
              <w:rPr>
                <w:rFonts w:ascii="Calibri" w:eastAsia="Calibri" w:hAnsi="Calibri" w:cs="Calibri"/>
                <w:color w:val="auto"/>
                <w:sz w:val="12"/>
                <w:szCs w:val="12"/>
              </w:rPr>
              <w:t>Amortzaton of prior service cost</w:t>
            </w:r>
          </w:p>
        </w:tc>
        <w:tc>
          <w:tcPr>
            <w:tcW w:w="11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w:t>
            </w:r>
          </w:p>
        </w:tc>
        <w:tc>
          <w:tcPr>
            <w:tcW w:w="420" w:type="dxa"/>
            <w:vAlign w:val="bottom"/>
          </w:tcPr>
          <w:p>
            <w:pPr>
              <w:spacing w:after="0"/>
              <w:rPr>
                <w:color w:val="auto"/>
                <w:sz w:val="12"/>
                <w:szCs w:val="12"/>
              </w:rPr>
            </w:pPr>
          </w:p>
        </w:tc>
        <w:tc>
          <w:tcPr>
            <w:tcW w:w="112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1</w:t>
            </w:r>
          </w:p>
        </w:tc>
        <w:tc>
          <w:tcPr>
            <w:tcW w:w="400" w:type="dxa"/>
            <w:vAlign w:val="bottom"/>
          </w:tcPr>
          <w:p>
            <w:pPr>
              <w:spacing w:after="0"/>
              <w:rPr>
                <w:color w:val="auto"/>
                <w:sz w:val="12"/>
                <w:szCs w:val="12"/>
              </w:rPr>
            </w:pPr>
          </w:p>
        </w:tc>
        <w:tc>
          <w:tcPr>
            <w:tcW w:w="108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2</w:t>
            </w:r>
          </w:p>
        </w:tc>
        <w:tc>
          <w:tcPr>
            <w:tcW w:w="20" w:type="dxa"/>
            <w:vAlign w:val="bottom"/>
          </w:tcPr>
          <w:p>
            <w:pPr>
              <w:spacing w:after="0"/>
              <w:rPr>
                <w:color w:val="auto"/>
                <w:sz w:val="12"/>
                <w:szCs w:val="12"/>
              </w:rPr>
            </w:pPr>
          </w:p>
        </w:tc>
      </w:tr>
      <w:tr>
        <w:tblPrEx>
          <w:tblInd w:w="0" w:type="dxa"/>
          <w:tblLayout w:type="fixed"/>
        </w:tblPrEx>
        <w:trPr>
          <w:trHeight w:val="153"/>
        </w:trPr>
        <w:tc>
          <w:tcPr>
            <w:tcW w:w="604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Amortzaton of actuarial loss</w:t>
            </w:r>
          </w:p>
        </w:tc>
        <w:tc>
          <w:tcPr>
            <w:tcW w:w="11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52</w:t>
            </w:r>
          </w:p>
        </w:tc>
        <w:tc>
          <w:tcPr>
            <w:tcW w:w="42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16</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231</w:t>
            </w:r>
          </w:p>
        </w:tc>
        <w:tc>
          <w:tcPr>
            <w:tcW w:w="20" w:type="dxa"/>
            <w:vAlign w:val="bottom"/>
          </w:tcPr>
          <w:p>
            <w:pPr>
              <w:spacing w:after="0"/>
              <w:rPr>
                <w:color w:val="auto"/>
                <w:sz w:val="13"/>
                <w:szCs w:val="13"/>
              </w:rPr>
            </w:pPr>
          </w:p>
        </w:tc>
      </w:tr>
      <w:tr>
        <w:tblPrEx>
          <w:tblInd w:w="0" w:type="dxa"/>
          <w:tblLayout w:type="fixed"/>
        </w:tblPrEx>
        <w:trPr>
          <w:trHeight w:val="164"/>
        </w:trPr>
        <w:tc>
          <w:tcPr>
            <w:tcW w:w="6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Net periodic beneft cost (credit)</w:t>
            </w:r>
          </w:p>
        </w:tc>
        <w:tc>
          <w:tcPr>
            <w:tcW w:w="11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4</w:t>
            </w:r>
          </w:p>
        </w:tc>
        <w:tc>
          <w:tcPr>
            <w:tcW w:w="420" w:type="dxa"/>
            <w:tcBorders>
              <w:bottom w:val="single" w:sz="8" w:space="0" w:color="auto"/>
            </w:tcBorders>
            <w:vAlign w:val="bottom"/>
          </w:tcPr>
          <w:p>
            <w:pPr>
              <w:spacing w:after="0" w:line="142" w:lineRule="exact"/>
              <w:ind w:right="24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(4)</w:t>
            </w: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272</w:t>
            </w:r>
          </w:p>
        </w:tc>
        <w:tc>
          <w:tcPr>
            <w:tcW w:w="20" w:type="dxa"/>
            <w:vAlign w:val="bottom"/>
          </w:tcPr>
          <w:p>
            <w:pPr>
              <w:spacing w:after="0"/>
              <w:rPr>
                <w:color w:val="auto"/>
                <w:sz w:val="14"/>
                <w:szCs w:val="14"/>
              </w:rPr>
            </w:pPr>
          </w:p>
        </w:tc>
      </w:tr>
      <w:tr>
        <w:tblPrEx>
          <w:tblInd w:w="0" w:type="dxa"/>
          <w:tblLayout w:type="fixed"/>
        </w:tblPrEx>
        <w:trPr>
          <w:trHeight w:val="153"/>
        </w:trPr>
        <w:tc>
          <w:tcPr>
            <w:tcW w:w="6040" w:type="dxa"/>
            <w:shd w:val="clear" w:color="auto" w:fill="CCEEFF"/>
            <w:vAlign w:val="bottom"/>
          </w:tcPr>
          <w:p>
            <w:pPr>
              <w:spacing w:after="0" w:line="142" w:lineRule="exact"/>
              <w:rPr>
                <w:color w:val="auto"/>
                <w:sz w:val="20"/>
                <w:szCs w:val="20"/>
              </w:rPr>
            </w:pPr>
            <w:r>
              <w:rPr>
                <w:rFonts w:ascii="Calibri" w:eastAsia="Calibri" w:hAnsi="Calibri" w:cs="Calibri"/>
                <w:b/>
                <w:bCs/>
                <w:color w:val="auto"/>
                <w:sz w:val="12"/>
                <w:szCs w:val="12"/>
              </w:rPr>
              <w:t>Other post-employment plans</w:t>
            </w:r>
          </w:p>
        </w:tc>
        <w:tc>
          <w:tcPr>
            <w:tcW w:w="11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2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rPr>
                <w:color w:val="auto"/>
                <w:sz w:val="13"/>
                <w:szCs w:val="13"/>
              </w:rPr>
            </w:pP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rPr>
                <w:color w:val="auto"/>
                <w:sz w:val="13"/>
                <w:szCs w:val="13"/>
              </w:rPr>
            </w:pPr>
          </w:p>
        </w:tc>
        <w:tc>
          <w:tcPr>
            <w:tcW w:w="20" w:type="dxa"/>
            <w:vAlign w:val="bottom"/>
          </w:tcPr>
          <w:p>
            <w:pPr>
              <w:spacing w:after="0"/>
              <w:rPr>
                <w:color w:val="auto"/>
                <w:sz w:val="13"/>
                <w:szCs w:val="13"/>
              </w:rPr>
            </w:pPr>
          </w:p>
        </w:tc>
      </w:tr>
      <w:tr>
        <w:tblPrEx>
          <w:tblInd w:w="0" w:type="dxa"/>
          <w:tblLayout w:type="fixed"/>
        </w:tblPrEx>
        <w:trPr>
          <w:trHeight w:val="147"/>
        </w:trPr>
        <w:tc>
          <w:tcPr>
            <w:tcW w:w="6040" w:type="dxa"/>
            <w:vAlign w:val="bottom"/>
          </w:tcPr>
          <w:p>
            <w:pPr>
              <w:spacing w:after="0" w:line="142" w:lineRule="exact"/>
              <w:rPr>
                <w:color w:val="auto"/>
                <w:sz w:val="20"/>
                <w:szCs w:val="20"/>
              </w:rPr>
            </w:pPr>
            <w:r>
              <w:rPr>
                <w:rFonts w:ascii="Calibri" w:eastAsia="Calibri" w:hAnsi="Calibri" w:cs="Calibri"/>
                <w:color w:val="auto"/>
                <w:sz w:val="12"/>
                <w:szCs w:val="12"/>
              </w:rPr>
              <w:t>Service cost</w:t>
            </w:r>
          </w:p>
        </w:tc>
        <w:tc>
          <w:tcPr>
            <w:tcW w:w="1100" w:type="dxa"/>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43</w:t>
            </w:r>
          </w:p>
        </w:tc>
        <w:tc>
          <w:tcPr>
            <w:tcW w:w="420" w:type="dxa"/>
            <w:vAlign w:val="bottom"/>
          </w:tcPr>
          <w:p>
            <w:pPr>
              <w:spacing w:after="0" w:line="142" w:lineRule="exact"/>
              <w:ind w:right="240"/>
              <w:jc w:val="right"/>
              <w:rPr>
                <w:color w:val="auto"/>
                <w:sz w:val="20"/>
                <w:szCs w:val="20"/>
              </w:rPr>
            </w:pPr>
            <w:r>
              <w:rPr>
                <w:rFonts w:ascii="Calibri" w:eastAsia="Calibri" w:hAnsi="Calibri" w:cs="Calibri"/>
                <w:color w:val="auto"/>
                <w:sz w:val="12"/>
                <w:szCs w:val="12"/>
              </w:rPr>
              <w:t>$</w:t>
            </w:r>
          </w:p>
        </w:tc>
        <w:tc>
          <w:tcPr>
            <w:tcW w:w="1120" w:type="dxa"/>
            <w:vAlign w:val="bottom"/>
          </w:tcPr>
          <w:p>
            <w:pPr>
              <w:spacing w:after="0" w:line="142" w:lineRule="exact"/>
              <w:ind w:right="42"/>
              <w:jc w:val="right"/>
              <w:rPr>
                <w:color w:val="auto"/>
                <w:sz w:val="20"/>
                <w:szCs w:val="20"/>
              </w:rPr>
            </w:pPr>
            <w:r>
              <w:rPr>
                <w:rFonts w:ascii="Calibri" w:eastAsia="Calibri" w:hAnsi="Calibri" w:cs="Calibri"/>
                <w:color w:val="auto"/>
                <w:sz w:val="12"/>
                <w:szCs w:val="12"/>
              </w:rPr>
              <w:t>37</w:t>
            </w:r>
          </w:p>
        </w:tc>
        <w:tc>
          <w:tcPr>
            <w:tcW w:w="400" w:type="dxa"/>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51</w:t>
            </w:r>
          </w:p>
        </w:tc>
        <w:tc>
          <w:tcPr>
            <w:tcW w:w="20" w:type="dxa"/>
            <w:vAlign w:val="bottom"/>
          </w:tcPr>
          <w:p>
            <w:pPr>
              <w:spacing w:after="0"/>
              <w:rPr>
                <w:color w:val="auto"/>
                <w:sz w:val="12"/>
                <w:szCs w:val="12"/>
              </w:rPr>
            </w:pPr>
          </w:p>
        </w:tc>
      </w:tr>
      <w:tr>
        <w:tblPrEx>
          <w:tblInd w:w="0" w:type="dxa"/>
          <w:tblLayout w:type="fixed"/>
        </w:tblPrEx>
        <w:trPr>
          <w:trHeight w:val="159"/>
        </w:trPr>
        <w:tc>
          <w:tcPr>
            <w:tcW w:w="6040" w:type="dxa"/>
            <w:shd w:val="clear" w:color="auto" w:fill="CCEEFF"/>
            <w:vAlign w:val="bottom"/>
          </w:tcPr>
          <w:p>
            <w:pPr>
              <w:spacing w:after="0"/>
              <w:rPr>
                <w:color w:val="auto"/>
                <w:sz w:val="20"/>
                <w:szCs w:val="20"/>
              </w:rPr>
            </w:pPr>
            <w:r>
              <w:rPr>
                <w:rFonts w:ascii="Calibri" w:eastAsia="Calibri" w:hAnsi="Calibri" w:cs="Calibri"/>
                <w:color w:val="auto"/>
                <w:sz w:val="12"/>
                <w:szCs w:val="12"/>
              </w:rPr>
              <w:t>Interest cost</w:t>
            </w:r>
          </w:p>
        </w:tc>
        <w:tc>
          <w:tcPr>
            <w:tcW w:w="11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41</w:t>
            </w:r>
          </w:p>
        </w:tc>
        <w:tc>
          <w:tcPr>
            <w:tcW w:w="42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37</w:t>
            </w:r>
          </w:p>
        </w:tc>
        <w:tc>
          <w:tcPr>
            <w:tcW w:w="400" w:type="dxa"/>
            <w:shd w:val="clear" w:color="auto" w:fill="CCEEFF"/>
            <w:vAlign w:val="bottom"/>
          </w:tcPr>
          <w:p>
            <w:pPr>
              <w:spacing w:after="0"/>
              <w:rPr>
                <w:color w:val="auto"/>
                <w:sz w:val="13"/>
                <w:szCs w:val="13"/>
              </w:rPr>
            </w:pPr>
          </w:p>
        </w:tc>
        <w:tc>
          <w:tcPr>
            <w:tcW w:w="108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23</w:t>
            </w:r>
          </w:p>
        </w:tc>
        <w:tc>
          <w:tcPr>
            <w:tcW w:w="20" w:type="dxa"/>
            <w:vAlign w:val="bottom"/>
          </w:tcPr>
          <w:p>
            <w:pPr>
              <w:spacing w:after="0"/>
              <w:rPr>
                <w:color w:val="auto"/>
                <w:sz w:val="13"/>
                <w:szCs w:val="13"/>
              </w:rPr>
            </w:pPr>
          </w:p>
        </w:tc>
      </w:tr>
      <w:tr>
        <w:tblPrEx>
          <w:tblInd w:w="0" w:type="dxa"/>
          <w:tblLayout w:type="fixed"/>
        </w:tblPrEx>
        <w:trPr>
          <w:trHeight w:val="147"/>
        </w:trPr>
        <w:tc>
          <w:tcPr>
            <w:tcW w:w="6040" w:type="dxa"/>
            <w:vAlign w:val="bottom"/>
          </w:tcPr>
          <w:p>
            <w:pPr>
              <w:spacing w:after="0" w:line="142" w:lineRule="exact"/>
              <w:rPr>
                <w:color w:val="auto"/>
                <w:sz w:val="20"/>
                <w:szCs w:val="20"/>
              </w:rPr>
            </w:pPr>
            <w:r>
              <w:rPr>
                <w:rFonts w:ascii="Calibri" w:eastAsia="Calibri" w:hAnsi="Calibri" w:cs="Calibri"/>
                <w:color w:val="auto"/>
                <w:sz w:val="12"/>
                <w:szCs w:val="12"/>
              </w:rPr>
              <w:t>Amortzaton of prior service credit</w:t>
            </w:r>
          </w:p>
        </w:tc>
        <w:tc>
          <w:tcPr>
            <w:tcW w:w="1100" w:type="dxa"/>
            <w:vAlign w:val="bottom"/>
          </w:tcPr>
          <w:p>
            <w:pPr>
              <w:spacing w:after="0"/>
              <w:rPr>
                <w:color w:val="auto"/>
                <w:sz w:val="12"/>
                <w:szCs w:val="12"/>
              </w:rPr>
            </w:pPr>
          </w:p>
        </w:tc>
        <w:tc>
          <w:tcPr>
            <w:tcW w:w="1120" w:type="dxa"/>
            <w:vAlign w:val="bottom"/>
          </w:tcPr>
          <w:p>
            <w:pPr>
              <w:spacing w:after="0" w:line="142" w:lineRule="exact"/>
              <w:jc w:val="right"/>
              <w:rPr>
                <w:color w:val="auto"/>
                <w:sz w:val="20"/>
                <w:szCs w:val="20"/>
              </w:rPr>
            </w:pPr>
            <w:r>
              <w:rPr>
                <w:rFonts w:ascii="Calibri" w:eastAsia="Calibri" w:hAnsi="Calibri" w:cs="Calibri"/>
                <w:color w:val="auto"/>
                <w:sz w:val="12"/>
                <w:szCs w:val="12"/>
              </w:rPr>
              <w:t>(36)</w:t>
            </w:r>
          </w:p>
        </w:tc>
        <w:tc>
          <w:tcPr>
            <w:tcW w:w="420" w:type="dxa"/>
            <w:vAlign w:val="bottom"/>
          </w:tcPr>
          <w:p>
            <w:pPr>
              <w:spacing w:after="0"/>
              <w:rPr>
                <w:color w:val="auto"/>
                <w:sz w:val="12"/>
                <w:szCs w:val="12"/>
              </w:rPr>
            </w:pPr>
          </w:p>
        </w:tc>
        <w:tc>
          <w:tcPr>
            <w:tcW w:w="112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(36)</w:t>
            </w:r>
          </w:p>
        </w:tc>
        <w:tc>
          <w:tcPr>
            <w:tcW w:w="400" w:type="dxa"/>
            <w:vAlign w:val="bottom"/>
          </w:tcPr>
          <w:p>
            <w:pPr>
              <w:spacing w:after="0"/>
              <w:rPr>
                <w:color w:val="auto"/>
                <w:sz w:val="12"/>
                <w:szCs w:val="12"/>
              </w:rPr>
            </w:pPr>
          </w:p>
        </w:tc>
        <w:tc>
          <w:tcPr>
            <w:tcW w:w="1080" w:type="dxa"/>
            <w:vAlign w:val="bottom"/>
          </w:tcPr>
          <w:p>
            <w:pPr>
              <w:spacing w:after="0" w:line="142" w:lineRule="exact"/>
              <w:jc w:val="right"/>
              <w:rPr>
                <w:color w:val="auto"/>
                <w:sz w:val="20"/>
                <w:szCs w:val="20"/>
              </w:rPr>
            </w:pPr>
            <w:r>
              <w:rPr>
                <w:rFonts w:ascii="Calibri" w:eastAsia="Calibri" w:hAnsi="Calibri" w:cs="Calibri"/>
                <w:color w:val="auto"/>
                <w:sz w:val="12"/>
                <w:szCs w:val="12"/>
              </w:rPr>
              <w:t>(38)</w:t>
            </w:r>
          </w:p>
        </w:tc>
        <w:tc>
          <w:tcPr>
            <w:tcW w:w="20" w:type="dxa"/>
            <w:vAlign w:val="bottom"/>
          </w:tcPr>
          <w:p>
            <w:pPr>
              <w:spacing w:after="0"/>
              <w:rPr>
                <w:color w:val="auto"/>
                <w:sz w:val="12"/>
                <w:szCs w:val="12"/>
              </w:rPr>
            </w:pPr>
          </w:p>
        </w:tc>
      </w:tr>
      <w:tr>
        <w:tblPrEx>
          <w:tblInd w:w="0" w:type="dxa"/>
          <w:tblLayout w:type="fixed"/>
        </w:tblPrEx>
        <w:trPr>
          <w:trHeight w:val="153"/>
        </w:trPr>
        <w:tc>
          <w:tcPr>
            <w:tcW w:w="604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Amortzaton of actuarial loss</w:t>
            </w:r>
          </w:p>
        </w:tc>
        <w:tc>
          <w:tcPr>
            <w:tcW w:w="11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17</w:t>
            </w:r>
          </w:p>
        </w:tc>
        <w:tc>
          <w:tcPr>
            <w:tcW w:w="42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12</w:t>
            </w:r>
          </w:p>
        </w:tc>
        <w:tc>
          <w:tcPr>
            <w:tcW w:w="400" w:type="dxa"/>
            <w:tcBorders>
              <w:bottom w:val="single" w:sz="8" w:space="0" w:color="auto"/>
            </w:tcBorders>
            <w:shd w:val="clear" w:color="auto" w:fill="CCEEFF"/>
            <w:vAlign w:val="bottom"/>
          </w:tcPr>
          <w:p>
            <w:pPr>
              <w:spacing w:after="0"/>
              <w:rPr>
                <w:color w:val="auto"/>
                <w:sz w:val="13"/>
                <w:szCs w:val="13"/>
              </w:rPr>
            </w:pPr>
          </w:p>
        </w:tc>
        <w:tc>
          <w:tcPr>
            <w:tcW w:w="108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26</w:t>
            </w:r>
          </w:p>
        </w:tc>
        <w:tc>
          <w:tcPr>
            <w:tcW w:w="20" w:type="dxa"/>
            <w:vAlign w:val="bottom"/>
          </w:tcPr>
          <w:p>
            <w:pPr>
              <w:spacing w:after="0"/>
              <w:rPr>
                <w:color w:val="auto"/>
                <w:sz w:val="13"/>
                <w:szCs w:val="13"/>
              </w:rPr>
            </w:pPr>
          </w:p>
        </w:tc>
      </w:tr>
      <w:tr>
        <w:tblPrEx>
          <w:tblInd w:w="0" w:type="dxa"/>
          <w:tblLayout w:type="fixed"/>
        </w:tblPrEx>
        <w:trPr>
          <w:trHeight w:val="142"/>
        </w:trPr>
        <w:tc>
          <w:tcPr>
            <w:tcW w:w="60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Net periodic beneft cost</w:t>
            </w:r>
          </w:p>
        </w:tc>
        <w:tc>
          <w:tcPr>
            <w:tcW w:w="11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65</w:t>
            </w:r>
          </w:p>
        </w:tc>
        <w:tc>
          <w:tcPr>
            <w:tcW w:w="420" w:type="dxa"/>
            <w:tcBorders>
              <w:bottom w:val="single" w:sz="8" w:space="0" w:color="auto"/>
            </w:tcBorders>
            <w:vAlign w:val="bottom"/>
          </w:tcPr>
          <w:p>
            <w:pPr>
              <w:spacing w:after="0" w:line="142" w:lineRule="exact"/>
              <w:ind w:right="24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50</w:t>
            </w: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08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62</w:t>
            </w:r>
          </w:p>
        </w:tc>
        <w:tc>
          <w:tcPr>
            <w:tcW w:w="20" w:type="dxa"/>
            <w:vAlign w:val="bottom"/>
          </w:tcPr>
          <w:p>
            <w:pPr>
              <w:spacing w:after="0"/>
              <w:rPr>
                <w:color w:val="auto"/>
                <w:sz w:val="12"/>
                <w:szCs w:val="12"/>
              </w:rPr>
            </w:pPr>
          </w:p>
        </w:tc>
      </w:tr>
      <w:tr>
        <w:tblPrEx>
          <w:tblInd w:w="0" w:type="dxa"/>
          <w:tblLayout w:type="fixed"/>
        </w:tblPrEx>
        <w:trPr>
          <w:trHeight w:val="20"/>
        </w:trPr>
        <w:tc>
          <w:tcPr>
            <w:tcW w:w="6040" w:type="dxa"/>
            <w:tcBorders>
              <w:bottom w:val="single" w:sz="8" w:space="0" w:color="auto"/>
            </w:tcBorders>
            <w:vAlign w:val="bottom"/>
          </w:tcPr>
          <w:p>
            <w:pPr>
              <w:spacing w:after="0" w:line="20" w:lineRule="exact"/>
              <w:rPr>
                <w:color w:val="auto"/>
                <w:sz w:val="1"/>
                <w:szCs w:val="1"/>
              </w:rPr>
            </w:pPr>
          </w:p>
        </w:tc>
        <w:tc>
          <w:tcPr>
            <w:tcW w:w="110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42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400" w:type="dxa"/>
            <w:tcBorders>
              <w:bottom w:val="single" w:sz="8" w:space="0" w:color="auto"/>
            </w:tcBorders>
            <w:vAlign w:val="bottom"/>
          </w:tcPr>
          <w:p>
            <w:pPr>
              <w:spacing w:after="0" w:line="20" w:lineRule="exact"/>
              <w:rPr>
                <w:color w:val="auto"/>
                <w:sz w:val="1"/>
                <w:szCs w:val="1"/>
              </w:rPr>
            </w:pPr>
          </w:p>
        </w:tc>
        <w:tc>
          <w:tcPr>
            <w:tcW w:w="1080" w:type="dxa"/>
            <w:tcBorders>
              <w:bottom w:val="single" w:sz="8" w:space="0" w:color="auto"/>
            </w:tcBorders>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r>
    </w:tbl>
    <w:p>
      <w:pPr>
        <w:spacing w:after="0" w:line="143"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components of net periodic beneft cost other than service cost are included in other expense, net in the consolidated statements of earnings.</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85</w:t>
      </w:r>
      <w:r>
        <w:rPr>
          <w:color w:val="auto"/>
          <w:sz w:val="20"/>
          <w:szCs w:val="20"/>
        </w:rPr>
        <w:tab/>
      </w:r>
      <w:r>
        <w:rPr>
          <w:color w:val="auto"/>
          <w:sz w:val="1"/>
          <w:szCs w:val="1"/>
        </w:rPr>
        <w:drawing>
          <wp:inline distT="0" distB="0" distL="0" distR="0">
            <wp:extent cx="400050" cy="7429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76352" behindDoc="1" locked="0" layoutInCell="0" allowOverlap="1">
            <wp:simplePos x="0" y="0"/>
            <wp:positionH relativeFrom="column">
              <wp:posOffset>-17145</wp:posOffset>
            </wp:positionH>
            <wp:positionV relativeFrom="paragraph">
              <wp:posOffset>128270</wp:posOffset>
            </wp:positionV>
            <wp:extent cx="7203440" cy="3683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87" w:name="page88"/>
    <w:bookmarkEnd w:id="87"/>
    <w:p>
      <w:pPr>
        <w:spacing w:after="0"/>
        <w:rPr>
          <w:color w:val="auto"/>
          <w:sz w:val="20"/>
          <w:szCs w:val="20"/>
        </w:rPr>
      </w:pPr>
      <w:r>
        <w:rPr>
          <w:rFonts w:ascii="Calibri" w:eastAsia="Calibri" w:hAnsi="Calibri" w:cs="Calibri"/>
          <w:i/>
          <w:iCs/>
          <w:color w:val="auto"/>
          <w:sz w:val="12"/>
          <w:szCs w:val="12"/>
        </w:rPr>
        <w:t>Weighted-Average Assumptons Used in Determining Beneft Obligatons at the Measurement Date</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5480"/>
        <w:gridCol w:w="3000"/>
        <w:gridCol w:w="1580"/>
        <w:gridCol w:w="1220"/>
      </w:tblGrid>
      <w:tr>
        <w:tblPrEx>
          <w:tblInd w:w="0" w:type="dxa"/>
          <w:tblLayout w:type="fixed"/>
        </w:tblPrEx>
        <w:trPr>
          <w:trHeight w:val="122"/>
        </w:trPr>
        <w:tc>
          <w:tcPr>
            <w:tcW w:w="5480" w:type="dxa"/>
            <w:vAlign w:val="bottom"/>
          </w:tcPr>
          <w:p>
            <w:pPr>
              <w:spacing w:after="0"/>
              <w:rPr>
                <w:color w:val="auto"/>
                <w:sz w:val="20"/>
                <w:szCs w:val="20"/>
              </w:rPr>
            </w:pPr>
            <w:r>
              <w:rPr>
                <w:rFonts w:ascii="Calibri" w:eastAsia="Calibri" w:hAnsi="Calibri" w:cs="Calibri"/>
                <w:b/>
                <w:bCs/>
                <w:color w:val="auto"/>
                <w:sz w:val="10"/>
                <w:szCs w:val="10"/>
              </w:rPr>
              <w:t>as of December 31</w:t>
            </w:r>
          </w:p>
        </w:tc>
        <w:tc>
          <w:tcPr>
            <w:tcW w:w="3000" w:type="dxa"/>
            <w:vAlign w:val="bottom"/>
          </w:tcPr>
          <w:p>
            <w:pPr>
              <w:spacing w:after="0"/>
              <w:rPr>
                <w:color w:val="auto"/>
                <w:sz w:val="10"/>
                <w:szCs w:val="10"/>
              </w:rPr>
            </w:pPr>
          </w:p>
        </w:tc>
        <w:tc>
          <w:tcPr>
            <w:tcW w:w="1580" w:type="dxa"/>
            <w:vAlign w:val="bottom"/>
          </w:tcPr>
          <w:p>
            <w:pPr>
              <w:spacing w:after="0"/>
              <w:ind w:right="962"/>
              <w:jc w:val="right"/>
              <w:rPr>
                <w:color w:val="auto"/>
                <w:sz w:val="20"/>
                <w:szCs w:val="20"/>
              </w:rPr>
            </w:pPr>
            <w:r>
              <w:rPr>
                <w:rFonts w:ascii="Calibri" w:eastAsia="Calibri" w:hAnsi="Calibri" w:cs="Calibri"/>
                <w:b/>
                <w:bCs/>
                <w:color w:val="auto"/>
                <w:sz w:val="10"/>
                <w:szCs w:val="10"/>
              </w:rPr>
              <w:t>2024</w:t>
            </w:r>
          </w:p>
        </w:tc>
        <w:tc>
          <w:tcPr>
            <w:tcW w:w="1220" w:type="dxa"/>
            <w:vAlign w:val="bottom"/>
          </w:tcPr>
          <w:p>
            <w:pPr>
              <w:spacing w:after="0"/>
              <w:ind w:right="602"/>
              <w:jc w:val="right"/>
              <w:rPr>
                <w:color w:val="auto"/>
                <w:sz w:val="20"/>
                <w:szCs w:val="20"/>
              </w:rPr>
            </w:pPr>
            <w:r>
              <w:rPr>
                <w:rFonts w:ascii="Calibri" w:eastAsia="Calibri" w:hAnsi="Calibri" w:cs="Calibri"/>
                <w:b/>
                <w:bCs/>
                <w:color w:val="auto"/>
                <w:sz w:val="10"/>
                <w:szCs w:val="10"/>
              </w:rPr>
              <w:t>2023</w:t>
            </w:r>
          </w:p>
        </w:tc>
      </w:tr>
      <w:tr>
        <w:tblPrEx>
          <w:tblInd w:w="0" w:type="dxa"/>
          <w:tblLayout w:type="fixed"/>
        </w:tblPrEx>
        <w:trPr>
          <w:trHeight w:val="32"/>
        </w:trPr>
        <w:tc>
          <w:tcPr>
            <w:tcW w:w="5480" w:type="dxa"/>
            <w:tcBorders>
              <w:bottom w:val="single" w:sz="8" w:space="0" w:color="auto"/>
            </w:tcBorders>
            <w:vAlign w:val="bottom"/>
          </w:tcPr>
          <w:p>
            <w:pPr>
              <w:spacing w:after="0"/>
              <w:rPr>
                <w:color w:val="auto"/>
                <w:sz w:val="2"/>
                <w:szCs w:val="2"/>
              </w:rPr>
            </w:pPr>
          </w:p>
        </w:tc>
        <w:tc>
          <w:tcPr>
            <w:tcW w:w="3000" w:type="dxa"/>
            <w:tcBorders>
              <w:bottom w:val="single" w:sz="8" w:space="0" w:color="auto"/>
            </w:tcBorders>
            <w:vAlign w:val="bottom"/>
          </w:tcPr>
          <w:p>
            <w:pPr>
              <w:spacing w:after="0"/>
              <w:rPr>
                <w:color w:val="auto"/>
                <w:sz w:val="2"/>
                <w:szCs w:val="2"/>
              </w:rPr>
            </w:pPr>
          </w:p>
        </w:tc>
        <w:tc>
          <w:tcPr>
            <w:tcW w:w="158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5480" w:type="dxa"/>
            <w:vAlign w:val="bottom"/>
          </w:tcPr>
          <w:p>
            <w:pPr>
              <w:spacing w:after="0" w:line="137" w:lineRule="exact"/>
              <w:rPr>
                <w:color w:val="auto"/>
                <w:sz w:val="20"/>
                <w:szCs w:val="20"/>
              </w:rPr>
            </w:pPr>
            <w:r>
              <w:rPr>
                <w:rFonts w:ascii="Calibri" w:eastAsia="Calibri" w:hAnsi="Calibri" w:cs="Calibri"/>
                <w:b/>
                <w:bCs/>
                <w:color w:val="auto"/>
                <w:sz w:val="12"/>
                <w:szCs w:val="12"/>
              </w:rPr>
              <w:t>Defned beneft plans</w:t>
            </w:r>
          </w:p>
        </w:tc>
        <w:tc>
          <w:tcPr>
            <w:tcW w:w="3000" w:type="dxa"/>
            <w:vAlign w:val="bottom"/>
          </w:tcPr>
          <w:p>
            <w:pPr>
              <w:spacing w:after="0"/>
              <w:rPr>
                <w:color w:val="auto"/>
                <w:sz w:val="11"/>
                <w:szCs w:val="11"/>
              </w:rPr>
            </w:pPr>
          </w:p>
        </w:tc>
        <w:tc>
          <w:tcPr>
            <w:tcW w:w="1580" w:type="dxa"/>
            <w:vAlign w:val="bottom"/>
          </w:tcPr>
          <w:p>
            <w:pPr>
              <w:spacing w:after="0"/>
              <w:rPr>
                <w:color w:val="auto"/>
                <w:sz w:val="11"/>
                <w:szCs w:val="11"/>
              </w:rPr>
            </w:pPr>
          </w:p>
        </w:tc>
        <w:tc>
          <w:tcPr>
            <w:tcW w:w="1220" w:type="dxa"/>
            <w:vAlign w:val="bottom"/>
          </w:tcPr>
          <w:p>
            <w:pPr>
              <w:spacing w:after="0"/>
              <w:rPr>
                <w:color w:val="auto"/>
                <w:sz w:val="11"/>
                <w:szCs w:val="11"/>
              </w:rPr>
            </w:pPr>
          </w:p>
        </w:tc>
      </w:tr>
      <w:tr>
        <w:tblPrEx>
          <w:tblInd w:w="0" w:type="dxa"/>
          <w:tblLayout w:type="fixed"/>
        </w:tblPrEx>
        <w:trPr>
          <w:trHeight w:val="159"/>
        </w:trPr>
        <w:tc>
          <w:tcPr>
            <w:tcW w:w="5480" w:type="dxa"/>
            <w:shd w:val="clear" w:color="auto" w:fill="CCEEFF"/>
            <w:vAlign w:val="bottom"/>
          </w:tcPr>
          <w:p>
            <w:pPr>
              <w:spacing w:after="0"/>
              <w:rPr>
                <w:color w:val="auto"/>
                <w:sz w:val="20"/>
                <w:szCs w:val="20"/>
              </w:rPr>
            </w:pPr>
            <w:r>
              <w:rPr>
                <w:rFonts w:ascii="Calibri" w:eastAsia="Calibri" w:hAnsi="Calibri" w:cs="Calibri"/>
                <w:color w:val="auto"/>
                <w:sz w:val="12"/>
                <w:szCs w:val="12"/>
              </w:rPr>
              <w:t>Discount rate</w:t>
            </w:r>
          </w:p>
        </w:tc>
        <w:tc>
          <w:tcPr>
            <w:tcW w:w="3000" w:type="dxa"/>
            <w:shd w:val="clear" w:color="auto" w:fill="CCEEFF"/>
            <w:vAlign w:val="bottom"/>
          </w:tcPr>
          <w:p>
            <w:pPr>
              <w:spacing w:after="0"/>
              <w:rPr>
                <w:color w:val="auto"/>
                <w:sz w:val="13"/>
                <w:szCs w:val="13"/>
              </w:rPr>
            </w:pPr>
          </w:p>
        </w:tc>
        <w:tc>
          <w:tcPr>
            <w:tcW w:w="1580" w:type="dxa"/>
            <w:shd w:val="clear" w:color="auto" w:fill="CCEEFF"/>
            <w:vAlign w:val="bottom"/>
          </w:tcPr>
          <w:p>
            <w:pPr>
              <w:spacing w:after="0"/>
              <w:ind w:right="322"/>
              <w:jc w:val="right"/>
              <w:rPr>
                <w:color w:val="auto"/>
                <w:sz w:val="20"/>
                <w:szCs w:val="20"/>
              </w:rPr>
            </w:pPr>
            <w:r>
              <w:rPr>
                <w:rFonts w:ascii="Calibri" w:eastAsia="Calibri" w:hAnsi="Calibri" w:cs="Calibri"/>
                <w:color w:val="auto"/>
                <w:sz w:val="12"/>
                <w:szCs w:val="12"/>
              </w:rPr>
              <w:t>5.4 %</w:t>
            </w:r>
          </w:p>
        </w:tc>
        <w:tc>
          <w:tcPr>
            <w:tcW w:w="12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4.8 %</w:t>
            </w:r>
          </w:p>
        </w:tc>
      </w:tr>
      <w:tr>
        <w:tblPrEx>
          <w:tblInd w:w="0" w:type="dxa"/>
          <w:tblLayout w:type="fixed"/>
        </w:tblPrEx>
        <w:trPr>
          <w:trHeight w:val="147"/>
        </w:trPr>
        <w:tc>
          <w:tcPr>
            <w:tcW w:w="5480" w:type="dxa"/>
            <w:vAlign w:val="bottom"/>
          </w:tcPr>
          <w:p>
            <w:pPr>
              <w:spacing w:after="0" w:line="142" w:lineRule="exact"/>
              <w:rPr>
                <w:color w:val="auto"/>
                <w:sz w:val="20"/>
                <w:szCs w:val="20"/>
              </w:rPr>
            </w:pPr>
            <w:r>
              <w:rPr>
                <w:rFonts w:ascii="Calibri" w:eastAsia="Calibri" w:hAnsi="Calibri" w:cs="Calibri"/>
                <w:color w:val="auto"/>
                <w:sz w:val="12"/>
                <w:szCs w:val="12"/>
              </w:rPr>
              <w:t>Rate of compensaton increases</w:t>
            </w:r>
          </w:p>
        </w:tc>
        <w:tc>
          <w:tcPr>
            <w:tcW w:w="3000" w:type="dxa"/>
            <w:vAlign w:val="bottom"/>
          </w:tcPr>
          <w:p>
            <w:pPr>
              <w:spacing w:after="0"/>
              <w:rPr>
                <w:color w:val="auto"/>
                <w:sz w:val="12"/>
                <w:szCs w:val="12"/>
              </w:rPr>
            </w:pPr>
          </w:p>
        </w:tc>
        <w:tc>
          <w:tcPr>
            <w:tcW w:w="1580" w:type="dxa"/>
            <w:vAlign w:val="bottom"/>
          </w:tcPr>
          <w:p>
            <w:pPr>
              <w:spacing w:after="0" w:line="142" w:lineRule="exact"/>
              <w:ind w:right="322"/>
              <w:jc w:val="right"/>
              <w:rPr>
                <w:color w:val="auto"/>
                <w:sz w:val="20"/>
                <w:szCs w:val="20"/>
              </w:rPr>
            </w:pPr>
            <w:r>
              <w:rPr>
                <w:rFonts w:ascii="Calibri" w:eastAsia="Calibri" w:hAnsi="Calibri" w:cs="Calibri"/>
                <w:color w:val="auto"/>
                <w:sz w:val="12"/>
                <w:szCs w:val="12"/>
              </w:rPr>
              <w:t>4.4 %</w:t>
            </w:r>
          </w:p>
        </w:tc>
        <w:tc>
          <w:tcPr>
            <w:tcW w:w="1220" w:type="dxa"/>
            <w:vAlign w:val="bottom"/>
          </w:tcPr>
          <w:p>
            <w:pPr>
              <w:spacing w:after="0" w:line="142" w:lineRule="exact"/>
              <w:jc w:val="right"/>
              <w:rPr>
                <w:color w:val="auto"/>
                <w:sz w:val="20"/>
                <w:szCs w:val="20"/>
              </w:rPr>
            </w:pPr>
            <w:r>
              <w:rPr>
                <w:rFonts w:ascii="Calibri" w:eastAsia="Calibri" w:hAnsi="Calibri" w:cs="Calibri"/>
                <w:color w:val="auto"/>
                <w:sz w:val="12"/>
                <w:szCs w:val="12"/>
              </w:rPr>
              <w:t>4.8 %</w:t>
            </w:r>
          </w:p>
        </w:tc>
      </w:tr>
      <w:tr>
        <w:tblPrEx>
          <w:tblInd w:w="0" w:type="dxa"/>
          <w:tblLayout w:type="fixed"/>
        </w:tblPrEx>
        <w:trPr>
          <w:trHeight w:val="159"/>
        </w:trPr>
        <w:tc>
          <w:tcPr>
            <w:tcW w:w="5480" w:type="dxa"/>
            <w:shd w:val="clear" w:color="auto" w:fill="CCEEFF"/>
            <w:vAlign w:val="bottom"/>
          </w:tcPr>
          <w:p>
            <w:pPr>
              <w:spacing w:after="0"/>
              <w:rPr>
                <w:color w:val="auto"/>
                <w:sz w:val="20"/>
                <w:szCs w:val="20"/>
              </w:rPr>
            </w:pPr>
            <w:r>
              <w:rPr>
                <w:rFonts w:ascii="Calibri" w:eastAsia="Calibri" w:hAnsi="Calibri" w:cs="Calibri"/>
                <w:color w:val="auto"/>
                <w:sz w:val="12"/>
                <w:szCs w:val="12"/>
              </w:rPr>
              <w:t>Cash balance interest creditng rate</w:t>
            </w:r>
          </w:p>
        </w:tc>
        <w:tc>
          <w:tcPr>
            <w:tcW w:w="3000" w:type="dxa"/>
            <w:shd w:val="clear" w:color="auto" w:fill="CCEEFF"/>
            <w:vAlign w:val="bottom"/>
          </w:tcPr>
          <w:p>
            <w:pPr>
              <w:spacing w:after="0"/>
              <w:rPr>
                <w:color w:val="auto"/>
                <w:sz w:val="13"/>
                <w:szCs w:val="13"/>
              </w:rPr>
            </w:pPr>
          </w:p>
        </w:tc>
        <w:tc>
          <w:tcPr>
            <w:tcW w:w="1580" w:type="dxa"/>
            <w:shd w:val="clear" w:color="auto" w:fill="CCEEFF"/>
            <w:vAlign w:val="bottom"/>
          </w:tcPr>
          <w:p>
            <w:pPr>
              <w:spacing w:after="0"/>
              <w:ind w:right="322"/>
              <w:jc w:val="right"/>
              <w:rPr>
                <w:color w:val="auto"/>
                <w:sz w:val="20"/>
                <w:szCs w:val="20"/>
              </w:rPr>
            </w:pPr>
            <w:r>
              <w:rPr>
                <w:rFonts w:ascii="Calibri" w:eastAsia="Calibri" w:hAnsi="Calibri" w:cs="Calibri"/>
                <w:color w:val="auto"/>
                <w:sz w:val="12"/>
                <w:szCs w:val="12"/>
              </w:rPr>
              <w:t>4.0 %</w:t>
            </w:r>
          </w:p>
        </w:tc>
        <w:tc>
          <w:tcPr>
            <w:tcW w:w="12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4.4 %</w:t>
            </w:r>
          </w:p>
        </w:tc>
      </w:tr>
      <w:tr>
        <w:tblPrEx>
          <w:tblInd w:w="0" w:type="dxa"/>
          <w:tblLayout w:type="fixed"/>
        </w:tblPrEx>
        <w:trPr>
          <w:trHeight w:val="147"/>
        </w:trPr>
        <w:tc>
          <w:tcPr>
            <w:tcW w:w="5480" w:type="dxa"/>
            <w:vAlign w:val="bottom"/>
          </w:tcPr>
          <w:p>
            <w:pPr>
              <w:spacing w:after="0" w:line="142" w:lineRule="exact"/>
              <w:rPr>
                <w:color w:val="auto"/>
                <w:sz w:val="20"/>
                <w:szCs w:val="20"/>
              </w:rPr>
            </w:pPr>
            <w:r>
              <w:rPr>
                <w:rFonts w:ascii="Calibri" w:eastAsia="Calibri" w:hAnsi="Calibri" w:cs="Calibri"/>
                <w:b/>
                <w:bCs/>
                <w:color w:val="auto"/>
                <w:sz w:val="12"/>
                <w:szCs w:val="12"/>
              </w:rPr>
              <w:t>Other post-employment plans</w:t>
            </w:r>
          </w:p>
        </w:tc>
        <w:tc>
          <w:tcPr>
            <w:tcW w:w="3000" w:type="dxa"/>
            <w:vAlign w:val="bottom"/>
          </w:tcPr>
          <w:p>
            <w:pPr>
              <w:spacing w:after="0"/>
              <w:rPr>
                <w:color w:val="auto"/>
                <w:sz w:val="12"/>
                <w:szCs w:val="12"/>
              </w:rPr>
            </w:pPr>
          </w:p>
        </w:tc>
        <w:tc>
          <w:tcPr>
            <w:tcW w:w="1580" w:type="dxa"/>
            <w:vAlign w:val="bottom"/>
          </w:tcPr>
          <w:p>
            <w:pPr>
              <w:spacing w:after="0"/>
              <w:rPr>
                <w:color w:val="auto"/>
                <w:sz w:val="12"/>
                <w:szCs w:val="12"/>
              </w:rPr>
            </w:pPr>
          </w:p>
        </w:tc>
        <w:tc>
          <w:tcPr>
            <w:tcW w:w="1220" w:type="dxa"/>
            <w:vAlign w:val="bottom"/>
          </w:tcPr>
          <w:p>
            <w:pPr>
              <w:spacing w:after="0"/>
              <w:rPr>
                <w:color w:val="auto"/>
                <w:sz w:val="12"/>
                <w:szCs w:val="12"/>
              </w:rPr>
            </w:pPr>
          </w:p>
        </w:tc>
      </w:tr>
      <w:tr>
        <w:tblPrEx>
          <w:tblInd w:w="0" w:type="dxa"/>
          <w:tblLayout w:type="fixed"/>
        </w:tblPrEx>
        <w:trPr>
          <w:trHeight w:val="153"/>
        </w:trPr>
        <w:tc>
          <w:tcPr>
            <w:tcW w:w="548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Discount rate</w:t>
            </w:r>
          </w:p>
        </w:tc>
        <w:tc>
          <w:tcPr>
            <w:tcW w:w="3000" w:type="dxa"/>
            <w:tcBorders>
              <w:bottom w:val="single" w:sz="8" w:space="0" w:color="auto"/>
            </w:tcBorders>
            <w:shd w:val="clear" w:color="auto" w:fill="CCEEFF"/>
            <w:vAlign w:val="bottom"/>
          </w:tcPr>
          <w:p>
            <w:pPr>
              <w:spacing w:after="0"/>
              <w:rPr>
                <w:color w:val="auto"/>
                <w:sz w:val="13"/>
                <w:szCs w:val="13"/>
              </w:rPr>
            </w:pPr>
          </w:p>
        </w:tc>
        <w:tc>
          <w:tcPr>
            <w:tcW w:w="1580" w:type="dxa"/>
            <w:tcBorders>
              <w:bottom w:val="single" w:sz="8" w:space="0" w:color="auto"/>
            </w:tcBorders>
            <w:shd w:val="clear" w:color="auto" w:fill="CCEEFF"/>
            <w:vAlign w:val="bottom"/>
          </w:tcPr>
          <w:p>
            <w:pPr>
              <w:spacing w:after="0"/>
              <w:ind w:right="322"/>
              <w:jc w:val="right"/>
              <w:rPr>
                <w:color w:val="auto"/>
                <w:sz w:val="20"/>
                <w:szCs w:val="20"/>
              </w:rPr>
            </w:pPr>
            <w:r>
              <w:rPr>
                <w:rFonts w:ascii="Calibri" w:eastAsia="Calibri" w:hAnsi="Calibri" w:cs="Calibri"/>
                <w:color w:val="auto"/>
                <w:sz w:val="12"/>
                <w:szCs w:val="12"/>
              </w:rPr>
              <w:t>5.7 %</w:t>
            </w:r>
          </w:p>
        </w:tc>
        <w:tc>
          <w:tcPr>
            <w:tcW w:w="12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5.1 %</w:t>
            </w:r>
          </w:p>
        </w:tc>
      </w:tr>
      <w:tr>
        <w:tblPrEx>
          <w:tblInd w:w="0" w:type="dxa"/>
          <w:tblLayout w:type="fixed"/>
        </w:tblPrEx>
        <w:trPr>
          <w:trHeight w:val="302"/>
        </w:trPr>
        <w:tc>
          <w:tcPr>
            <w:tcW w:w="8480" w:type="dxa"/>
            <w:gridSpan w:val="2"/>
            <w:vAlign w:val="bottom"/>
          </w:tcPr>
          <w:p>
            <w:pPr>
              <w:spacing w:after="0"/>
              <w:ind w:right="302"/>
              <w:jc w:val="right"/>
              <w:rPr>
                <w:color w:val="auto"/>
                <w:sz w:val="20"/>
                <w:szCs w:val="20"/>
              </w:rPr>
            </w:pPr>
            <w:r>
              <w:rPr>
                <w:rFonts w:ascii="Calibri" w:eastAsia="Calibri" w:hAnsi="Calibri" w:cs="Calibri"/>
                <w:color w:val="auto"/>
                <w:sz w:val="12"/>
                <w:szCs w:val="12"/>
              </w:rPr>
              <w:t>The assumptons used in calculatng the December 31, 2024 measurement date beneft obligatons will be used in the calculaton of net periodic beneft cost in 2025.</w:t>
            </w:r>
          </w:p>
        </w:tc>
        <w:tc>
          <w:tcPr>
            <w:tcW w:w="1580" w:type="dxa"/>
            <w:vAlign w:val="bottom"/>
          </w:tcPr>
          <w:p>
            <w:pPr>
              <w:spacing w:after="0"/>
              <w:rPr>
                <w:color w:val="auto"/>
                <w:sz w:val="24"/>
                <w:szCs w:val="24"/>
              </w:rPr>
            </w:pPr>
          </w:p>
        </w:tc>
        <w:tc>
          <w:tcPr>
            <w:tcW w:w="1220" w:type="dxa"/>
            <w:vAlign w:val="bottom"/>
          </w:tcPr>
          <w:p>
            <w:pPr>
              <w:spacing w:after="0"/>
              <w:rPr>
                <w:color w:val="auto"/>
                <w:sz w:val="24"/>
                <w:szCs w:val="24"/>
              </w:rPr>
            </w:pPr>
          </w:p>
        </w:tc>
      </w:tr>
      <w:tr>
        <w:tblPrEx>
          <w:tblInd w:w="0" w:type="dxa"/>
          <w:tblLayout w:type="fixed"/>
        </w:tblPrEx>
        <w:trPr>
          <w:trHeight w:val="243"/>
        </w:trPr>
        <w:tc>
          <w:tcPr>
            <w:tcW w:w="5480" w:type="dxa"/>
            <w:vAlign w:val="bottom"/>
          </w:tcPr>
          <w:p>
            <w:pPr>
              <w:spacing w:after="0"/>
              <w:rPr>
                <w:color w:val="auto"/>
                <w:sz w:val="20"/>
                <w:szCs w:val="20"/>
              </w:rPr>
            </w:pPr>
            <w:r>
              <w:rPr>
                <w:rFonts w:ascii="Calibri" w:eastAsia="Calibri" w:hAnsi="Calibri" w:cs="Calibri"/>
                <w:i/>
                <w:iCs/>
                <w:color w:val="auto"/>
                <w:sz w:val="12"/>
                <w:szCs w:val="12"/>
              </w:rPr>
              <w:t>Weighted-Average Assumptons Used in Determining Net Periodic Beneft Cost</w:t>
            </w:r>
          </w:p>
        </w:tc>
        <w:tc>
          <w:tcPr>
            <w:tcW w:w="3000" w:type="dxa"/>
            <w:vAlign w:val="bottom"/>
          </w:tcPr>
          <w:p>
            <w:pPr>
              <w:spacing w:after="0"/>
              <w:rPr>
                <w:color w:val="auto"/>
                <w:sz w:val="21"/>
                <w:szCs w:val="21"/>
              </w:rPr>
            </w:pPr>
          </w:p>
        </w:tc>
        <w:tc>
          <w:tcPr>
            <w:tcW w:w="1580" w:type="dxa"/>
            <w:vAlign w:val="bottom"/>
          </w:tcPr>
          <w:p>
            <w:pPr>
              <w:spacing w:after="0"/>
              <w:rPr>
                <w:color w:val="auto"/>
                <w:sz w:val="21"/>
                <w:szCs w:val="21"/>
              </w:rPr>
            </w:pPr>
          </w:p>
        </w:tc>
        <w:tc>
          <w:tcPr>
            <w:tcW w:w="1220" w:type="dxa"/>
            <w:vAlign w:val="bottom"/>
          </w:tcPr>
          <w:p>
            <w:pPr>
              <w:spacing w:after="0"/>
              <w:rPr>
                <w:color w:val="auto"/>
                <w:sz w:val="21"/>
                <w:szCs w:val="21"/>
              </w:rPr>
            </w:pPr>
          </w:p>
        </w:tc>
      </w:tr>
      <w:tr>
        <w:tblPrEx>
          <w:tblInd w:w="0" w:type="dxa"/>
          <w:tblLayout w:type="fixed"/>
        </w:tblPrEx>
        <w:trPr>
          <w:trHeight w:val="138"/>
        </w:trPr>
        <w:tc>
          <w:tcPr>
            <w:tcW w:w="5480" w:type="dxa"/>
            <w:vAlign w:val="bottom"/>
          </w:tcPr>
          <w:p>
            <w:pPr>
              <w:spacing w:after="0"/>
              <w:rPr>
                <w:color w:val="auto"/>
                <w:sz w:val="20"/>
                <w:szCs w:val="20"/>
              </w:rPr>
            </w:pPr>
            <w:r>
              <w:rPr>
                <w:rFonts w:ascii="Calibri" w:eastAsia="Calibri" w:hAnsi="Calibri" w:cs="Calibri"/>
                <w:b/>
                <w:bCs/>
                <w:color w:val="auto"/>
                <w:sz w:val="10"/>
                <w:szCs w:val="10"/>
              </w:rPr>
              <w:t>years ended December 31</w:t>
            </w:r>
          </w:p>
        </w:tc>
        <w:tc>
          <w:tcPr>
            <w:tcW w:w="3000" w:type="dxa"/>
            <w:vAlign w:val="bottom"/>
          </w:tcPr>
          <w:p>
            <w:pPr>
              <w:spacing w:after="0"/>
              <w:ind w:right="942"/>
              <w:jc w:val="right"/>
              <w:rPr>
                <w:color w:val="auto"/>
                <w:sz w:val="20"/>
                <w:szCs w:val="20"/>
              </w:rPr>
            </w:pPr>
            <w:r>
              <w:rPr>
                <w:rFonts w:ascii="Calibri" w:eastAsia="Calibri" w:hAnsi="Calibri" w:cs="Calibri"/>
                <w:b/>
                <w:bCs/>
                <w:color w:val="auto"/>
                <w:sz w:val="10"/>
                <w:szCs w:val="10"/>
              </w:rPr>
              <w:t>2024</w:t>
            </w:r>
          </w:p>
        </w:tc>
        <w:tc>
          <w:tcPr>
            <w:tcW w:w="1580" w:type="dxa"/>
            <w:vAlign w:val="bottom"/>
          </w:tcPr>
          <w:p>
            <w:pPr>
              <w:spacing w:after="0"/>
              <w:ind w:right="942"/>
              <w:jc w:val="right"/>
              <w:rPr>
                <w:color w:val="auto"/>
                <w:sz w:val="20"/>
                <w:szCs w:val="20"/>
              </w:rPr>
            </w:pPr>
            <w:r>
              <w:rPr>
                <w:rFonts w:ascii="Calibri" w:eastAsia="Calibri" w:hAnsi="Calibri" w:cs="Calibri"/>
                <w:b/>
                <w:bCs/>
                <w:color w:val="auto"/>
                <w:sz w:val="10"/>
                <w:szCs w:val="10"/>
              </w:rPr>
              <w:t>2023</w:t>
            </w:r>
          </w:p>
        </w:tc>
        <w:tc>
          <w:tcPr>
            <w:tcW w:w="1220" w:type="dxa"/>
            <w:vAlign w:val="bottom"/>
          </w:tcPr>
          <w:p>
            <w:pPr>
              <w:spacing w:after="0"/>
              <w:ind w:right="582"/>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5480" w:type="dxa"/>
            <w:tcBorders>
              <w:bottom w:val="single" w:sz="8" w:space="0" w:color="auto"/>
            </w:tcBorders>
            <w:vAlign w:val="bottom"/>
          </w:tcPr>
          <w:p>
            <w:pPr>
              <w:spacing w:after="0"/>
              <w:rPr>
                <w:color w:val="auto"/>
                <w:sz w:val="2"/>
                <w:szCs w:val="2"/>
              </w:rPr>
            </w:pPr>
          </w:p>
        </w:tc>
        <w:tc>
          <w:tcPr>
            <w:tcW w:w="3000" w:type="dxa"/>
            <w:tcBorders>
              <w:bottom w:val="single" w:sz="8" w:space="0" w:color="auto"/>
            </w:tcBorders>
            <w:vAlign w:val="bottom"/>
          </w:tcPr>
          <w:p>
            <w:pPr>
              <w:spacing w:after="0"/>
              <w:rPr>
                <w:color w:val="auto"/>
                <w:sz w:val="2"/>
                <w:szCs w:val="2"/>
              </w:rPr>
            </w:pPr>
          </w:p>
        </w:tc>
        <w:tc>
          <w:tcPr>
            <w:tcW w:w="158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5480" w:type="dxa"/>
            <w:vAlign w:val="bottom"/>
          </w:tcPr>
          <w:p>
            <w:pPr>
              <w:spacing w:after="0" w:line="137" w:lineRule="exact"/>
              <w:rPr>
                <w:color w:val="auto"/>
                <w:sz w:val="20"/>
                <w:szCs w:val="20"/>
              </w:rPr>
            </w:pPr>
            <w:r>
              <w:rPr>
                <w:rFonts w:ascii="Calibri" w:eastAsia="Calibri" w:hAnsi="Calibri" w:cs="Calibri"/>
                <w:b/>
                <w:bCs/>
                <w:color w:val="auto"/>
                <w:sz w:val="12"/>
                <w:szCs w:val="12"/>
              </w:rPr>
              <w:t>Defned beneft plans</w:t>
            </w:r>
          </w:p>
        </w:tc>
        <w:tc>
          <w:tcPr>
            <w:tcW w:w="3000" w:type="dxa"/>
            <w:vAlign w:val="bottom"/>
          </w:tcPr>
          <w:p>
            <w:pPr>
              <w:spacing w:after="0"/>
              <w:rPr>
                <w:color w:val="auto"/>
                <w:sz w:val="11"/>
                <w:szCs w:val="11"/>
              </w:rPr>
            </w:pPr>
          </w:p>
        </w:tc>
        <w:tc>
          <w:tcPr>
            <w:tcW w:w="1580" w:type="dxa"/>
            <w:vAlign w:val="bottom"/>
          </w:tcPr>
          <w:p>
            <w:pPr>
              <w:spacing w:after="0"/>
              <w:rPr>
                <w:color w:val="auto"/>
                <w:sz w:val="11"/>
                <w:szCs w:val="11"/>
              </w:rPr>
            </w:pPr>
          </w:p>
        </w:tc>
        <w:tc>
          <w:tcPr>
            <w:tcW w:w="1220" w:type="dxa"/>
            <w:vAlign w:val="bottom"/>
          </w:tcPr>
          <w:p>
            <w:pPr>
              <w:spacing w:after="0"/>
              <w:rPr>
                <w:color w:val="auto"/>
                <w:sz w:val="11"/>
                <w:szCs w:val="11"/>
              </w:rPr>
            </w:pPr>
          </w:p>
        </w:tc>
      </w:tr>
      <w:tr>
        <w:tblPrEx>
          <w:tblInd w:w="0" w:type="dxa"/>
          <w:tblLayout w:type="fixed"/>
        </w:tblPrEx>
        <w:trPr>
          <w:trHeight w:val="159"/>
        </w:trPr>
        <w:tc>
          <w:tcPr>
            <w:tcW w:w="5480" w:type="dxa"/>
            <w:shd w:val="clear" w:color="auto" w:fill="CCEEFF"/>
            <w:vAlign w:val="bottom"/>
          </w:tcPr>
          <w:p>
            <w:pPr>
              <w:spacing w:after="0"/>
              <w:rPr>
                <w:color w:val="auto"/>
                <w:sz w:val="20"/>
                <w:szCs w:val="20"/>
              </w:rPr>
            </w:pPr>
            <w:r>
              <w:rPr>
                <w:rFonts w:ascii="Calibri" w:eastAsia="Calibri" w:hAnsi="Calibri" w:cs="Calibri"/>
                <w:color w:val="auto"/>
                <w:sz w:val="12"/>
                <w:szCs w:val="12"/>
              </w:rPr>
              <w:t>Discount rate for determining service cost</w:t>
            </w:r>
          </w:p>
        </w:tc>
        <w:tc>
          <w:tcPr>
            <w:tcW w:w="3000" w:type="dxa"/>
            <w:shd w:val="clear" w:color="auto" w:fill="CCEEFF"/>
            <w:vAlign w:val="bottom"/>
          </w:tcPr>
          <w:p>
            <w:pPr>
              <w:spacing w:after="0"/>
              <w:ind w:right="302"/>
              <w:jc w:val="right"/>
              <w:rPr>
                <w:color w:val="auto"/>
                <w:sz w:val="20"/>
                <w:szCs w:val="20"/>
              </w:rPr>
            </w:pPr>
            <w:r>
              <w:rPr>
                <w:rFonts w:ascii="Calibri" w:eastAsia="Calibri" w:hAnsi="Calibri" w:cs="Calibri"/>
                <w:color w:val="auto"/>
                <w:sz w:val="12"/>
                <w:szCs w:val="12"/>
              </w:rPr>
              <w:t>4.8 %</w:t>
            </w:r>
          </w:p>
        </w:tc>
        <w:tc>
          <w:tcPr>
            <w:tcW w:w="1580" w:type="dxa"/>
            <w:shd w:val="clear" w:color="auto" w:fill="CCEEFF"/>
            <w:vAlign w:val="bottom"/>
          </w:tcPr>
          <w:p>
            <w:pPr>
              <w:spacing w:after="0"/>
              <w:ind w:right="322"/>
              <w:jc w:val="right"/>
              <w:rPr>
                <w:color w:val="auto"/>
                <w:sz w:val="20"/>
                <w:szCs w:val="20"/>
              </w:rPr>
            </w:pPr>
            <w:r>
              <w:rPr>
                <w:rFonts w:ascii="Calibri" w:eastAsia="Calibri" w:hAnsi="Calibri" w:cs="Calibri"/>
                <w:color w:val="auto"/>
                <w:sz w:val="12"/>
                <w:szCs w:val="12"/>
              </w:rPr>
              <w:t>5.0 %</w:t>
            </w:r>
          </w:p>
        </w:tc>
        <w:tc>
          <w:tcPr>
            <w:tcW w:w="12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3.0 %</w:t>
            </w:r>
          </w:p>
        </w:tc>
      </w:tr>
      <w:tr>
        <w:tblPrEx>
          <w:tblInd w:w="0" w:type="dxa"/>
          <w:tblLayout w:type="fixed"/>
        </w:tblPrEx>
        <w:trPr>
          <w:trHeight w:val="147"/>
        </w:trPr>
        <w:tc>
          <w:tcPr>
            <w:tcW w:w="5480" w:type="dxa"/>
            <w:vAlign w:val="bottom"/>
          </w:tcPr>
          <w:p>
            <w:pPr>
              <w:spacing w:after="0" w:line="142" w:lineRule="exact"/>
              <w:rPr>
                <w:color w:val="auto"/>
                <w:sz w:val="20"/>
                <w:szCs w:val="20"/>
              </w:rPr>
            </w:pPr>
            <w:r>
              <w:rPr>
                <w:rFonts w:ascii="Calibri" w:eastAsia="Calibri" w:hAnsi="Calibri" w:cs="Calibri"/>
                <w:color w:val="auto"/>
                <w:sz w:val="12"/>
                <w:szCs w:val="12"/>
              </w:rPr>
              <w:t>Discount rate for determining interest cost</w:t>
            </w:r>
          </w:p>
        </w:tc>
        <w:tc>
          <w:tcPr>
            <w:tcW w:w="3000" w:type="dxa"/>
            <w:vAlign w:val="bottom"/>
          </w:tcPr>
          <w:p>
            <w:pPr>
              <w:spacing w:after="0" w:line="142" w:lineRule="exact"/>
              <w:ind w:right="302"/>
              <w:jc w:val="right"/>
              <w:rPr>
                <w:color w:val="auto"/>
                <w:sz w:val="20"/>
                <w:szCs w:val="20"/>
              </w:rPr>
            </w:pPr>
            <w:r>
              <w:rPr>
                <w:rFonts w:ascii="Calibri" w:eastAsia="Calibri" w:hAnsi="Calibri" w:cs="Calibri"/>
                <w:color w:val="auto"/>
                <w:sz w:val="12"/>
                <w:szCs w:val="12"/>
              </w:rPr>
              <w:t>4.8 %</w:t>
            </w:r>
          </w:p>
        </w:tc>
        <w:tc>
          <w:tcPr>
            <w:tcW w:w="1580" w:type="dxa"/>
            <w:vAlign w:val="bottom"/>
          </w:tcPr>
          <w:p>
            <w:pPr>
              <w:spacing w:after="0" w:line="142" w:lineRule="exact"/>
              <w:ind w:right="322"/>
              <w:jc w:val="right"/>
              <w:rPr>
                <w:color w:val="auto"/>
                <w:sz w:val="20"/>
                <w:szCs w:val="20"/>
              </w:rPr>
            </w:pPr>
            <w:r>
              <w:rPr>
                <w:rFonts w:ascii="Calibri" w:eastAsia="Calibri" w:hAnsi="Calibri" w:cs="Calibri"/>
                <w:color w:val="auto"/>
                <w:sz w:val="12"/>
                <w:szCs w:val="12"/>
              </w:rPr>
              <w:t>4.9 %</w:t>
            </w:r>
          </w:p>
        </w:tc>
        <w:tc>
          <w:tcPr>
            <w:tcW w:w="1220" w:type="dxa"/>
            <w:vAlign w:val="bottom"/>
          </w:tcPr>
          <w:p>
            <w:pPr>
              <w:spacing w:after="0" w:line="142" w:lineRule="exact"/>
              <w:jc w:val="right"/>
              <w:rPr>
                <w:color w:val="auto"/>
                <w:sz w:val="20"/>
                <w:szCs w:val="20"/>
              </w:rPr>
            </w:pPr>
            <w:r>
              <w:rPr>
                <w:rFonts w:ascii="Calibri" w:eastAsia="Calibri" w:hAnsi="Calibri" w:cs="Calibri"/>
                <w:color w:val="auto"/>
                <w:sz w:val="12"/>
                <w:szCs w:val="12"/>
              </w:rPr>
              <w:t>2.6 %</w:t>
            </w:r>
          </w:p>
        </w:tc>
      </w:tr>
      <w:tr>
        <w:tblPrEx>
          <w:tblInd w:w="0" w:type="dxa"/>
          <w:tblLayout w:type="fixed"/>
        </w:tblPrEx>
        <w:trPr>
          <w:trHeight w:val="159"/>
        </w:trPr>
        <w:tc>
          <w:tcPr>
            <w:tcW w:w="5480" w:type="dxa"/>
            <w:shd w:val="clear" w:color="auto" w:fill="CCEEFF"/>
            <w:vAlign w:val="bottom"/>
          </w:tcPr>
          <w:p>
            <w:pPr>
              <w:spacing w:after="0"/>
              <w:rPr>
                <w:color w:val="auto"/>
                <w:sz w:val="20"/>
                <w:szCs w:val="20"/>
              </w:rPr>
            </w:pPr>
            <w:r>
              <w:rPr>
                <w:rFonts w:ascii="Calibri" w:eastAsia="Calibri" w:hAnsi="Calibri" w:cs="Calibri"/>
                <w:color w:val="auto"/>
                <w:sz w:val="12"/>
                <w:szCs w:val="12"/>
              </w:rPr>
              <w:t>Expected long-term rate of return on plan assets</w:t>
            </w:r>
          </w:p>
        </w:tc>
        <w:tc>
          <w:tcPr>
            <w:tcW w:w="3000" w:type="dxa"/>
            <w:shd w:val="clear" w:color="auto" w:fill="CCEEFF"/>
            <w:vAlign w:val="bottom"/>
          </w:tcPr>
          <w:p>
            <w:pPr>
              <w:spacing w:after="0"/>
              <w:ind w:right="302"/>
              <w:jc w:val="right"/>
              <w:rPr>
                <w:color w:val="auto"/>
                <w:sz w:val="20"/>
                <w:szCs w:val="20"/>
              </w:rPr>
            </w:pPr>
            <w:r>
              <w:rPr>
                <w:rFonts w:ascii="Calibri" w:eastAsia="Calibri" w:hAnsi="Calibri" w:cs="Calibri"/>
                <w:color w:val="auto"/>
                <w:sz w:val="12"/>
                <w:szCs w:val="12"/>
              </w:rPr>
              <w:t>7.5 %</w:t>
            </w:r>
          </w:p>
        </w:tc>
        <w:tc>
          <w:tcPr>
            <w:tcW w:w="1580" w:type="dxa"/>
            <w:shd w:val="clear" w:color="auto" w:fill="CCEEFF"/>
            <w:vAlign w:val="bottom"/>
          </w:tcPr>
          <w:p>
            <w:pPr>
              <w:spacing w:after="0"/>
              <w:ind w:right="322"/>
              <w:jc w:val="right"/>
              <w:rPr>
                <w:color w:val="auto"/>
                <w:sz w:val="20"/>
                <w:szCs w:val="20"/>
              </w:rPr>
            </w:pPr>
            <w:r>
              <w:rPr>
                <w:rFonts w:ascii="Calibri" w:eastAsia="Calibri" w:hAnsi="Calibri" w:cs="Calibri"/>
                <w:color w:val="auto"/>
                <w:sz w:val="12"/>
                <w:szCs w:val="12"/>
              </w:rPr>
              <w:t>7.3 %</w:t>
            </w:r>
          </w:p>
        </w:tc>
        <w:tc>
          <w:tcPr>
            <w:tcW w:w="12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7.1 %</w:t>
            </w:r>
          </w:p>
        </w:tc>
      </w:tr>
      <w:tr>
        <w:tblPrEx>
          <w:tblInd w:w="0" w:type="dxa"/>
          <w:tblLayout w:type="fixed"/>
        </w:tblPrEx>
        <w:trPr>
          <w:trHeight w:val="147"/>
        </w:trPr>
        <w:tc>
          <w:tcPr>
            <w:tcW w:w="5480" w:type="dxa"/>
            <w:vAlign w:val="bottom"/>
          </w:tcPr>
          <w:p>
            <w:pPr>
              <w:spacing w:after="0" w:line="142" w:lineRule="exact"/>
              <w:rPr>
                <w:color w:val="auto"/>
                <w:sz w:val="20"/>
                <w:szCs w:val="20"/>
              </w:rPr>
            </w:pPr>
            <w:r>
              <w:rPr>
                <w:rFonts w:ascii="Calibri" w:eastAsia="Calibri" w:hAnsi="Calibri" w:cs="Calibri"/>
                <w:color w:val="auto"/>
                <w:sz w:val="12"/>
                <w:szCs w:val="12"/>
              </w:rPr>
              <w:t>Expected rate of change in compensaton</w:t>
            </w:r>
          </w:p>
        </w:tc>
        <w:tc>
          <w:tcPr>
            <w:tcW w:w="3000" w:type="dxa"/>
            <w:vAlign w:val="bottom"/>
          </w:tcPr>
          <w:p>
            <w:pPr>
              <w:spacing w:after="0" w:line="142" w:lineRule="exact"/>
              <w:ind w:right="302"/>
              <w:jc w:val="right"/>
              <w:rPr>
                <w:color w:val="auto"/>
                <w:sz w:val="20"/>
                <w:szCs w:val="20"/>
              </w:rPr>
            </w:pPr>
            <w:r>
              <w:rPr>
                <w:rFonts w:ascii="Calibri" w:eastAsia="Calibri" w:hAnsi="Calibri" w:cs="Calibri"/>
                <w:color w:val="auto"/>
                <w:sz w:val="12"/>
                <w:szCs w:val="12"/>
              </w:rPr>
              <w:t>4.4 %</w:t>
            </w:r>
          </w:p>
        </w:tc>
        <w:tc>
          <w:tcPr>
            <w:tcW w:w="1580" w:type="dxa"/>
            <w:vAlign w:val="bottom"/>
          </w:tcPr>
          <w:p>
            <w:pPr>
              <w:spacing w:after="0" w:line="142" w:lineRule="exact"/>
              <w:ind w:right="322"/>
              <w:jc w:val="right"/>
              <w:rPr>
                <w:color w:val="auto"/>
                <w:sz w:val="20"/>
                <w:szCs w:val="20"/>
              </w:rPr>
            </w:pPr>
            <w:r>
              <w:rPr>
                <w:rFonts w:ascii="Calibri" w:eastAsia="Calibri" w:hAnsi="Calibri" w:cs="Calibri"/>
                <w:color w:val="auto"/>
                <w:sz w:val="12"/>
                <w:szCs w:val="12"/>
              </w:rPr>
              <w:t>4.8 %</w:t>
            </w:r>
          </w:p>
        </w:tc>
        <w:tc>
          <w:tcPr>
            <w:tcW w:w="1220" w:type="dxa"/>
            <w:vAlign w:val="bottom"/>
          </w:tcPr>
          <w:p>
            <w:pPr>
              <w:spacing w:after="0" w:line="142" w:lineRule="exact"/>
              <w:jc w:val="right"/>
              <w:rPr>
                <w:color w:val="auto"/>
                <w:sz w:val="20"/>
                <w:szCs w:val="20"/>
              </w:rPr>
            </w:pPr>
            <w:r>
              <w:rPr>
                <w:rFonts w:ascii="Calibri" w:eastAsia="Calibri" w:hAnsi="Calibri" w:cs="Calibri"/>
                <w:color w:val="auto"/>
                <w:sz w:val="12"/>
                <w:szCs w:val="12"/>
              </w:rPr>
              <w:t>5.2 %</w:t>
            </w:r>
          </w:p>
        </w:tc>
      </w:tr>
      <w:tr>
        <w:tblPrEx>
          <w:tblInd w:w="0" w:type="dxa"/>
          <w:tblLayout w:type="fixed"/>
        </w:tblPrEx>
        <w:trPr>
          <w:trHeight w:val="159"/>
        </w:trPr>
        <w:tc>
          <w:tcPr>
            <w:tcW w:w="5480" w:type="dxa"/>
            <w:shd w:val="clear" w:color="auto" w:fill="CCEEFF"/>
            <w:vAlign w:val="bottom"/>
          </w:tcPr>
          <w:p>
            <w:pPr>
              <w:spacing w:after="0"/>
              <w:rPr>
                <w:color w:val="auto"/>
                <w:sz w:val="20"/>
                <w:szCs w:val="20"/>
              </w:rPr>
            </w:pPr>
            <w:r>
              <w:rPr>
                <w:rFonts w:ascii="Calibri" w:eastAsia="Calibri" w:hAnsi="Calibri" w:cs="Calibri"/>
                <w:color w:val="auto"/>
                <w:sz w:val="12"/>
                <w:szCs w:val="12"/>
              </w:rPr>
              <w:t>Cash balance interest creditng rate</w:t>
            </w:r>
          </w:p>
        </w:tc>
        <w:tc>
          <w:tcPr>
            <w:tcW w:w="3000" w:type="dxa"/>
            <w:shd w:val="clear" w:color="auto" w:fill="CCEEFF"/>
            <w:vAlign w:val="bottom"/>
          </w:tcPr>
          <w:p>
            <w:pPr>
              <w:spacing w:after="0"/>
              <w:ind w:right="302"/>
              <w:jc w:val="right"/>
              <w:rPr>
                <w:color w:val="auto"/>
                <w:sz w:val="20"/>
                <w:szCs w:val="20"/>
              </w:rPr>
            </w:pPr>
            <w:r>
              <w:rPr>
                <w:rFonts w:ascii="Calibri" w:eastAsia="Calibri" w:hAnsi="Calibri" w:cs="Calibri"/>
                <w:color w:val="auto"/>
                <w:sz w:val="12"/>
                <w:szCs w:val="12"/>
              </w:rPr>
              <w:t>4.4 %</w:t>
            </w:r>
          </w:p>
        </w:tc>
        <w:tc>
          <w:tcPr>
            <w:tcW w:w="1580" w:type="dxa"/>
            <w:shd w:val="clear" w:color="auto" w:fill="CCEEFF"/>
            <w:vAlign w:val="bottom"/>
          </w:tcPr>
          <w:p>
            <w:pPr>
              <w:spacing w:after="0"/>
              <w:ind w:right="322"/>
              <w:jc w:val="right"/>
              <w:rPr>
                <w:color w:val="auto"/>
                <w:sz w:val="20"/>
                <w:szCs w:val="20"/>
              </w:rPr>
            </w:pPr>
            <w:r>
              <w:rPr>
                <w:rFonts w:ascii="Calibri" w:eastAsia="Calibri" w:hAnsi="Calibri" w:cs="Calibri"/>
                <w:color w:val="auto"/>
                <w:sz w:val="12"/>
                <w:szCs w:val="12"/>
              </w:rPr>
              <w:t>2.7 %</w:t>
            </w:r>
          </w:p>
        </w:tc>
        <w:tc>
          <w:tcPr>
            <w:tcW w:w="12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2.7 %</w:t>
            </w:r>
          </w:p>
        </w:tc>
      </w:tr>
      <w:tr>
        <w:tblPrEx>
          <w:tblInd w:w="0" w:type="dxa"/>
          <w:tblLayout w:type="fixed"/>
        </w:tblPrEx>
        <w:trPr>
          <w:trHeight w:val="147"/>
        </w:trPr>
        <w:tc>
          <w:tcPr>
            <w:tcW w:w="5480" w:type="dxa"/>
            <w:vAlign w:val="bottom"/>
          </w:tcPr>
          <w:p>
            <w:pPr>
              <w:spacing w:after="0" w:line="142" w:lineRule="exact"/>
              <w:rPr>
                <w:color w:val="auto"/>
                <w:sz w:val="20"/>
                <w:szCs w:val="20"/>
              </w:rPr>
            </w:pPr>
            <w:r>
              <w:rPr>
                <w:rFonts w:ascii="Calibri" w:eastAsia="Calibri" w:hAnsi="Calibri" w:cs="Calibri"/>
                <w:b/>
                <w:bCs/>
                <w:color w:val="auto"/>
                <w:sz w:val="12"/>
                <w:szCs w:val="12"/>
              </w:rPr>
              <w:t>Other post-employment plans</w:t>
            </w:r>
          </w:p>
        </w:tc>
        <w:tc>
          <w:tcPr>
            <w:tcW w:w="3000" w:type="dxa"/>
            <w:vAlign w:val="bottom"/>
          </w:tcPr>
          <w:p>
            <w:pPr>
              <w:spacing w:after="0"/>
              <w:rPr>
                <w:color w:val="auto"/>
                <w:sz w:val="12"/>
                <w:szCs w:val="12"/>
              </w:rPr>
            </w:pPr>
          </w:p>
        </w:tc>
        <w:tc>
          <w:tcPr>
            <w:tcW w:w="1580" w:type="dxa"/>
            <w:vAlign w:val="bottom"/>
          </w:tcPr>
          <w:p>
            <w:pPr>
              <w:spacing w:after="0"/>
              <w:rPr>
                <w:color w:val="auto"/>
                <w:sz w:val="12"/>
                <w:szCs w:val="12"/>
              </w:rPr>
            </w:pPr>
          </w:p>
        </w:tc>
        <w:tc>
          <w:tcPr>
            <w:tcW w:w="1220" w:type="dxa"/>
            <w:vAlign w:val="bottom"/>
          </w:tcPr>
          <w:p>
            <w:pPr>
              <w:spacing w:after="0"/>
              <w:rPr>
                <w:color w:val="auto"/>
                <w:sz w:val="12"/>
                <w:szCs w:val="12"/>
              </w:rPr>
            </w:pPr>
          </w:p>
        </w:tc>
      </w:tr>
      <w:tr>
        <w:tblPrEx>
          <w:tblInd w:w="0" w:type="dxa"/>
          <w:tblLayout w:type="fixed"/>
        </w:tblPrEx>
        <w:trPr>
          <w:trHeight w:val="159"/>
        </w:trPr>
        <w:tc>
          <w:tcPr>
            <w:tcW w:w="5480" w:type="dxa"/>
            <w:shd w:val="clear" w:color="auto" w:fill="CCEEFF"/>
            <w:vAlign w:val="bottom"/>
          </w:tcPr>
          <w:p>
            <w:pPr>
              <w:spacing w:after="0"/>
              <w:rPr>
                <w:color w:val="auto"/>
                <w:sz w:val="20"/>
                <w:szCs w:val="20"/>
              </w:rPr>
            </w:pPr>
            <w:r>
              <w:rPr>
                <w:rFonts w:ascii="Calibri" w:eastAsia="Calibri" w:hAnsi="Calibri" w:cs="Calibri"/>
                <w:color w:val="auto"/>
                <w:sz w:val="12"/>
                <w:szCs w:val="12"/>
              </w:rPr>
              <w:t>Discount rate for determining service cost</w:t>
            </w:r>
          </w:p>
        </w:tc>
        <w:tc>
          <w:tcPr>
            <w:tcW w:w="3000" w:type="dxa"/>
            <w:shd w:val="clear" w:color="auto" w:fill="CCEEFF"/>
            <w:vAlign w:val="bottom"/>
          </w:tcPr>
          <w:p>
            <w:pPr>
              <w:spacing w:after="0"/>
              <w:ind w:right="302"/>
              <w:jc w:val="right"/>
              <w:rPr>
                <w:color w:val="auto"/>
                <w:sz w:val="20"/>
                <w:szCs w:val="20"/>
              </w:rPr>
            </w:pPr>
            <w:r>
              <w:rPr>
                <w:rFonts w:ascii="Calibri" w:eastAsia="Calibri" w:hAnsi="Calibri" w:cs="Calibri"/>
                <w:color w:val="auto"/>
                <w:sz w:val="12"/>
                <w:szCs w:val="12"/>
              </w:rPr>
              <w:t>5.2 %</w:t>
            </w:r>
          </w:p>
        </w:tc>
        <w:tc>
          <w:tcPr>
            <w:tcW w:w="1580" w:type="dxa"/>
            <w:shd w:val="clear" w:color="auto" w:fill="CCEEFF"/>
            <w:vAlign w:val="bottom"/>
          </w:tcPr>
          <w:p>
            <w:pPr>
              <w:spacing w:after="0"/>
              <w:ind w:right="322"/>
              <w:jc w:val="right"/>
              <w:rPr>
                <w:color w:val="auto"/>
                <w:sz w:val="20"/>
                <w:szCs w:val="20"/>
              </w:rPr>
            </w:pPr>
            <w:r>
              <w:rPr>
                <w:rFonts w:ascii="Calibri" w:eastAsia="Calibri" w:hAnsi="Calibri" w:cs="Calibri"/>
                <w:color w:val="auto"/>
                <w:sz w:val="12"/>
                <w:szCs w:val="12"/>
              </w:rPr>
              <w:t>5.3 %</w:t>
            </w:r>
          </w:p>
        </w:tc>
        <w:tc>
          <w:tcPr>
            <w:tcW w:w="12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3.3 %</w:t>
            </w:r>
          </w:p>
        </w:tc>
      </w:tr>
      <w:tr>
        <w:tblPrEx>
          <w:tblInd w:w="0" w:type="dxa"/>
          <w:tblLayout w:type="fixed"/>
        </w:tblPrEx>
        <w:trPr>
          <w:trHeight w:val="147"/>
        </w:trPr>
        <w:tc>
          <w:tcPr>
            <w:tcW w:w="54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Discount rate for determining interest cost</w:t>
            </w:r>
          </w:p>
        </w:tc>
        <w:tc>
          <w:tcPr>
            <w:tcW w:w="3000" w:type="dxa"/>
            <w:tcBorders>
              <w:bottom w:val="single" w:sz="8" w:space="0" w:color="auto"/>
            </w:tcBorders>
            <w:vAlign w:val="bottom"/>
          </w:tcPr>
          <w:p>
            <w:pPr>
              <w:spacing w:after="0" w:line="142" w:lineRule="exact"/>
              <w:ind w:right="302"/>
              <w:jc w:val="right"/>
              <w:rPr>
                <w:color w:val="auto"/>
                <w:sz w:val="20"/>
                <w:szCs w:val="20"/>
              </w:rPr>
            </w:pPr>
            <w:r>
              <w:rPr>
                <w:rFonts w:ascii="Calibri" w:eastAsia="Calibri" w:hAnsi="Calibri" w:cs="Calibri"/>
                <w:color w:val="auto"/>
                <w:sz w:val="12"/>
                <w:szCs w:val="12"/>
              </w:rPr>
              <w:t>4.9 %</w:t>
            </w:r>
          </w:p>
        </w:tc>
        <w:tc>
          <w:tcPr>
            <w:tcW w:w="1580" w:type="dxa"/>
            <w:tcBorders>
              <w:bottom w:val="single" w:sz="8" w:space="0" w:color="auto"/>
            </w:tcBorders>
            <w:vAlign w:val="bottom"/>
          </w:tcPr>
          <w:p>
            <w:pPr>
              <w:spacing w:after="0" w:line="142" w:lineRule="exact"/>
              <w:ind w:right="322"/>
              <w:jc w:val="right"/>
              <w:rPr>
                <w:color w:val="auto"/>
                <w:sz w:val="20"/>
                <w:szCs w:val="20"/>
              </w:rPr>
            </w:pPr>
            <w:r>
              <w:rPr>
                <w:rFonts w:ascii="Calibri" w:eastAsia="Calibri" w:hAnsi="Calibri" w:cs="Calibri"/>
                <w:color w:val="auto"/>
                <w:sz w:val="12"/>
                <w:szCs w:val="12"/>
              </w:rPr>
              <w:t>5.1 %</w:t>
            </w:r>
          </w:p>
        </w:tc>
        <w:tc>
          <w:tcPr>
            <w:tcW w:w="12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2.7 %</w:t>
            </w:r>
          </w:p>
        </w:tc>
      </w:tr>
    </w:tbl>
    <w:p>
      <w:pPr>
        <w:spacing w:after="0" w:line="165"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For the December 31, 2024 post-retrement health care obligatons remeasurement, the company assumed a 6.6% pre-65 (2.0% post-65) annual rate of increase in the per capita cost of covered health care benefts. The pre-65 rate was assumed to decrease gradually to 4.5% (1.8% post-65) in 2033 and remain at that level thereafer. For purposes of measuring the 2024 post-retrement health care costs, the company assumed a 7.4% pre-65 (2.1% post-65) annual rate of increase in the per capita cost of covered health care benefts. The pre-65 rate was assumed to decrease gradually to 4.5% (1.8% post-65) for 2032 and remain at that level thereafer.</w:t>
      </w:r>
    </w:p>
    <w:p>
      <w:pPr>
        <w:spacing w:after="0" w:line="20" w:lineRule="exact"/>
        <w:rPr>
          <w:color w:val="auto"/>
          <w:sz w:val="20"/>
          <w:szCs w:val="20"/>
        </w:rPr>
      </w:pPr>
      <w:r>
        <w:rPr>
          <w:color w:val="auto"/>
          <w:sz w:val="20"/>
          <w:szCs w:val="20"/>
        </w:rPr>
        <w:drawing>
          <wp:anchor simplePos="0" relativeHeight="251877376" behindDoc="1" locked="0" layoutInCell="0" allowOverlap="1">
            <wp:simplePos x="0" y="0"/>
            <wp:positionH relativeFrom="column">
              <wp:posOffset>6475730</wp:posOffset>
            </wp:positionH>
            <wp:positionV relativeFrom="paragraph">
              <wp:posOffset>251460</wp:posOffset>
            </wp:positionV>
            <wp:extent cx="400050" cy="74295"/>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2"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86</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878400" behindDoc="1" locked="0" layoutInCell="0" allowOverlap="1">
            <wp:simplePos x="0" y="0"/>
            <wp:positionH relativeFrom="column">
              <wp:posOffset>7154545</wp:posOffset>
            </wp:positionH>
            <wp:positionV relativeFrom="paragraph">
              <wp:posOffset>-23495</wp:posOffset>
            </wp:positionV>
            <wp:extent cx="31115" cy="3683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79424" behindDoc="1" locked="0" layoutInCell="0" allowOverlap="1">
            <wp:simplePos x="0" y="0"/>
            <wp:positionH relativeFrom="column">
              <wp:posOffset>-17145</wp:posOffset>
            </wp:positionH>
            <wp:positionV relativeFrom="paragraph">
              <wp:posOffset>-23495</wp:posOffset>
            </wp:positionV>
            <wp:extent cx="31115" cy="3683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88" w:name="page89"/>
    <w:bookmarkEnd w:id="88"/>
    <w:p>
      <w:pPr>
        <w:spacing w:after="0"/>
        <w:ind w:left="8"/>
        <w:rPr>
          <w:color w:val="auto"/>
          <w:sz w:val="20"/>
          <w:szCs w:val="20"/>
        </w:rPr>
      </w:pPr>
      <w:r>
        <w:rPr>
          <w:rFonts w:ascii="Calibri" w:eastAsia="Calibri" w:hAnsi="Calibri" w:cs="Calibri"/>
          <w:i/>
          <w:iCs/>
          <w:color w:val="auto"/>
          <w:sz w:val="12"/>
          <w:szCs w:val="12"/>
        </w:rPr>
        <w:t>Defned Beneft Pension Plan Assets</w:t>
      </w:r>
    </w:p>
    <w:p>
      <w:pPr>
        <w:spacing w:after="0" w:line="16" w:lineRule="exact"/>
        <w:rPr>
          <w:color w:val="auto"/>
          <w:sz w:val="20"/>
          <w:szCs w:val="20"/>
        </w:rPr>
      </w:pPr>
    </w:p>
    <w:tbl>
      <w:tblPr>
        <w:tblInd w:w="8" w:type="dxa"/>
        <w:tblLayout w:type="fixed"/>
        <w:tblCellMar>
          <w:top w:w="0" w:type="dxa"/>
          <w:left w:w="0" w:type="dxa"/>
          <w:bottom w:w="0" w:type="dxa"/>
          <w:right w:w="0" w:type="dxa"/>
        </w:tblCellMar>
      </w:tblPr>
      <w:tblGrid>
        <w:gridCol w:w="3560"/>
        <w:gridCol w:w="2060"/>
        <w:gridCol w:w="1100"/>
        <w:gridCol w:w="100"/>
        <w:gridCol w:w="240"/>
        <w:gridCol w:w="1240"/>
        <w:gridCol w:w="160"/>
        <w:gridCol w:w="1320"/>
        <w:gridCol w:w="160"/>
        <w:gridCol w:w="1360"/>
      </w:tblGrid>
      <w:tr>
        <w:tblPrEx>
          <w:tblInd w:w="8" w:type="dxa"/>
          <w:tblLayout w:type="fixed"/>
        </w:tblPrEx>
        <w:trPr>
          <w:trHeight w:val="122"/>
        </w:trPr>
        <w:tc>
          <w:tcPr>
            <w:tcW w:w="3560" w:type="dxa"/>
            <w:vAlign w:val="bottom"/>
          </w:tcPr>
          <w:p>
            <w:pPr>
              <w:spacing w:after="0"/>
              <w:rPr>
                <w:color w:val="auto"/>
                <w:sz w:val="10"/>
                <w:szCs w:val="10"/>
              </w:rPr>
            </w:pPr>
          </w:p>
        </w:tc>
        <w:tc>
          <w:tcPr>
            <w:tcW w:w="2060" w:type="dxa"/>
            <w:vAlign w:val="bottom"/>
          </w:tcPr>
          <w:p>
            <w:pPr>
              <w:spacing w:after="0"/>
              <w:rPr>
                <w:color w:val="auto"/>
                <w:sz w:val="10"/>
                <w:szCs w:val="10"/>
              </w:rPr>
            </w:pPr>
          </w:p>
        </w:tc>
        <w:tc>
          <w:tcPr>
            <w:tcW w:w="110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240" w:type="dxa"/>
            <w:vAlign w:val="bottom"/>
          </w:tcPr>
          <w:p>
            <w:pPr>
              <w:spacing w:after="0"/>
              <w:rPr>
                <w:color w:val="auto"/>
                <w:sz w:val="10"/>
                <w:szCs w:val="10"/>
              </w:rPr>
            </w:pPr>
          </w:p>
        </w:tc>
        <w:tc>
          <w:tcPr>
            <w:tcW w:w="1240" w:type="dxa"/>
            <w:vAlign w:val="bottom"/>
          </w:tcPr>
          <w:p>
            <w:pPr>
              <w:spacing w:after="0"/>
              <w:rPr>
                <w:color w:val="auto"/>
                <w:sz w:val="10"/>
                <w:szCs w:val="10"/>
              </w:rPr>
            </w:pPr>
          </w:p>
        </w:tc>
        <w:tc>
          <w:tcPr>
            <w:tcW w:w="1480" w:type="dxa"/>
            <w:gridSpan w:val="2"/>
            <w:vAlign w:val="bottom"/>
          </w:tcPr>
          <w:p>
            <w:pPr>
              <w:spacing w:after="0"/>
              <w:jc w:val="center"/>
              <w:rPr>
                <w:color w:val="auto"/>
                <w:sz w:val="20"/>
                <w:szCs w:val="20"/>
              </w:rPr>
            </w:pPr>
            <w:r>
              <w:rPr>
                <w:rFonts w:ascii="Calibri" w:eastAsia="Calibri" w:hAnsi="Calibri" w:cs="Calibri"/>
                <w:b/>
                <w:bCs/>
                <w:color w:val="auto"/>
                <w:w w:val="96"/>
                <w:sz w:val="10"/>
                <w:szCs w:val="10"/>
              </w:rPr>
              <w:t>Basis of fair value measurement</w:t>
            </w:r>
          </w:p>
        </w:tc>
        <w:tc>
          <w:tcPr>
            <w:tcW w:w="160" w:type="dxa"/>
            <w:vAlign w:val="bottom"/>
          </w:tcPr>
          <w:p>
            <w:pPr>
              <w:spacing w:after="0"/>
              <w:rPr>
                <w:color w:val="auto"/>
                <w:sz w:val="10"/>
                <w:szCs w:val="10"/>
              </w:rPr>
            </w:pPr>
          </w:p>
        </w:tc>
        <w:tc>
          <w:tcPr>
            <w:tcW w:w="1360" w:type="dxa"/>
            <w:vAlign w:val="bottom"/>
          </w:tcPr>
          <w:p>
            <w:pPr>
              <w:spacing w:after="0"/>
              <w:rPr>
                <w:color w:val="auto"/>
                <w:sz w:val="10"/>
                <w:szCs w:val="10"/>
              </w:rPr>
            </w:pPr>
          </w:p>
        </w:tc>
      </w:tr>
      <w:tr>
        <w:tblPrEx>
          <w:tblInd w:w="8" w:type="dxa"/>
          <w:tblLayout w:type="fixed"/>
        </w:tblPrEx>
        <w:trPr>
          <w:trHeight w:val="32"/>
        </w:trPr>
        <w:tc>
          <w:tcPr>
            <w:tcW w:w="3560" w:type="dxa"/>
            <w:vAlign w:val="bottom"/>
          </w:tcPr>
          <w:p>
            <w:pPr>
              <w:spacing w:after="0"/>
              <w:rPr>
                <w:color w:val="auto"/>
                <w:sz w:val="2"/>
                <w:szCs w:val="2"/>
              </w:rPr>
            </w:pPr>
          </w:p>
        </w:tc>
        <w:tc>
          <w:tcPr>
            <w:tcW w:w="2060" w:type="dxa"/>
            <w:vAlign w:val="bottom"/>
          </w:tcPr>
          <w:p>
            <w:pPr>
              <w:spacing w:after="0"/>
              <w:rPr>
                <w:color w:val="auto"/>
                <w:sz w:val="2"/>
                <w:szCs w:val="2"/>
              </w:rPr>
            </w:pPr>
          </w:p>
        </w:tc>
        <w:tc>
          <w:tcPr>
            <w:tcW w:w="1100" w:type="dxa"/>
            <w:vAlign w:val="bottom"/>
          </w:tcPr>
          <w:p>
            <w:pPr>
              <w:spacing w:after="0"/>
              <w:rPr>
                <w:color w:val="auto"/>
                <w:sz w:val="2"/>
                <w:szCs w:val="2"/>
              </w:rPr>
            </w:pPr>
          </w:p>
        </w:tc>
        <w:tc>
          <w:tcPr>
            <w:tcW w:w="100" w:type="dxa"/>
            <w:vAlign w:val="bottom"/>
          </w:tcPr>
          <w:p>
            <w:pPr>
              <w:spacing w:after="0"/>
              <w:rPr>
                <w:color w:val="auto"/>
                <w:sz w:val="2"/>
                <w:szCs w:val="2"/>
              </w:rPr>
            </w:pPr>
          </w:p>
        </w:tc>
        <w:tc>
          <w:tcPr>
            <w:tcW w:w="1480" w:type="dxa"/>
            <w:gridSpan w:val="2"/>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360" w:type="dxa"/>
            <w:tcBorders>
              <w:bottom w:val="single" w:sz="8" w:space="0" w:color="auto"/>
            </w:tcBorders>
            <w:vAlign w:val="bottom"/>
          </w:tcPr>
          <w:p>
            <w:pPr>
              <w:spacing w:after="0"/>
              <w:rPr>
                <w:color w:val="auto"/>
                <w:sz w:val="2"/>
                <w:szCs w:val="2"/>
              </w:rPr>
            </w:pPr>
          </w:p>
        </w:tc>
      </w:tr>
      <w:tr>
        <w:tblPrEx>
          <w:tblInd w:w="8" w:type="dxa"/>
          <w:tblLayout w:type="fixed"/>
        </w:tblPrEx>
        <w:trPr>
          <w:trHeight w:val="70"/>
        </w:trPr>
        <w:tc>
          <w:tcPr>
            <w:tcW w:w="3560" w:type="dxa"/>
            <w:vAlign w:val="bottom"/>
          </w:tcPr>
          <w:p>
            <w:pPr>
              <w:spacing w:after="0"/>
              <w:rPr>
                <w:color w:val="auto"/>
                <w:sz w:val="6"/>
                <w:szCs w:val="6"/>
              </w:rPr>
            </w:pPr>
          </w:p>
        </w:tc>
        <w:tc>
          <w:tcPr>
            <w:tcW w:w="2060" w:type="dxa"/>
            <w:vAlign w:val="bottom"/>
          </w:tcPr>
          <w:p>
            <w:pPr>
              <w:spacing w:after="0"/>
              <w:rPr>
                <w:color w:val="auto"/>
                <w:sz w:val="6"/>
                <w:szCs w:val="6"/>
              </w:rPr>
            </w:pPr>
          </w:p>
        </w:tc>
        <w:tc>
          <w:tcPr>
            <w:tcW w:w="1100" w:type="dxa"/>
            <w:vAlign w:val="bottom"/>
          </w:tcPr>
          <w:p>
            <w:pPr>
              <w:spacing w:after="0"/>
              <w:rPr>
                <w:color w:val="auto"/>
                <w:sz w:val="6"/>
                <w:szCs w:val="6"/>
              </w:rPr>
            </w:pPr>
          </w:p>
        </w:tc>
        <w:tc>
          <w:tcPr>
            <w:tcW w:w="100" w:type="dxa"/>
            <w:vAlign w:val="bottom"/>
          </w:tcPr>
          <w:p>
            <w:pPr>
              <w:spacing w:after="0"/>
              <w:rPr>
                <w:color w:val="auto"/>
                <w:sz w:val="6"/>
                <w:szCs w:val="6"/>
              </w:rPr>
            </w:pPr>
          </w:p>
        </w:tc>
        <w:tc>
          <w:tcPr>
            <w:tcW w:w="1480" w:type="dxa"/>
            <w:gridSpan w:val="2"/>
            <w:vAlign w:val="bottom"/>
          </w:tcPr>
          <w:p>
            <w:pPr>
              <w:spacing w:after="0" w:line="70" w:lineRule="exact"/>
              <w:jc w:val="center"/>
              <w:rPr>
                <w:color w:val="auto"/>
                <w:sz w:val="20"/>
                <w:szCs w:val="20"/>
              </w:rPr>
            </w:pPr>
            <w:r>
              <w:rPr>
                <w:rFonts w:ascii="Calibri" w:eastAsia="Calibri" w:hAnsi="Calibri" w:cs="Calibri"/>
                <w:b/>
                <w:bCs/>
                <w:color w:val="auto"/>
                <w:sz w:val="7"/>
                <w:szCs w:val="7"/>
              </w:rPr>
              <w:t>Quoted prices in actve markets for</w:t>
            </w:r>
          </w:p>
        </w:tc>
        <w:tc>
          <w:tcPr>
            <w:tcW w:w="160" w:type="dxa"/>
            <w:vAlign w:val="bottom"/>
          </w:tcPr>
          <w:p>
            <w:pPr>
              <w:spacing w:after="0"/>
              <w:rPr>
                <w:color w:val="auto"/>
                <w:sz w:val="6"/>
                <w:szCs w:val="6"/>
              </w:rPr>
            </w:pPr>
          </w:p>
        </w:tc>
        <w:tc>
          <w:tcPr>
            <w:tcW w:w="1320" w:type="dxa"/>
            <w:vAlign w:val="bottom"/>
          </w:tcPr>
          <w:p>
            <w:pPr>
              <w:spacing w:after="0" w:line="70" w:lineRule="exact"/>
              <w:ind w:right="64"/>
              <w:jc w:val="center"/>
              <w:rPr>
                <w:color w:val="auto"/>
                <w:sz w:val="20"/>
                <w:szCs w:val="20"/>
              </w:rPr>
            </w:pPr>
            <w:r>
              <w:rPr>
                <w:rFonts w:ascii="Calibri" w:eastAsia="Calibri" w:hAnsi="Calibri" w:cs="Calibri"/>
                <w:b/>
                <w:bCs/>
                <w:color w:val="auto"/>
                <w:sz w:val="7"/>
                <w:szCs w:val="7"/>
              </w:rPr>
              <w:t>Signifcant other observable</w:t>
            </w:r>
          </w:p>
        </w:tc>
        <w:tc>
          <w:tcPr>
            <w:tcW w:w="160" w:type="dxa"/>
            <w:vAlign w:val="bottom"/>
          </w:tcPr>
          <w:p>
            <w:pPr>
              <w:spacing w:after="0"/>
              <w:rPr>
                <w:color w:val="auto"/>
                <w:sz w:val="6"/>
                <w:szCs w:val="6"/>
              </w:rPr>
            </w:pPr>
          </w:p>
        </w:tc>
        <w:tc>
          <w:tcPr>
            <w:tcW w:w="1360" w:type="dxa"/>
            <w:vAlign w:val="bottom"/>
          </w:tcPr>
          <w:p>
            <w:pPr>
              <w:spacing w:after="0"/>
              <w:rPr>
                <w:color w:val="auto"/>
                <w:sz w:val="6"/>
                <w:szCs w:val="6"/>
              </w:rPr>
            </w:pPr>
          </w:p>
        </w:tc>
      </w:tr>
      <w:tr>
        <w:tblPrEx>
          <w:tblInd w:w="8" w:type="dxa"/>
          <w:tblLayout w:type="fixed"/>
        </w:tblPrEx>
        <w:trPr>
          <w:trHeight w:val="99"/>
        </w:trPr>
        <w:tc>
          <w:tcPr>
            <w:tcW w:w="3560" w:type="dxa"/>
            <w:vAlign w:val="bottom"/>
          </w:tcPr>
          <w:p>
            <w:pPr>
              <w:spacing w:after="0"/>
              <w:rPr>
                <w:color w:val="auto"/>
                <w:sz w:val="8"/>
                <w:szCs w:val="8"/>
              </w:rPr>
            </w:pPr>
          </w:p>
        </w:tc>
        <w:tc>
          <w:tcPr>
            <w:tcW w:w="2060" w:type="dxa"/>
            <w:vAlign w:val="bottom"/>
          </w:tcPr>
          <w:p>
            <w:pPr>
              <w:spacing w:after="0"/>
              <w:rPr>
                <w:color w:val="auto"/>
                <w:sz w:val="8"/>
                <w:szCs w:val="8"/>
              </w:rPr>
            </w:pPr>
          </w:p>
        </w:tc>
        <w:tc>
          <w:tcPr>
            <w:tcW w:w="1100" w:type="dxa"/>
            <w:vAlign w:val="bottom"/>
          </w:tcPr>
          <w:p>
            <w:pPr>
              <w:spacing w:after="0"/>
              <w:rPr>
                <w:color w:val="auto"/>
                <w:sz w:val="8"/>
                <w:szCs w:val="8"/>
              </w:rPr>
            </w:pPr>
          </w:p>
        </w:tc>
        <w:tc>
          <w:tcPr>
            <w:tcW w:w="100" w:type="dxa"/>
            <w:vAlign w:val="bottom"/>
          </w:tcPr>
          <w:p>
            <w:pPr>
              <w:spacing w:after="0"/>
              <w:rPr>
                <w:color w:val="auto"/>
                <w:sz w:val="8"/>
                <w:szCs w:val="8"/>
              </w:rPr>
            </w:pPr>
          </w:p>
        </w:tc>
        <w:tc>
          <w:tcPr>
            <w:tcW w:w="240" w:type="dxa"/>
            <w:vAlign w:val="bottom"/>
          </w:tcPr>
          <w:p>
            <w:pPr>
              <w:spacing w:after="0"/>
              <w:rPr>
                <w:color w:val="auto"/>
                <w:sz w:val="8"/>
                <w:szCs w:val="8"/>
              </w:rPr>
            </w:pPr>
          </w:p>
        </w:tc>
        <w:tc>
          <w:tcPr>
            <w:tcW w:w="1240" w:type="dxa"/>
            <w:vAlign w:val="bottom"/>
          </w:tcPr>
          <w:p>
            <w:pPr>
              <w:spacing w:after="0" w:line="99" w:lineRule="exact"/>
              <w:ind w:right="222"/>
              <w:jc w:val="center"/>
              <w:rPr>
                <w:color w:val="auto"/>
                <w:sz w:val="20"/>
                <w:szCs w:val="20"/>
              </w:rPr>
            </w:pPr>
            <w:r>
              <w:rPr>
                <w:rFonts w:ascii="Calibri" w:eastAsia="Calibri" w:hAnsi="Calibri" w:cs="Calibri"/>
                <w:b/>
                <w:bCs/>
                <w:color w:val="auto"/>
                <w:w w:val="98"/>
                <w:sz w:val="10"/>
                <w:szCs w:val="10"/>
              </w:rPr>
              <w:t>identcal assets</w:t>
            </w:r>
          </w:p>
        </w:tc>
        <w:tc>
          <w:tcPr>
            <w:tcW w:w="160" w:type="dxa"/>
            <w:vAlign w:val="bottom"/>
          </w:tcPr>
          <w:p>
            <w:pPr>
              <w:spacing w:after="0"/>
              <w:rPr>
                <w:color w:val="auto"/>
                <w:sz w:val="8"/>
                <w:szCs w:val="8"/>
              </w:rPr>
            </w:pPr>
          </w:p>
        </w:tc>
        <w:tc>
          <w:tcPr>
            <w:tcW w:w="1320" w:type="dxa"/>
            <w:vAlign w:val="bottom"/>
          </w:tcPr>
          <w:p>
            <w:pPr>
              <w:spacing w:after="0" w:line="99" w:lineRule="exact"/>
              <w:ind w:right="64"/>
              <w:jc w:val="center"/>
              <w:rPr>
                <w:color w:val="auto"/>
                <w:sz w:val="20"/>
                <w:szCs w:val="20"/>
              </w:rPr>
            </w:pPr>
            <w:r>
              <w:rPr>
                <w:rFonts w:ascii="Calibri" w:eastAsia="Calibri" w:hAnsi="Calibri" w:cs="Calibri"/>
                <w:b/>
                <w:bCs/>
                <w:color w:val="auto"/>
                <w:w w:val="92"/>
                <w:sz w:val="10"/>
                <w:szCs w:val="10"/>
              </w:rPr>
              <w:t>inputs</w:t>
            </w:r>
          </w:p>
        </w:tc>
        <w:tc>
          <w:tcPr>
            <w:tcW w:w="160" w:type="dxa"/>
            <w:vAlign w:val="bottom"/>
          </w:tcPr>
          <w:p>
            <w:pPr>
              <w:spacing w:after="0"/>
              <w:rPr>
                <w:color w:val="auto"/>
                <w:sz w:val="8"/>
                <w:szCs w:val="8"/>
              </w:rPr>
            </w:pPr>
          </w:p>
        </w:tc>
        <w:tc>
          <w:tcPr>
            <w:tcW w:w="1360" w:type="dxa"/>
            <w:vAlign w:val="bottom"/>
          </w:tcPr>
          <w:p>
            <w:pPr>
              <w:spacing w:after="0" w:line="99" w:lineRule="exact"/>
              <w:ind w:right="42"/>
              <w:jc w:val="center"/>
              <w:rPr>
                <w:color w:val="auto"/>
                <w:sz w:val="20"/>
                <w:szCs w:val="20"/>
              </w:rPr>
            </w:pPr>
            <w:r>
              <w:rPr>
                <w:rFonts w:ascii="Calibri" w:eastAsia="Calibri" w:hAnsi="Calibri" w:cs="Calibri"/>
                <w:b/>
                <w:bCs/>
                <w:color w:val="auto"/>
                <w:w w:val="98"/>
                <w:sz w:val="10"/>
                <w:szCs w:val="10"/>
              </w:rPr>
              <w:t>Signifcant unobservable inputs</w:t>
            </w:r>
          </w:p>
        </w:tc>
      </w:tr>
      <w:tr>
        <w:tblPrEx>
          <w:tblInd w:w="8" w:type="dxa"/>
          <w:tblLayout w:type="fixed"/>
        </w:tblPrEx>
        <w:trPr>
          <w:trHeight w:val="112"/>
        </w:trPr>
        <w:tc>
          <w:tcPr>
            <w:tcW w:w="3560" w:type="dxa"/>
            <w:vAlign w:val="bottom"/>
          </w:tcPr>
          <w:p>
            <w:pPr>
              <w:spacing w:after="0" w:line="112" w:lineRule="exact"/>
              <w:rPr>
                <w:color w:val="auto"/>
                <w:sz w:val="20"/>
                <w:szCs w:val="20"/>
              </w:rPr>
            </w:pPr>
            <w:r>
              <w:rPr>
                <w:rFonts w:ascii="Calibri" w:eastAsia="Calibri" w:hAnsi="Calibri" w:cs="Calibri"/>
                <w:b/>
                <w:bCs/>
                <w:color w:val="auto"/>
                <w:sz w:val="10"/>
                <w:szCs w:val="10"/>
              </w:rPr>
              <w:t>as of December 31 (in millions)</w:t>
            </w:r>
          </w:p>
        </w:tc>
        <w:tc>
          <w:tcPr>
            <w:tcW w:w="2060" w:type="dxa"/>
            <w:vAlign w:val="bottom"/>
          </w:tcPr>
          <w:p>
            <w:pPr>
              <w:spacing w:after="0"/>
              <w:rPr>
                <w:color w:val="auto"/>
                <w:sz w:val="9"/>
                <w:szCs w:val="9"/>
              </w:rPr>
            </w:pPr>
          </w:p>
        </w:tc>
        <w:tc>
          <w:tcPr>
            <w:tcW w:w="1100" w:type="dxa"/>
            <w:vAlign w:val="bottom"/>
          </w:tcPr>
          <w:p>
            <w:pPr>
              <w:spacing w:after="0" w:line="112" w:lineRule="exact"/>
              <w:ind w:right="561"/>
              <w:jc w:val="right"/>
              <w:rPr>
                <w:color w:val="auto"/>
                <w:sz w:val="20"/>
                <w:szCs w:val="20"/>
              </w:rPr>
            </w:pPr>
            <w:r>
              <w:rPr>
                <w:rFonts w:ascii="Calibri" w:eastAsia="Calibri" w:hAnsi="Calibri" w:cs="Calibri"/>
                <w:b/>
                <w:bCs/>
                <w:color w:val="auto"/>
                <w:sz w:val="10"/>
                <w:szCs w:val="10"/>
              </w:rPr>
              <w:t>2024</w:t>
            </w:r>
          </w:p>
        </w:tc>
        <w:tc>
          <w:tcPr>
            <w:tcW w:w="100" w:type="dxa"/>
            <w:vAlign w:val="bottom"/>
          </w:tcPr>
          <w:p>
            <w:pPr>
              <w:spacing w:after="0"/>
              <w:rPr>
                <w:color w:val="auto"/>
                <w:sz w:val="9"/>
                <w:szCs w:val="9"/>
              </w:rPr>
            </w:pPr>
          </w:p>
        </w:tc>
        <w:tc>
          <w:tcPr>
            <w:tcW w:w="240" w:type="dxa"/>
            <w:vAlign w:val="bottom"/>
          </w:tcPr>
          <w:p>
            <w:pPr>
              <w:spacing w:after="0"/>
              <w:rPr>
                <w:color w:val="auto"/>
                <w:sz w:val="9"/>
                <w:szCs w:val="9"/>
              </w:rPr>
            </w:pPr>
          </w:p>
        </w:tc>
        <w:tc>
          <w:tcPr>
            <w:tcW w:w="1240" w:type="dxa"/>
            <w:vAlign w:val="bottom"/>
          </w:tcPr>
          <w:p>
            <w:pPr>
              <w:spacing w:after="0" w:line="112" w:lineRule="exact"/>
              <w:ind w:right="202"/>
              <w:jc w:val="center"/>
              <w:rPr>
                <w:color w:val="auto"/>
                <w:sz w:val="20"/>
                <w:szCs w:val="20"/>
              </w:rPr>
            </w:pPr>
            <w:r>
              <w:rPr>
                <w:rFonts w:ascii="Calibri" w:eastAsia="Calibri" w:hAnsi="Calibri" w:cs="Calibri"/>
                <w:b/>
                <w:bCs/>
                <w:color w:val="auto"/>
                <w:w w:val="96"/>
                <w:sz w:val="10"/>
                <w:szCs w:val="10"/>
              </w:rPr>
              <w:t>(Level 1)</w:t>
            </w:r>
          </w:p>
        </w:tc>
        <w:tc>
          <w:tcPr>
            <w:tcW w:w="160" w:type="dxa"/>
            <w:vAlign w:val="bottom"/>
          </w:tcPr>
          <w:p>
            <w:pPr>
              <w:spacing w:after="0"/>
              <w:rPr>
                <w:color w:val="auto"/>
                <w:sz w:val="9"/>
                <w:szCs w:val="9"/>
              </w:rPr>
            </w:pPr>
          </w:p>
        </w:tc>
        <w:tc>
          <w:tcPr>
            <w:tcW w:w="1320" w:type="dxa"/>
            <w:vAlign w:val="bottom"/>
          </w:tcPr>
          <w:p>
            <w:pPr>
              <w:spacing w:after="0" w:line="112" w:lineRule="exact"/>
              <w:ind w:right="44"/>
              <w:jc w:val="center"/>
              <w:rPr>
                <w:color w:val="auto"/>
                <w:sz w:val="20"/>
                <w:szCs w:val="20"/>
              </w:rPr>
            </w:pPr>
            <w:r>
              <w:rPr>
                <w:rFonts w:ascii="Calibri" w:eastAsia="Calibri" w:hAnsi="Calibri" w:cs="Calibri"/>
                <w:b/>
                <w:bCs/>
                <w:color w:val="auto"/>
                <w:w w:val="96"/>
                <w:sz w:val="10"/>
                <w:szCs w:val="10"/>
              </w:rPr>
              <w:t>(Level 2)</w:t>
            </w:r>
          </w:p>
        </w:tc>
        <w:tc>
          <w:tcPr>
            <w:tcW w:w="160" w:type="dxa"/>
            <w:vAlign w:val="bottom"/>
          </w:tcPr>
          <w:p>
            <w:pPr>
              <w:spacing w:after="0"/>
              <w:rPr>
                <w:color w:val="auto"/>
                <w:sz w:val="9"/>
                <w:szCs w:val="9"/>
              </w:rPr>
            </w:pPr>
          </w:p>
        </w:tc>
        <w:tc>
          <w:tcPr>
            <w:tcW w:w="1360" w:type="dxa"/>
            <w:vAlign w:val="bottom"/>
          </w:tcPr>
          <w:p>
            <w:pPr>
              <w:spacing w:after="0" w:line="112" w:lineRule="exact"/>
              <w:ind w:right="22"/>
              <w:jc w:val="center"/>
              <w:rPr>
                <w:color w:val="auto"/>
                <w:sz w:val="20"/>
                <w:szCs w:val="20"/>
              </w:rPr>
            </w:pPr>
            <w:r>
              <w:rPr>
                <w:rFonts w:ascii="Calibri" w:eastAsia="Calibri" w:hAnsi="Calibri" w:cs="Calibri"/>
                <w:b/>
                <w:bCs/>
                <w:color w:val="auto"/>
                <w:w w:val="91"/>
                <w:sz w:val="10"/>
                <w:szCs w:val="10"/>
              </w:rPr>
              <w:t>(Level 3)</w:t>
            </w:r>
          </w:p>
        </w:tc>
      </w:tr>
      <w:tr>
        <w:tblPrEx>
          <w:tblInd w:w="8" w:type="dxa"/>
          <w:tblLayout w:type="fixed"/>
        </w:tblPrEx>
        <w:trPr>
          <w:trHeight w:val="32"/>
        </w:trPr>
        <w:tc>
          <w:tcPr>
            <w:tcW w:w="3560" w:type="dxa"/>
            <w:tcBorders>
              <w:bottom w:val="single" w:sz="8" w:space="0" w:color="auto"/>
            </w:tcBorders>
            <w:vAlign w:val="bottom"/>
          </w:tcPr>
          <w:p>
            <w:pPr>
              <w:spacing w:after="0"/>
              <w:rPr>
                <w:color w:val="auto"/>
                <w:sz w:val="2"/>
                <w:szCs w:val="2"/>
              </w:rPr>
            </w:pPr>
          </w:p>
        </w:tc>
        <w:tc>
          <w:tcPr>
            <w:tcW w:w="206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24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360" w:type="dxa"/>
            <w:tcBorders>
              <w:bottom w:val="single" w:sz="8" w:space="0" w:color="auto"/>
            </w:tcBorders>
            <w:vAlign w:val="bottom"/>
          </w:tcPr>
          <w:p>
            <w:pPr>
              <w:spacing w:after="0"/>
              <w:rPr>
                <w:color w:val="auto"/>
                <w:sz w:val="2"/>
                <w:szCs w:val="2"/>
              </w:rPr>
            </w:pPr>
          </w:p>
        </w:tc>
      </w:tr>
      <w:tr>
        <w:tblPrEx>
          <w:tblInd w:w="8" w:type="dxa"/>
          <w:tblLayout w:type="fixed"/>
        </w:tblPrEx>
        <w:trPr>
          <w:trHeight w:val="136"/>
        </w:trPr>
        <w:tc>
          <w:tcPr>
            <w:tcW w:w="3560" w:type="dxa"/>
            <w:vAlign w:val="bottom"/>
          </w:tcPr>
          <w:p>
            <w:pPr>
              <w:spacing w:after="0" w:line="137" w:lineRule="exact"/>
              <w:rPr>
                <w:color w:val="auto"/>
                <w:sz w:val="20"/>
                <w:szCs w:val="20"/>
              </w:rPr>
            </w:pPr>
            <w:r>
              <w:rPr>
                <w:rFonts w:ascii="Calibri" w:eastAsia="Calibri" w:hAnsi="Calibri" w:cs="Calibri"/>
                <w:color w:val="auto"/>
                <w:sz w:val="12"/>
                <w:szCs w:val="12"/>
              </w:rPr>
              <w:t>Equites</w:t>
            </w:r>
          </w:p>
        </w:tc>
        <w:tc>
          <w:tcPr>
            <w:tcW w:w="2060" w:type="dxa"/>
            <w:vAlign w:val="bottom"/>
          </w:tcPr>
          <w:p>
            <w:pPr>
              <w:spacing w:after="0"/>
              <w:rPr>
                <w:color w:val="auto"/>
                <w:sz w:val="11"/>
                <w:szCs w:val="11"/>
              </w:rPr>
            </w:pPr>
          </w:p>
        </w:tc>
        <w:tc>
          <w:tcPr>
            <w:tcW w:w="110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240" w:type="dxa"/>
            <w:vAlign w:val="bottom"/>
          </w:tcPr>
          <w:p>
            <w:pPr>
              <w:spacing w:after="0"/>
              <w:rPr>
                <w:color w:val="auto"/>
                <w:sz w:val="11"/>
                <w:szCs w:val="11"/>
              </w:rPr>
            </w:pPr>
          </w:p>
        </w:tc>
        <w:tc>
          <w:tcPr>
            <w:tcW w:w="124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132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1360" w:type="dxa"/>
            <w:vAlign w:val="bottom"/>
          </w:tcPr>
          <w:p>
            <w:pPr>
              <w:spacing w:after="0"/>
              <w:rPr>
                <w:color w:val="auto"/>
                <w:sz w:val="11"/>
                <w:szCs w:val="11"/>
              </w:rPr>
            </w:pPr>
          </w:p>
        </w:tc>
      </w:tr>
      <w:tr>
        <w:tblPrEx>
          <w:tblInd w:w="8" w:type="dxa"/>
          <w:tblLayout w:type="fixed"/>
        </w:tblPrEx>
        <w:trPr>
          <w:trHeight w:val="159"/>
        </w:trPr>
        <w:tc>
          <w:tcPr>
            <w:tcW w:w="3560" w:type="dxa"/>
            <w:shd w:val="clear" w:color="auto" w:fill="CCEEFF"/>
            <w:vAlign w:val="bottom"/>
          </w:tcPr>
          <w:p>
            <w:pPr>
              <w:spacing w:after="0" w:line="158" w:lineRule="exact"/>
              <w:ind w:left="240"/>
              <w:rPr>
                <w:color w:val="auto"/>
                <w:sz w:val="20"/>
                <w:szCs w:val="20"/>
              </w:rPr>
            </w:pPr>
            <w:r>
              <w:rPr>
                <w:rFonts w:ascii="Calibri" w:eastAsia="Calibri" w:hAnsi="Calibri" w:cs="Calibri"/>
                <w:color w:val="auto"/>
                <w:sz w:val="12"/>
                <w:szCs w:val="12"/>
              </w:rPr>
              <w:t>U.S. large cap</w:t>
            </w:r>
            <w:r>
              <w:rPr>
                <w:rFonts w:ascii="Calibri" w:eastAsia="Calibri" w:hAnsi="Calibri" w:cs="Calibri"/>
                <w:color w:val="auto"/>
                <w:sz w:val="15"/>
                <w:szCs w:val="15"/>
                <w:vertAlign w:val="superscript"/>
              </w:rPr>
              <w:t>(a)</w:t>
            </w:r>
          </w:p>
        </w:tc>
        <w:tc>
          <w:tcPr>
            <w:tcW w:w="206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1,131</w:t>
            </w:r>
          </w:p>
        </w:tc>
        <w:tc>
          <w:tcPr>
            <w:tcW w:w="340" w:type="dxa"/>
            <w:gridSpan w:val="2"/>
            <w:shd w:val="clear" w:color="auto" w:fill="CCEEFF"/>
            <w:vAlign w:val="bottom"/>
          </w:tcPr>
          <w:p>
            <w:pPr>
              <w:spacing w:after="0"/>
              <w:ind w:right="141"/>
              <w:jc w:val="right"/>
              <w:rPr>
                <w:color w:val="auto"/>
                <w:sz w:val="20"/>
                <w:szCs w:val="20"/>
              </w:rPr>
            </w:pPr>
            <w:r>
              <w:rPr>
                <w:rFonts w:ascii="Calibri" w:eastAsia="Calibri" w:hAnsi="Calibri" w:cs="Calibri"/>
                <w:color w:val="auto"/>
                <w:sz w:val="12"/>
                <w:szCs w:val="12"/>
              </w:rPr>
              <w:t>$</w:t>
            </w: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1,131</w:t>
            </w:r>
          </w:p>
        </w:tc>
        <w:tc>
          <w:tcPr>
            <w:tcW w:w="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320" w:type="dxa"/>
            <w:shd w:val="clear" w:color="auto" w:fill="CCEEFF"/>
            <w:vAlign w:val="bottom"/>
          </w:tcPr>
          <w:p>
            <w:pPr>
              <w:spacing w:after="0"/>
              <w:ind w:right="4"/>
              <w:jc w:val="right"/>
              <w:rPr>
                <w:color w:val="auto"/>
                <w:sz w:val="20"/>
                <w:szCs w:val="20"/>
              </w:rPr>
            </w:pPr>
            <w:r>
              <w:rPr>
                <w:rFonts w:ascii="Calibri" w:eastAsia="Calibri" w:hAnsi="Calibri" w:cs="Calibri"/>
                <w:color w:val="auto"/>
                <w:sz w:val="12"/>
                <w:szCs w:val="12"/>
              </w:rPr>
              <w:t>—</w:t>
            </w:r>
          </w:p>
        </w:tc>
        <w:tc>
          <w:tcPr>
            <w:tcW w:w="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360" w:type="dxa"/>
            <w:shd w:val="clear" w:color="auto" w:fill="CCEEFF"/>
            <w:vAlign w:val="bottom"/>
          </w:tcPr>
          <w:p>
            <w:pPr>
              <w:spacing w:after="0"/>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vAlign w:val="bottom"/>
          </w:tcPr>
          <w:p>
            <w:pPr>
              <w:spacing w:after="0" w:line="153" w:lineRule="exact"/>
              <w:ind w:left="240"/>
              <w:rPr>
                <w:color w:val="auto"/>
                <w:sz w:val="20"/>
                <w:szCs w:val="20"/>
              </w:rPr>
            </w:pPr>
            <w:r>
              <w:rPr>
                <w:rFonts w:ascii="Calibri" w:eastAsia="Calibri" w:hAnsi="Calibri" w:cs="Calibri"/>
                <w:color w:val="auto"/>
                <w:sz w:val="12"/>
                <w:szCs w:val="12"/>
              </w:rPr>
              <w:t>U.S. mid cap</w:t>
            </w:r>
            <w:r>
              <w:rPr>
                <w:rFonts w:ascii="Calibri" w:eastAsia="Calibri" w:hAnsi="Calibri" w:cs="Calibri"/>
                <w:color w:val="auto"/>
                <w:sz w:val="15"/>
                <w:szCs w:val="15"/>
                <w:vertAlign w:val="superscript"/>
              </w:rPr>
              <w:t>(b)</w:t>
            </w:r>
          </w:p>
        </w:tc>
        <w:tc>
          <w:tcPr>
            <w:tcW w:w="2060" w:type="dxa"/>
            <w:vAlign w:val="bottom"/>
          </w:tcPr>
          <w:p>
            <w:pPr>
              <w:spacing w:after="0"/>
              <w:rPr>
                <w:color w:val="auto"/>
                <w:sz w:val="13"/>
                <w:szCs w:val="13"/>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176</w:t>
            </w:r>
          </w:p>
        </w:tc>
        <w:tc>
          <w:tcPr>
            <w:tcW w:w="100" w:type="dxa"/>
            <w:vAlign w:val="bottom"/>
          </w:tcPr>
          <w:p>
            <w:pPr>
              <w:spacing w:after="0"/>
              <w:rPr>
                <w:color w:val="auto"/>
                <w:sz w:val="13"/>
                <w:szCs w:val="13"/>
              </w:rPr>
            </w:pPr>
          </w:p>
        </w:tc>
        <w:tc>
          <w:tcPr>
            <w:tcW w:w="240" w:type="dxa"/>
            <w:vAlign w:val="bottom"/>
          </w:tcPr>
          <w:p>
            <w:pPr>
              <w:spacing w:after="0"/>
              <w:rPr>
                <w:color w:val="auto"/>
                <w:sz w:val="13"/>
                <w:szCs w:val="13"/>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176</w:t>
            </w:r>
          </w:p>
        </w:tc>
        <w:tc>
          <w:tcPr>
            <w:tcW w:w="160" w:type="dxa"/>
            <w:vAlign w:val="bottom"/>
          </w:tcPr>
          <w:p>
            <w:pPr>
              <w:spacing w:after="0"/>
              <w:rPr>
                <w:color w:val="auto"/>
                <w:sz w:val="13"/>
                <w:szCs w:val="13"/>
              </w:rPr>
            </w:pPr>
          </w:p>
        </w:tc>
        <w:tc>
          <w:tcPr>
            <w:tcW w:w="1320" w:type="dxa"/>
            <w:vAlign w:val="bottom"/>
          </w:tcPr>
          <w:p>
            <w:pPr>
              <w:spacing w:after="0" w:line="142" w:lineRule="exact"/>
              <w:ind w:right="4"/>
              <w:jc w:val="right"/>
              <w:rPr>
                <w:color w:val="auto"/>
                <w:sz w:val="20"/>
                <w:szCs w:val="20"/>
              </w:rPr>
            </w:pPr>
            <w:r>
              <w:rPr>
                <w:rFonts w:ascii="Calibri" w:eastAsia="Calibri" w:hAnsi="Calibri" w:cs="Calibri"/>
                <w:color w:val="auto"/>
                <w:sz w:val="12"/>
                <w:szCs w:val="12"/>
              </w:rPr>
              <w:t>—</w:t>
            </w:r>
          </w:p>
        </w:tc>
        <w:tc>
          <w:tcPr>
            <w:tcW w:w="160" w:type="dxa"/>
            <w:vAlign w:val="bottom"/>
          </w:tcPr>
          <w:p>
            <w:pPr>
              <w:spacing w:after="0"/>
              <w:rPr>
                <w:color w:val="auto"/>
                <w:sz w:val="13"/>
                <w:szCs w:val="13"/>
              </w:rPr>
            </w:pPr>
          </w:p>
        </w:tc>
        <w:tc>
          <w:tcPr>
            <w:tcW w:w="1360" w:type="dxa"/>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shd w:val="clear" w:color="auto" w:fill="CCEEFF"/>
            <w:vAlign w:val="bottom"/>
          </w:tcPr>
          <w:p>
            <w:pPr>
              <w:spacing w:after="0" w:line="153" w:lineRule="exact"/>
              <w:ind w:left="240"/>
              <w:rPr>
                <w:color w:val="auto"/>
                <w:sz w:val="20"/>
                <w:szCs w:val="20"/>
              </w:rPr>
            </w:pPr>
            <w:r>
              <w:rPr>
                <w:rFonts w:ascii="Calibri" w:eastAsia="Calibri" w:hAnsi="Calibri" w:cs="Calibri"/>
                <w:color w:val="auto"/>
                <w:sz w:val="12"/>
                <w:szCs w:val="12"/>
              </w:rPr>
              <w:t>Internatonal</w:t>
            </w:r>
            <w:r>
              <w:rPr>
                <w:rFonts w:ascii="Calibri" w:eastAsia="Calibri" w:hAnsi="Calibri" w:cs="Calibri"/>
                <w:color w:val="auto"/>
                <w:sz w:val="15"/>
                <w:szCs w:val="15"/>
                <w:vertAlign w:val="superscript"/>
              </w:rPr>
              <w:t>(c)</w:t>
            </w:r>
          </w:p>
        </w:tc>
        <w:tc>
          <w:tcPr>
            <w:tcW w:w="206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408</w:t>
            </w:r>
          </w:p>
        </w:tc>
        <w:tc>
          <w:tcPr>
            <w:tcW w:w="10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408</w:t>
            </w:r>
          </w:p>
        </w:tc>
        <w:tc>
          <w:tcPr>
            <w:tcW w:w="1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line="142" w:lineRule="exact"/>
              <w:ind w:right="4"/>
              <w:jc w:val="right"/>
              <w:rPr>
                <w:color w:val="auto"/>
                <w:sz w:val="20"/>
                <w:szCs w:val="20"/>
              </w:rPr>
            </w:pPr>
            <w:r>
              <w:rPr>
                <w:rFonts w:ascii="Calibri" w:eastAsia="Calibri" w:hAnsi="Calibri" w:cs="Calibri"/>
                <w:color w:val="auto"/>
                <w:sz w:val="12"/>
                <w:szCs w:val="12"/>
              </w:rPr>
              <w:t>—</w:t>
            </w:r>
          </w:p>
        </w:tc>
        <w:tc>
          <w:tcPr>
            <w:tcW w:w="16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Fixed income securites</w:t>
            </w:r>
          </w:p>
        </w:tc>
        <w:tc>
          <w:tcPr>
            <w:tcW w:w="2060" w:type="dxa"/>
            <w:vAlign w:val="bottom"/>
          </w:tcPr>
          <w:p>
            <w:pPr>
              <w:spacing w:after="0"/>
              <w:rPr>
                <w:color w:val="auto"/>
                <w:sz w:val="12"/>
                <w:szCs w:val="12"/>
              </w:rPr>
            </w:pPr>
          </w:p>
        </w:tc>
        <w:tc>
          <w:tcPr>
            <w:tcW w:w="1100" w:type="dxa"/>
            <w:vAlign w:val="bottom"/>
          </w:tcPr>
          <w:p>
            <w:pPr>
              <w:spacing w:after="0"/>
              <w:rPr>
                <w:color w:val="auto"/>
                <w:sz w:val="12"/>
                <w:szCs w:val="12"/>
              </w:rPr>
            </w:pPr>
          </w:p>
        </w:tc>
        <w:tc>
          <w:tcPr>
            <w:tcW w:w="100" w:type="dxa"/>
            <w:vAlign w:val="bottom"/>
          </w:tcPr>
          <w:p>
            <w:pPr>
              <w:spacing w:after="0"/>
              <w:rPr>
                <w:color w:val="auto"/>
                <w:sz w:val="12"/>
                <w:szCs w:val="12"/>
              </w:rPr>
            </w:pPr>
          </w:p>
        </w:tc>
        <w:tc>
          <w:tcPr>
            <w:tcW w:w="240" w:type="dxa"/>
            <w:vAlign w:val="bottom"/>
          </w:tcPr>
          <w:p>
            <w:pPr>
              <w:spacing w:after="0"/>
              <w:rPr>
                <w:color w:val="auto"/>
                <w:sz w:val="12"/>
                <w:szCs w:val="12"/>
              </w:rPr>
            </w:pPr>
          </w:p>
        </w:tc>
        <w:tc>
          <w:tcPr>
            <w:tcW w:w="12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32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360" w:type="dxa"/>
            <w:vAlign w:val="bottom"/>
          </w:tcPr>
          <w:p>
            <w:pPr>
              <w:spacing w:after="0"/>
              <w:rPr>
                <w:color w:val="auto"/>
                <w:sz w:val="12"/>
                <w:szCs w:val="12"/>
              </w:rPr>
            </w:pPr>
          </w:p>
        </w:tc>
      </w:tr>
      <w:tr>
        <w:tblPrEx>
          <w:tblInd w:w="8" w:type="dxa"/>
          <w:tblLayout w:type="fixed"/>
        </w:tblPrEx>
        <w:trPr>
          <w:trHeight w:val="159"/>
        </w:trPr>
        <w:tc>
          <w:tcPr>
            <w:tcW w:w="3560" w:type="dxa"/>
            <w:shd w:val="clear" w:color="auto" w:fill="CCEEFF"/>
            <w:vAlign w:val="bottom"/>
          </w:tcPr>
          <w:p>
            <w:pPr>
              <w:spacing w:after="0" w:line="158" w:lineRule="exact"/>
              <w:ind w:left="240"/>
              <w:rPr>
                <w:color w:val="auto"/>
                <w:sz w:val="20"/>
                <w:szCs w:val="20"/>
              </w:rPr>
            </w:pPr>
            <w:r>
              <w:rPr>
                <w:rFonts w:ascii="Calibri" w:eastAsia="Calibri" w:hAnsi="Calibri" w:cs="Calibri"/>
                <w:color w:val="auto"/>
                <w:sz w:val="12"/>
                <w:szCs w:val="12"/>
              </w:rPr>
              <w:t>U.S. government securites</w:t>
            </w:r>
            <w:r>
              <w:rPr>
                <w:rFonts w:ascii="Calibri" w:eastAsia="Calibri" w:hAnsi="Calibri" w:cs="Calibri"/>
                <w:color w:val="auto"/>
                <w:sz w:val="15"/>
                <w:szCs w:val="15"/>
                <w:vertAlign w:val="superscript"/>
              </w:rPr>
              <w:t>(d)</w:t>
            </w:r>
          </w:p>
        </w:tc>
        <w:tc>
          <w:tcPr>
            <w:tcW w:w="206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414</w:t>
            </w:r>
          </w:p>
        </w:tc>
        <w:tc>
          <w:tcPr>
            <w:tcW w:w="10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18</w:t>
            </w:r>
          </w:p>
        </w:tc>
        <w:tc>
          <w:tcPr>
            <w:tcW w:w="1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ind w:right="4"/>
              <w:jc w:val="right"/>
              <w:rPr>
                <w:color w:val="auto"/>
                <w:sz w:val="20"/>
                <w:szCs w:val="20"/>
              </w:rPr>
            </w:pPr>
            <w:r>
              <w:rPr>
                <w:rFonts w:ascii="Calibri" w:eastAsia="Calibri" w:hAnsi="Calibri" w:cs="Calibri"/>
                <w:color w:val="auto"/>
                <w:sz w:val="12"/>
                <w:szCs w:val="12"/>
              </w:rPr>
              <w:t>396</w:t>
            </w:r>
          </w:p>
        </w:tc>
        <w:tc>
          <w:tcPr>
            <w:tcW w:w="16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vAlign w:val="bottom"/>
          </w:tcPr>
          <w:p>
            <w:pPr>
              <w:spacing w:after="0" w:line="153" w:lineRule="exact"/>
              <w:ind w:left="240"/>
              <w:rPr>
                <w:color w:val="auto"/>
                <w:sz w:val="20"/>
                <w:szCs w:val="20"/>
              </w:rPr>
            </w:pPr>
            <w:r>
              <w:rPr>
                <w:rFonts w:ascii="Calibri" w:eastAsia="Calibri" w:hAnsi="Calibri" w:cs="Calibri"/>
                <w:color w:val="auto"/>
                <w:sz w:val="12"/>
                <w:szCs w:val="12"/>
              </w:rPr>
              <w:t>Corporate debt instruments</w:t>
            </w:r>
            <w:r>
              <w:rPr>
                <w:rFonts w:ascii="Calibri" w:eastAsia="Calibri" w:hAnsi="Calibri" w:cs="Calibri"/>
                <w:color w:val="auto"/>
                <w:sz w:val="15"/>
                <w:szCs w:val="15"/>
                <w:vertAlign w:val="superscript"/>
              </w:rPr>
              <w:t>(d)</w:t>
            </w:r>
          </w:p>
        </w:tc>
        <w:tc>
          <w:tcPr>
            <w:tcW w:w="2060" w:type="dxa"/>
            <w:vAlign w:val="bottom"/>
          </w:tcPr>
          <w:p>
            <w:pPr>
              <w:spacing w:after="0"/>
              <w:rPr>
                <w:color w:val="auto"/>
                <w:sz w:val="13"/>
                <w:szCs w:val="13"/>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609</w:t>
            </w:r>
          </w:p>
        </w:tc>
        <w:tc>
          <w:tcPr>
            <w:tcW w:w="100" w:type="dxa"/>
            <w:vAlign w:val="bottom"/>
          </w:tcPr>
          <w:p>
            <w:pPr>
              <w:spacing w:after="0"/>
              <w:rPr>
                <w:color w:val="auto"/>
                <w:sz w:val="13"/>
                <w:szCs w:val="13"/>
              </w:rPr>
            </w:pPr>
          </w:p>
        </w:tc>
        <w:tc>
          <w:tcPr>
            <w:tcW w:w="240" w:type="dxa"/>
            <w:vAlign w:val="bottom"/>
          </w:tcPr>
          <w:p>
            <w:pPr>
              <w:spacing w:after="0"/>
              <w:rPr>
                <w:color w:val="auto"/>
                <w:sz w:val="13"/>
                <w:szCs w:val="13"/>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29</w:t>
            </w:r>
          </w:p>
        </w:tc>
        <w:tc>
          <w:tcPr>
            <w:tcW w:w="160" w:type="dxa"/>
            <w:vAlign w:val="bottom"/>
          </w:tcPr>
          <w:p>
            <w:pPr>
              <w:spacing w:after="0"/>
              <w:rPr>
                <w:color w:val="auto"/>
                <w:sz w:val="13"/>
                <w:szCs w:val="13"/>
              </w:rPr>
            </w:pPr>
          </w:p>
        </w:tc>
        <w:tc>
          <w:tcPr>
            <w:tcW w:w="1320" w:type="dxa"/>
            <w:vAlign w:val="bottom"/>
          </w:tcPr>
          <w:p>
            <w:pPr>
              <w:spacing w:after="0" w:line="142" w:lineRule="exact"/>
              <w:ind w:right="4"/>
              <w:jc w:val="right"/>
              <w:rPr>
                <w:color w:val="auto"/>
                <w:sz w:val="20"/>
                <w:szCs w:val="20"/>
              </w:rPr>
            </w:pPr>
            <w:r>
              <w:rPr>
                <w:rFonts w:ascii="Calibri" w:eastAsia="Calibri" w:hAnsi="Calibri" w:cs="Calibri"/>
                <w:color w:val="auto"/>
                <w:sz w:val="12"/>
                <w:szCs w:val="12"/>
              </w:rPr>
              <w:t>580</w:t>
            </w:r>
          </w:p>
        </w:tc>
        <w:tc>
          <w:tcPr>
            <w:tcW w:w="160" w:type="dxa"/>
            <w:vAlign w:val="bottom"/>
          </w:tcPr>
          <w:p>
            <w:pPr>
              <w:spacing w:after="0"/>
              <w:rPr>
                <w:color w:val="auto"/>
                <w:sz w:val="13"/>
                <w:szCs w:val="13"/>
              </w:rPr>
            </w:pPr>
          </w:p>
        </w:tc>
        <w:tc>
          <w:tcPr>
            <w:tcW w:w="1360" w:type="dxa"/>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shd w:val="clear" w:color="auto" w:fill="CCEEFF"/>
            <w:vAlign w:val="bottom"/>
          </w:tcPr>
          <w:p>
            <w:pPr>
              <w:spacing w:after="0" w:line="153" w:lineRule="exact"/>
              <w:ind w:left="240"/>
              <w:rPr>
                <w:color w:val="auto"/>
                <w:sz w:val="20"/>
                <w:szCs w:val="20"/>
              </w:rPr>
            </w:pPr>
            <w:r>
              <w:rPr>
                <w:rFonts w:ascii="Calibri" w:eastAsia="Calibri" w:hAnsi="Calibri" w:cs="Calibri"/>
                <w:color w:val="auto"/>
                <w:sz w:val="12"/>
                <w:szCs w:val="12"/>
              </w:rPr>
              <w:t>Non-U.S. government securites</w:t>
            </w:r>
            <w:r>
              <w:rPr>
                <w:rFonts w:ascii="Calibri" w:eastAsia="Calibri" w:hAnsi="Calibri" w:cs="Calibri"/>
                <w:color w:val="auto"/>
                <w:sz w:val="15"/>
                <w:szCs w:val="15"/>
                <w:vertAlign w:val="superscript"/>
              </w:rPr>
              <w:t>(d)</w:t>
            </w:r>
          </w:p>
        </w:tc>
        <w:tc>
          <w:tcPr>
            <w:tcW w:w="206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346</w:t>
            </w:r>
          </w:p>
        </w:tc>
        <w:tc>
          <w:tcPr>
            <w:tcW w:w="10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183</w:t>
            </w:r>
          </w:p>
        </w:tc>
        <w:tc>
          <w:tcPr>
            <w:tcW w:w="1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line="142" w:lineRule="exact"/>
              <w:ind w:right="4"/>
              <w:jc w:val="right"/>
              <w:rPr>
                <w:color w:val="auto"/>
                <w:sz w:val="20"/>
                <w:szCs w:val="20"/>
              </w:rPr>
            </w:pPr>
            <w:r>
              <w:rPr>
                <w:rFonts w:ascii="Calibri" w:eastAsia="Calibri" w:hAnsi="Calibri" w:cs="Calibri"/>
                <w:color w:val="auto"/>
                <w:sz w:val="12"/>
                <w:szCs w:val="12"/>
              </w:rPr>
              <w:t>163</w:t>
            </w:r>
          </w:p>
        </w:tc>
        <w:tc>
          <w:tcPr>
            <w:tcW w:w="16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vAlign w:val="bottom"/>
          </w:tcPr>
          <w:p>
            <w:pPr>
              <w:spacing w:after="0" w:line="153" w:lineRule="exact"/>
              <w:ind w:left="240"/>
              <w:rPr>
                <w:color w:val="auto"/>
                <w:sz w:val="20"/>
                <w:szCs w:val="20"/>
              </w:rPr>
            </w:pPr>
            <w:r>
              <w:rPr>
                <w:rFonts w:ascii="Calibri" w:eastAsia="Calibri" w:hAnsi="Calibri" w:cs="Calibri"/>
                <w:color w:val="auto"/>
                <w:sz w:val="12"/>
                <w:szCs w:val="12"/>
              </w:rPr>
              <w:t>Other</w:t>
            </w:r>
            <w:r>
              <w:rPr>
                <w:rFonts w:ascii="Calibri" w:eastAsia="Calibri" w:hAnsi="Calibri" w:cs="Calibri"/>
                <w:color w:val="auto"/>
                <w:sz w:val="15"/>
                <w:szCs w:val="15"/>
                <w:vertAlign w:val="superscript"/>
              </w:rPr>
              <w:t>(d)</w:t>
            </w:r>
          </w:p>
        </w:tc>
        <w:tc>
          <w:tcPr>
            <w:tcW w:w="2060" w:type="dxa"/>
            <w:vAlign w:val="bottom"/>
          </w:tcPr>
          <w:p>
            <w:pPr>
              <w:spacing w:after="0"/>
              <w:rPr>
                <w:color w:val="auto"/>
                <w:sz w:val="13"/>
                <w:szCs w:val="13"/>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20</w:t>
            </w:r>
          </w:p>
        </w:tc>
        <w:tc>
          <w:tcPr>
            <w:tcW w:w="100" w:type="dxa"/>
            <w:vAlign w:val="bottom"/>
          </w:tcPr>
          <w:p>
            <w:pPr>
              <w:spacing w:after="0"/>
              <w:rPr>
                <w:color w:val="auto"/>
                <w:sz w:val="13"/>
                <w:szCs w:val="13"/>
              </w:rPr>
            </w:pPr>
          </w:p>
        </w:tc>
        <w:tc>
          <w:tcPr>
            <w:tcW w:w="240" w:type="dxa"/>
            <w:vAlign w:val="bottom"/>
          </w:tcPr>
          <w:p>
            <w:pPr>
              <w:spacing w:after="0"/>
              <w:rPr>
                <w:color w:val="auto"/>
                <w:sz w:val="13"/>
                <w:szCs w:val="13"/>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15</w:t>
            </w:r>
          </w:p>
        </w:tc>
        <w:tc>
          <w:tcPr>
            <w:tcW w:w="160" w:type="dxa"/>
            <w:vAlign w:val="bottom"/>
          </w:tcPr>
          <w:p>
            <w:pPr>
              <w:spacing w:after="0"/>
              <w:rPr>
                <w:color w:val="auto"/>
                <w:sz w:val="13"/>
                <w:szCs w:val="13"/>
              </w:rPr>
            </w:pPr>
          </w:p>
        </w:tc>
        <w:tc>
          <w:tcPr>
            <w:tcW w:w="1320" w:type="dxa"/>
            <w:vAlign w:val="bottom"/>
          </w:tcPr>
          <w:p>
            <w:pPr>
              <w:spacing w:after="0" w:line="142" w:lineRule="exact"/>
              <w:ind w:right="4"/>
              <w:jc w:val="right"/>
              <w:rPr>
                <w:color w:val="auto"/>
                <w:sz w:val="20"/>
                <w:szCs w:val="20"/>
              </w:rPr>
            </w:pPr>
            <w:r>
              <w:rPr>
                <w:rFonts w:ascii="Calibri" w:eastAsia="Calibri" w:hAnsi="Calibri" w:cs="Calibri"/>
                <w:color w:val="auto"/>
                <w:sz w:val="12"/>
                <w:szCs w:val="12"/>
              </w:rPr>
              <w:t>5</w:t>
            </w:r>
          </w:p>
        </w:tc>
        <w:tc>
          <w:tcPr>
            <w:tcW w:w="160" w:type="dxa"/>
            <w:vAlign w:val="bottom"/>
          </w:tcPr>
          <w:p>
            <w:pPr>
              <w:spacing w:after="0"/>
              <w:rPr>
                <w:color w:val="auto"/>
                <w:sz w:val="13"/>
                <w:szCs w:val="13"/>
              </w:rPr>
            </w:pPr>
          </w:p>
        </w:tc>
        <w:tc>
          <w:tcPr>
            <w:tcW w:w="1360" w:type="dxa"/>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shd w:val="clear" w:color="auto" w:fill="CCEEFF"/>
            <w:vAlign w:val="bottom"/>
          </w:tcPr>
          <w:p>
            <w:pPr>
              <w:spacing w:after="0" w:line="153" w:lineRule="exact"/>
              <w:rPr>
                <w:color w:val="auto"/>
                <w:sz w:val="20"/>
                <w:szCs w:val="20"/>
              </w:rPr>
            </w:pPr>
            <w:r>
              <w:rPr>
                <w:rFonts w:ascii="Calibri" w:eastAsia="Calibri" w:hAnsi="Calibri" w:cs="Calibri"/>
                <w:color w:val="auto"/>
                <w:sz w:val="12"/>
                <w:szCs w:val="12"/>
              </w:rPr>
              <w:t>Absolute return funds</w:t>
            </w:r>
            <w:r>
              <w:rPr>
                <w:rFonts w:ascii="Calibri" w:eastAsia="Calibri" w:hAnsi="Calibri" w:cs="Calibri"/>
                <w:color w:val="auto"/>
                <w:sz w:val="15"/>
                <w:szCs w:val="15"/>
                <w:vertAlign w:val="superscript"/>
              </w:rPr>
              <w:t>(e)</w:t>
            </w:r>
          </w:p>
        </w:tc>
        <w:tc>
          <w:tcPr>
            <w:tcW w:w="206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176</w:t>
            </w:r>
          </w:p>
        </w:tc>
        <w:tc>
          <w:tcPr>
            <w:tcW w:w="10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82</w:t>
            </w:r>
          </w:p>
        </w:tc>
        <w:tc>
          <w:tcPr>
            <w:tcW w:w="1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line="142" w:lineRule="exact"/>
              <w:ind w:right="4"/>
              <w:jc w:val="right"/>
              <w:rPr>
                <w:color w:val="auto"/>
                <w:sz w:val="20"/>
                <w:szCs w:val="20"/>
              </w:rPr>
            </w:pPr>
            <w:r>
              <w:rPr>
                <w:rFonts w:ascii="Calibri" w:eastAsia="Calibri" w:hAnsi="Calibri" w:cs="Calibri"/>
                <w:color w:val="auto"/>
                <w:sz w:val="12"/>
                <w:szCs w:val="12"/>
              </w:rPr>
              <w:t>94</w:t>
            </w:r>
          </w:p>
        </w:tc>
        <w:tc>
          <w:tcPr>
            <w:tcW w:w="16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tcBorders>
              <w:bottom w:val="single" w:sz="8" w:space="0" w:color="auto"/>
            </w:tcBorders>
            <w:vAlign w:val="bottom"/>
          </w:tcPr>
          <w:p>
            <w:pPr>
              <w:spacing w:after="0" w:line="153" w:lineRule="exact"/>
              <w:rPr>
                <w:color w:val="auto"/>
                <w:sz w:val="20"/>
                <w:szCs w:val="20"/>
              </w:rPr>
            </w:pPr>
            <w:r>
              <w:rPr>
                <w:rFonts w:ascii="Calibri" w:eastAsia="Calibri" w:hAnsi="Calibri" w:cs="Calibri"/>
                <w:color w:val="auto"/>
                <w:sz w:val="12"/>
                <w:szCs w:val="12"/>
              </w:rPr>
              <w:t>Other</w:t>
            </w:r>
            <w:r>
              <w:rPr>
                <w:rFonts w:ascii="Calibri" w:eastAsia="Calibri" w:hAnsi="Calibri" w:cs="Calibri"/>
                <w:color w:val="auto"/>
                <w:sz w:val="15"/>
                <w:szCs w:val="15"/>
                <w:vertAlign w:val="superscript"/>
              </w:rPr>
              <w:t>(f)</w:t>
            </w:r>
          </w:p>
        </w:tc>
        <w:tc>
          <w:tcPr>
            <w:tcW w:w="2060" w:type="dxa"/>
            <w:tcBorders>
              <w:bottom w:val="single" w:sz="8" w:space="0" w:color="auto"/>
            </w:tcBorders>
            <w:vAlign w:val="bottom"/>
          </w:tcPr>
          <w:p>
            <w:pPr>
              <w:spacing w:after="0"/>
              <w:rPr>
                <w:color w:val="auto"/>
                <w:sz w:val="13"/>
                <w:szCs w:val="13"/>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351</w:t>
            </w:r>
          </w:p>
        </w:tc>
        <w:tc>
          <w:tcPr>
            <w:tcW w:w="100" w:type="dxa"/>
            <w:tcBorders>
              <w:bottom w:val="single" w:sz="8" w:space="0" w:color="auto"/>
            </w:tcBorders>
            <w:vAlign w:val="bottom"/>
          </w:tcPr>
          <w:p>
            <w:pPr>
              <w:spacing w:after="0"/>
              <w:rPr>
                <w:color w:val="auto"/>
                <w:sz w:val="13"/>
                <w:szCs w:val="13"/>
              </w:rPr>
            </w:pPr>
          </w:p>
        </w:tc>
        <w:tc>
          <w:tcPr>
            <w:tcW w:w="240" w:type="dxa"/>
            <w:tcBorders>
              <w:bottom w:val="single" w:sz="8" w:space="0" w:color="auto"/>
            </w:tcBorders>
            <w:vAlign w:val="bottom"/>
          </w:tcPr>
          <w:p>
            <w:pPr>
              <w:spacing w:after="0"/>
              <w:rPr>
                <w:color w:val="auto"/>
                <w:sz w:val="13"/>
                <w:szCs w:val="13"/>
              </w:rPr>
            </w:pPr>
          </w:p>
        </w:tc>
        <w:tc>
          <w:tcPr>
            <w:tcW w:w="124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350</w:t>
            </w:r>
          </w:p>
        </w:tc>
        <w:tc>
          <w:tcPr>
            <w:tcW w:w="160" w:type="dxa"/>
            <w:tcBorders>
              <w:bottom w:val="single" w:sz="8" w:space="0" w:color="auto"/>
            </w:tcBorders>
            <w:vAlign w:val="bottom"/>
          </w:tcPr>
          <w:p>
            <w:pPr>
              <w:spacing w:after="0"/>
              <w:rPr>
                <w:color w:val="auto"/>
                <w:sz w:val="13"/>
                <w:szCs w:val="13"/>
              </w:rPr>
            </w:pPr>
          </w:p>
        </w:tc>
        <w:tc>
          <w:tcPr>
            <w:tcW w:w="132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1</w:t>
            </w:r>
          </w:p>
        </w:tc>
        <w:tc>
          <w:tcPr>
            <w:tcW w:w="160" w:type="dxa"/>
            <w:tcBorders>
              <w:bottom w:val="single" w:sz="8" w:space="0" w:color="auto"/>
            </w:tcBorders>
            <w:vAlign w:val="bottom"/>
          </w:tcPr>
          <w:p>
            <w:pPr>
              <w:spacing w:after="0"/>
              <w:rPr>
                <w:color w:val="auto"/>
                <w:sz w:val="13"/>
                <w:szCs w:val="13"/>
              </w:rPr>
            </w:pPr>
          </w:p>
        </w:tc>
        <w:tc>
          <w:tcPr>
            <w:tcW w:w="1360" w:type="dxa"/>
            <w:tcBorders>
              <w:bottom w:val="single" w:sz="8" w:space="0" w:color="auto"/>
            </w:tcBorders>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8"/>
        </w:trPr>
        <w:tc>
          <w:tcPr>
            <w:tcW w:w="3560" w:type="dxa"/>
            <w:tcBorders>
              <w:bottom w:val="single" w:sz="8" w:space="0" w:color="auto"/>
            </w:tcBorders>
            <w:shd w:val="clear" w:color="auto" w:fill="CCEEFF"/>
            <w:vAlign w:val="bottom"/>
          </w:tcPr>
          <w:p>
            <w:pPr>
              <w:spacing w:after="0" w:line="137" w:lineRule="exact"/>
              <w:rPr>
                <w:color w:val="auto"/>
                <w:sz w:val="20"/>
                <w:szCs w:val="20"/>
              </w:rPr>
            </w:pPr>
            <w:r>
              <w:rPr>
                <w:rFonts w:ascii="Calibri" w:eastAsia="Calibri" w:hAnsi="Calibri" w:cs="Calibri"/>
                <w:color w:val="auto"/>
                <w:sz w:val="12"/>
                <w:szCs w:val="12"/>
              </w:rPr>
              <w:t>Total</w:t>
            </w:r>
          </w:p>
        </w:tc>
        <w:tc>
          <w:tcPr>
            <w:tcW w:w="2060" w:type="dxa"/>
            <w:tcBorders>
              <w:bottom w:val="single" w:sz="8" w:space="0" w:color="auto"/>
            </w:tcBorders>
            <w:shd w:val="clear" w:color="auto" w:fill="CCEEFF"/>
            <w:vAlign w:val="bottom"/>
          </w:tcPr>
          <w:p>
            <w:pPr>
              <w:spacing w:after="0" w:line="137" w:lineRule="exact"/>
              <w:ind w:right="22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3,631</w:t>
            </w:r>
          </w:p>
        </w:tc>
        <w:tc>
          <w:tcPr>
            <w:tcW w:w="340" w:type="dxa"/>
            <w:gridSpan w:val="2"/>
            <w:tcBorders>
              <w:bottom w:val="single" w:sz="8" w:space="0" w:color="auto"/>
            </w:tcBorders>
            <w:shd w:val="clear" w:color="auto" w:fill="CCEEFF"/>
            <w:vAlign w:val="bottom"/>
          </w:tcPr>
          <w:p>
            <w:pPr>
              <w:spacing w:after="0" w:line="137" w:lineRule="exact"/>
              <w:ind w:right="141"/>
              <w:jc w:val="right"/>
              <w:rPr>
                <w:color w:val="auto"/>
                <w:sz w:val="20"/>
                <w:szCs w:val="20"/>
              </w:rPr>
            </w:pPr>
            <w:r>
              <w:rPr>
                <w:rFonts w:ascii="Calibri" w:eastAsia="Calibri" w:hAnsi="Calibri" w:cs="Calibri"/>
                <w:color w:val="auto"/>
                <w:sz w:val="12"/>
                <w:szCs w:val="12"/>
              </w:rPr>
              <w:t>$</w:t>
            </w:r>
          </w:p>
        </w:tc>
        <w:tc>
          <w:tcPr>
            <w:tcW w:w="1240" w:type="dxa"/>
            <w:tcBorders>
              <w:bottom w:val="single" w:sz="8" w:space="0" w:color="auto"/>
            </w:tcBorders>
            <w:shd w:val="clear" w:color="auto" w:fill="CCEEFF"/>
            <w:vAlign w:val="bottom"/>
          </w:tcPr>
          <w:p>
            <w:pPr>
              <w:spacing w:after="0" w:line="137" w:lineRule="exact"/>
              <w:ind w:right="22"/>
              <w:jc w:val="right"/>
              <w:rPr>
                <w:color w:val="auto"/>
                <w:sz w:val="20"/>
                <w:szCs w:val="20"/>
              </w:rPr>
            </w:pPr>
            <w:r>
              <w:rPr>
                <w:rFonts w:ascii="Calibri" w:eastAsia="Calibri" w:hAnsi="Calibri" w:cs="Calibri"/>
                <w:color w:val="auto"/>
                <w:sz w:val="12"/>
                <w:szCs w:val="12"/>
              </w:rPr>
              <w:t>2,392</w:t>
            </w:r>
          </w:p>
        </w:tc>
        <w:tc>
          <w:tcPr>
            <w:tcW w:w="16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w:t>
            </w:r>
          </w:p>
        </w:tc>
        <w:tc>
          <w:tcPr>
            <w:tcW w:w="1320" w:type="dxa"/>
            <w:tcBorders>
              <w:bottom w:val="single" w:sz="8" w:space="0" w:color="auto"/>
            </w:tcBorders>
            <w:shd w:val="clear" w:color="auto" w:fill="CCEEFF"/>
            <w:vAlign w:val="bottom"/>
          </w:tcPr>
          <w:p>
            <w:pPr>
              <w:spacing w:after="0" w:line="137" w:lineRule="exact"/>
              <w:ind w:right="4"/>
              <w:jc w:val="right"/>
              <w:rPr>
                <w:color w:val="auto"/>
                <w:sz w:val="20"/>
                <w:szCs w:val="20"/>
              </w:rPr>
            </w:pPr>
            <w:r>
              <w:rPr>
                <w:rFonts w:ascii="Calibri" w:eastAsia="Calibri" w:hAnsi="Calibri" w:cs="Calibri"/>
                <w:color w:val="auto"/>
                <w:sz w:val="12"/>
                <w:szCs w:val="12"/>
              </w:rPr>
              <w:t>1,239</w:t>
            </w:r>
          </w:p>
        </w:tc>
        <w:tc>
          <w:tcPr>
            <w:tcW w:w="16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w:t>
            </w:r>
          </w:p>
        </w:tc>
        <w:tc>
          <w:tcPr>
            <w:tcW w:w="1360" w:type="dxa"/>
            <w:tcBorders>
              <w:bottom w:val="single" w:sz="8" w:space="0" w:color="auto"/>
            </w:tcBorders>
            <w:shd w:val="clear" w:color="auto" w:fill="CCEEFF"/>
            <w:vAlign w:val="bottom"/>
          </w:tcPr>
          <w:p>
            <w:pPr>
              <w:spacing w:after="0" w:line="137"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47"/>
        </w:trPr>
        <w:tc>
          <w:tcPr>
            <w:tcW w:w="3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assets measured at NAV</w:t>
            </w:r>
          </w:p>
        </w:tc>
        <w:tc>
          <w:tcPr>
            <w:tcW w:w="206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6,920</w:t>
            </w:r>
          </w:p>
        </w:tc>
        <w:tc>
          <w:tcPr>
            <w:tcW w:w="100" w:type="dxa"/>
            <w:vAlign w:val="bottom"/>
          </w:tcPr>
          <w:p>
            <w:pPr>
              <w:spacing w:after="0"/>
              <w:rPr>
                <w:color w:val="auto"/>
                <w:sz w:val="12"/>
                <w:szCs w:val="12"/>
              </w:rPr>
            </w:pPr>
          </w:p>
        </w:tc>
        <w:tc>
          <w:tcPr>
            <w:tcW w:w="240" w:type="dxa"/>
            <w:vAlign w:val="bottom"/>
          </w:tcPr>
          <w:p>
            <w:pPr>
              <w:spacing w:after="0"/>
              <w:rPr>
                <w:color w:val="auto"/>
                <w:sz w:val="12"/>
                <w:szCs w:val="12"/>
              </w:rPr>
            </w:pPr>
          </w:p>
        </w:tc>
        <w:tc>
          <w:tcPr>
            <w:tcW w:w="12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32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360" w:type="dxa"/>
            <w:vAlign w:val="bottom"/>
          </w:tcPr>
          <w:p>
            <w:pPr>
              <w:spacing w:after="0"/>
              <w:rPr>
                <w:color w:val="auto"/>
                <w:sz w:val="12"/>
                <w:szCs w:val="12"/>
              </w:rPr>
            </w:pPr>
          </w:p>
        </w:tc>
      </w:tr>
      <w:tr>
        <w:tblPrEx>
          <w:tblInd w:w="8" w:type="dxa"/>
          <w:tblLayout w:type="fixed"/>
        </w:tblPrEx>
        <w:trPr>
          <w:trHeight w:val="164"/>
        </w:trPr>
        <w:tc>
          <w:tcPr>
            <w:tcW w:w="3560" w:type="dxa"/>
            <w:tcBorders>
              <w:bottom w:val="single" w:sz="8" w:space="0" w:color="auto"/>
            </w:tcBorders>
            <w:shd w:val="clear" w:color="auto" w:fill="CCEEFF"/>
            <w:vAlign w:val="bottom"/>
          </w:tcPr>
          <w:p>
            <w:pPr>
              <w:spacing w:after="0" w:line="137" w:lineRule="exact"/>
              <w:rPr>
                <w:color w:val="auto"/>
                <w:sz w:val="20"/>
                <w:szCs w:val="20"/>
              </w:rPr>
            </w:pPr>
            <w:r>
              <w:rPr>
                <w:rFonts w:ascii="Calibri" w:eastAsia="Calibri" w:hAnsi="Calibri" w:cs="Calibri"/>
                <w:color w:val="auto"/>
                <w:sz w:val="12"/>
                <w:szCs w:val="12"/>
              </w:rPr>
              <w:t>Fair value of plan assets</w:t>
            </w:r>
          </w:p>
        </w:tc>
        <w:tc>
          <w:tcPr>
            <w:tcW w:w="2060" w:type="dxa"/>
            <w:tcBorders>
              <w:bottom w:val="single" w:sz="8" w:space="0" w:color="auto"/>
            </w:tcBorders>
            <w:shd w:val="clear" w:color="auto" w:fill="CCEEFF"/>
            <w:vAlign w:val="bottom"/>
          </w:tcPr>
          <w:p>
            <w:pPr>
              <w:spacing w:after="0" w:line="137" w:lineRule="exact"/>
              <w:ind w:right="22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10,551</w:t>
            </w:r>
          </w:p>
        </w:tc>
        <w:tc>
          <w:tcPr>
            <w:tcW w:w="100" w:type="dxa"/>
            <w:vAlign w:val="bottom"/>
          </w:tcPr>
          <w:p>
            <w:pPr>
              <w:spacing w:after="0"/>
              <w:rPr>
                <w:color w:val="auto"/>
                <w:sz w:val="14"/>
                <w:szCs w:val="14"/>
              </w:rPr>
            </w:pPr>
          </w:p>
        </w:tc>
        <w:tc>
          <w:tcPr>
            <w:tcW w:w="240" w:type="dxa"/>
            <w:vAlign w:val="bottom"/>
          </w:tcPr>
          <w:p>
            <w:pPr>
              <w:spacing w:after="0"/>
              <w:rPr>
                <w:color w:val="auto"/>
                <w:sz w:val="14"/>
                <w:szCs w:val="14"/>
              </w:rPr>
            </w:pPr>
          </w:p>
        </w:tc>
        <w:tc>
          <w:tcPr>
            <w:tcW w:w="124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132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1360" w:type="dxa"/>
            <w:vAlign w:val="bottom"/>
          </w:tcPr>
          <w:p>
            <w:pPr>
              <w:spacing w:after="0"/>
              <w:rPr>
                <w:color w:val="auto"/>
                <w:sz w:val="14"/>
                <w:szCs w:val="14"/>
              </w:rPr>
            </w:pPr>
          </w:p>
        </w:tc>
      </w:tr>
      <w:tr>
        <w:tblPrEx>
          <w:tblInd w:w="8" w:type="dxa"/>
          <w:tblLayout w:type="fixed"/>
        </w:tblPrEx>
        <w:trPr>
          <w:trHeight w:val="274"/>
        </w:trPr>
        <w:tc>
          <w:tcPr>
            <w:tcW w:w="3560" w:type="dxa"/>
            <w:vAlign w:val="bottom"/>
          </w:tcPr>
          <w:p>
            <w:pPr>
              <w:spacing w:after="0"/>
              <w:rPr>
                <w:color w:val="auto"/>
                <w:sz w:val="23"/>
                <w:szCs w:val="23"/>
              </w:rPr>
            </w:pPr>
          </w:p>
        </w:tc>
        <w:tc>
          <w:tcPr>
            <w:tcW w:w="2060" w:type="dxa"/>
            <w:vAlign w:val="bottom"/>
          </w:tcPr>
          <w:p>
            <w:pPr>
              <w:spacing w:after="0"/>
              <w:rPr>
                <w:color w:val="auto"/>
                <w:sz w:val="23"/>
                <w:szCs w:val="23"/>
              </w:rPr>
            </w:pPr>
          </w:p>
        </w:tc>
        <w:tc>
          <w:tcPr>
            <w:tcW w:w="1100" w:type="dxa"/>
            <w:vAlign w:val="bottom"/>
          </w:tcPr>
          <w:p>
            <w:pPr>
              <w:spacing w:after="0"/>
              <w:rPr>
                <w:color w:val="auto"/>
                <w:sz w:val="23"/>
                <w:szCs w:val="23"/>
              </w:rPr>
            </w:pPr>
          </w:p>
        </w:tc>
        <w:tc>
          <w:tcPr>
            <w:tcW w:w="100" w:type="dxa"/>
            <w:vAlign w:val="bottom"/>
          </w:tcPr>
          <w:p>
            <w:pPr>
              <w:spacing w:after="0"/>
              <w:rPr>
                <w:color w:val="auto"/>
                <w:sz w:val="23"/>
                <w:szCs w:val="23"/>
              </w:rPr>
            </w:pPr>
          </w:p>
        </w:tc>
        <w:tc>
          <w:tcPr>
            <w:tcW w:w="240" w:type="dxa"/>
            <w:vAlign w:val="bottom"/>
          </w:tcPr>
          <w:p>
            <w:pPr>
              <w:spacing w:after="0"/>
              <w:rPr>
                <w:color w:val="auto"/>
                <w:sz w:val="23"/>
                <w:szCs w:val="23"/>
              </w:rPr>
            </w:pPr>
          </w:p>
        </w:tc>
        <w:tc>
          <w:tcPr>
            <w:tcW w:w="1240" w:type="dxa"/>
            <w:vAlign w:val="bottom"/>
          </w:tcPr>
          <w:p>
            <w:pPr>
              <w:spacing w:after="0"/>
              <w:rPr>
                <w:color w:val="auto"/>
                <w:sz w:val="23"/>
                <w:szCs w:val="23"/>
              </w:rPr>
            </w:pPr>
          </w:p>
        </w:tc>
        <w:tc>
          <w:tcPr>
            <w:tcW w:w="1480" w:type="dxa"/>
            <w:gridSpan w:val="2"/>
            <w:vAlign w:val="bottom"/>
          </w:tcPr>
          <w:p>
            <w:pPr>
              <w:spacing w:after="0"/>
              <w:jc w:val="center"/>
              <w:rPr>
                <w:color w:val="auto"/>
                <w:sz w:val="20"/>
                <w:szCs w:val="20"/>
              </w:rPr>
            </w:pPr>
            <w:r>
              <w:rPr>
                <w:rFonts w:ascii="Calibri" w:eastAsia="Calibri" w:hAnsi="Calibri" w:cs="Calibri"/>
                <w:b/>
                <w:bCs/>
                <w:color w:val="auto"/>
                <w:w w:val="96"/>
                <w:sz w:val="10"/>
                <w:szCs w:val="10"/>
              </w:rPr>
              <w:t>Basis of fair value measurement</w:t>
            </w:r>
          </w:p>
        </w:tc>
        <w:tc>
          <w:tcPr>
            <w:tcW w:w="160" w:type="dxa"/>
            <w:vAlign w:val="bottom"/>
          </w:tcPr>
          <w:p>
            <w:pPr>
              <w:spacing w:after="0"/>
              <w:rPr>
                <w:color w:val="auto"/>
                <w:sz w:val="23"/>
                <w:szCs w:val="23"/>
              </w:rPr>
            </w:pPr>
          </w:p>
        </w:tc>
        <w:tc>
          <w:tcPr>
            <w:tcW w:w="1360" w:type="dxa"/>
            <w:vAlign w:val="bottom"/>
          </w:tcPr>
          <w:p>
            <w:pPr>
              <w:spacing w:after="0"/>
              <w:rPr>
                <w:color w:val="auto"/>
                <w:sz w:val="23"/>
                <w:szCs w:val="23"/>
              </w:rPr>
            </w:pPr>
          </w:p>
        </w:tc>
      </w:tr>
      <w:tr>
        <w:tblPrEx>
          <w:tblInd w:w="8" w:type="dxa"/>
          <w:tblLayout w:type="fixed"/>
        </w:tblPrEx>
        <w:trPr>
          <w:trHeight w:val="32"/>
        </w:trPr>
        <w:tc>
          <w:tcPr>
            <w:tcW w:w="3560" w:type="dxa"/>
            <w:vAlign w:val="bottom"/>
          </w:tcPr>
          <w:p>
            <w:pPr>
              <w:spacing w:after="0"/>
              <w:rPr>
                <w:color w:val="auto"/>
                <w:sz w:val="2"/>
                <w:szCs w:val="2"/>
              </w:rPr>
            </w:pPr>
          </w:p>
        </w:tc>
        <w:tc>
          <w:tcPr>
            <w:tcW w:w="2060" w:type="dxa"/>
            <w:vAlign w:val="bottom"/>
          </w:tcPr>
          <w:p>
            <w:pPr>
              <w:spacing w:after="0"/>
              <w:rPr>
                <w:color w:val="auto"/>
                <w:sz w:val="2"/>
                <w:szCs w:val="2"/>
              </w:rPr>
            </w:pPr>
          </w:p>
        </w:tc>
        <w:tc>
          <w:tcPr>
            <w:tcW w:w="1100" w:type="dxa"/>
            <w:vAlign w:val="bottom"/>
          </w:tcPr>
          <w:p>
            <w:pPr>
              <w:spacing w:after="0"/>
              <w:rPr>
                <w:color w:val="auto"/>
                <w:sz w:val="2"/>
                <w:szCs w:val="2"/>
              </w:rPr>
            </w:pPr>
          </w:p>
        </w:tc>
        <w:tc>
          <w:tcPr>
            <w:tcW w:w="100" w:type="dxa"/>
            <w:vAlign w:val="bottom"/>
          </w:tcPr>
          <w:p>
            <w:pPr>
              <w:spacing w:after="0"/>
              <w:rPr>
                <w:color w:val="auto"/>
                <w:sz w:val="2"/>
                <w:szCs w:val="2"/>
              </w:rPr>
            </w:pPr>
          </w:p>
        </w:tc>
        <w:tc>
          <w:tcPr>
            <w:tcW w:w="1480" w:type="dxa"/>
            <w:gridSpan w:val="2"/>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360" w:type="dxa"/>
            <w:tcBorders>
              <w:bottom w:val="single" w:sz="8" w:space="0" w:color="auto"/>
            </w:tcBorders>
            <w:vAlign w:val="bottom"/>
          </w:tcPr>
          <w:p>
            <w:pPr>
              <w:spacing w:after="0"/>
              <w:rPr>
                <w:color w:val="auto"/>
                <w:sz w:val="2"/>
                <w:szCs w:val="2"/>
              </w:rPr>
            </w:pPr>
          </w:p>
        </w:tc>
      </w:tr>
      <w:tr>
        <w:tblPrEx>
          <w:tblInd w:w="8" w:type="dxa"/>
          <w:tblLayout w:type="fixed"/>
        </w:tblPrEx>
        <w:trPr>
          <w:trHeight w:val="79"/>
        </w:trPr>
        <w:tc>
          <w:tcPr>
            <w:tcW w:w="3560" w:type="dxa"/>
            <w:vAlign w:val="bottom"/>
          </w:tcPr>
          <w:p>
            <w:pPr>
              <w:spacing w:after="0"/>
              <w:rPr>
                <w:color w:val="auto"/>
                <w:sz w:val="6"/>
                <w:szCs w:val="6"/>
              </w:rPr>
            </w:pPr>
          </w:p>
        </w:tc>
        <w:tc>
          <w:tcPr>
            <w:tcW w:w="2060" w:type="dxa"/>
            <w:vAlign w:val="bottom"/>
          </w:tcPr>
          <w:p>
            <w:pPr>
              <w:spacing w:after="0"/>
              <w:rPr>
                <w:color w:val="auto"/>
                <w:sz w:val="6"/>
                <w:szCs w:val="6"/>
              </w:rPr>
            </w:pPr>
          </w:p>
        </w:tc>
        <w:tc>
          <w:tcPr>
            <w:tcW w:w="1100" w:type="dxa"/>
            <w:vAlign w:val="bottom"/>
          </w:tcPr>
          <w:p>
            <w:pPr>
              <w:spacing w:after="0"/>
              <w:rPr>
                <w:color w:val="auto"/>
                <w:sz w:val="6"/>
                <w:szCs w:val="6"/>
              </w:rPr>
            </w:pPr>
          </w:p>
        </w:tc>
        <w:tc>
          <w:tcPr>
            <w:tcW w:w="100" w:type="dxa"/>
            <w:vAlign w:val="bottom"/>
          </w:tcPr>
          <w:p>
            <w:pPr>
              <w:spacing w:after="0"/>
              <w:rPr>
                <w:color w:val="auto"/>
                <w:sz w:val="6"/>
                <w:szCs w:val="6"/>
              </w:rPr>
            </w:pPr>
          </w:p>
        </w:tc>
        <w:tc>
          <w:tcPr>
            <w:tcW w:w="1480" w:type="dxa"/>
            <w:gridSpan w:val="2"/>
            <w:vAlign w:val="bottom"/>
          </w:tcPr>
          <w:p>
            <w:pPr>
              <w:spacing w:after="0" w:line="79" w:lineRule="exact"/>
              <w:jc w:val="center"/>
              <w:rPr>
                <w:color w:val="auto"/>
                <w:sz w:val="20"/>
                <w:szCs w:val="20"/>
              </w:rPr>
            </w:pPr>
            <w:r>
              <w:rPr>
                <w:rFonts w:ascii="Calibri" w:eastAsia="Calibri" w:hAnsi="Calibri" w:cs="Calibri"/>
                <w:b/>
                <w:bCs/>
                <w:color w:val="auto"/>
                <w:sz w:val="8"/>
                <w:szCs w:val="8"/>
              </w:rPr>
              <w:t>Quoted prices in actve markets for</w:t>
            </w:r>
          </w:p>
        </w:tc>
        <w:tc>
          <w:tcPr>
            <w:tcW w:w="160" w:type="dxa"/>
            <w:vAlign w:val="bottom"/>
          </w:tcPr>
          <w:p>
            <w:pPr>
              <w:spacing w:after="0"/>
              <w:rPr>
                <w:color w:val="auto"/>
                <w:sz w:val="6"/>
                <w:szCs w:val="6"/>
              </w:rPr>
            </w:pPr>
          </w:p>
        </w:tc>
        <w:tc>
          <w:tcPr>
            <w:tcW w:w="1320" w:type="dxa"/>
            <w:vAlign w:val="bottom"/>
          </w:tcPr>
          <w:p>
            <w:pPr>
              <w:spacing w:after="0" w:line="79" w:lineRule="exact"/>
              <w:ind w:right="64"/>
              <w:jc w:val="center"/>
              <w:rPr>
                <w:color w:val="auto"/>
                <w:sz w:val="20"/>
                <w:szCs w:val="20"/>
              </w:rPr>
            </w:pPr>
            <w:r>
              <w:rPr>
                <w:rFonts w:ascii="Calibri" w:eastAsia="Calibri" w:hAnsi="Calibri" w:cs="Calibri"/>
                <w:b/>
                <w:bCs/>
                <w:color w:val="auto"/>
                <w:sz w:val="8"/>
                <w:szCs w:val="8"/>
              </w:rPr>
              <w:t>Signifcant other observable</w:t>
            </w:r>
          </w:p>
        </w:tc>
        <w:tc>
          <w:tcPr>
            <w:tcW w:w="160" w:type="dxa"/>
            <w:vAlign w:val="bottom"/>
          </w:tcPr>
          <w:p>
            <w:pPr>
              <w:spacing w:after="0"/>
              <w:rPr>
                <w:color w:val="auto"/>
                <w:sz w:val="6"/>
                <w:szCs w:val="6"/>
              </w:rPr>
            </w:pPr>
          </w:p>
        </w:tc>
        <w:tc>
          <w:tcPr>
            <w:tcW w:w="1360" w:type="dxa"/>
            <w:vAlign w:val="bottom"/>
          </w:tcPr>
          <w:p>
            <w:pPr>
              <w:spacing w:after="0"/>
              <w:rPr>
                <w:color w:val="auto"/>
                <w:sz w:val="6"/>
                <w:szCs w:val="6"/>
              </w:rPr>
            </w:pPr>
          </w:p>
        </w:tc>
      </w:tr>
      <w:tr>
        <w:tblPrEx>
          <w:tblInd w:w="8" w:type="dxa"/>
          <w:tblLayout w:type="fixed"/>
        </w:tblPrEx>
        <w:trPr>
          <w:trHeight w:val="90"/>
        </w:trPr>
        <w:tc>
          <w:tcPr>
            <w:tcW w:w="3560" w:type="dxa"/>
            <w:vAlign w:val="bottom"/>
          </w:tcPr>
          <w:p>
            <w:pPr>
              <w:spacing w:after="0"/>
              <w:rPr>
                <w:color w:val="auto"/>
                <w:sz w:val="7"/>
                <w:szCs w:val="7"/>
              </w:rPr>
            </w:pPr>
          </w:p>
        </w:tc>
        <w:tc>
          <w:tcPr>
            <w:tcW w:w="2060" w:type="dxa"/>
            <w:vAlign w:val="bottom"/>
          </w:tcPr>
          <w:p>
            <w:pPr>
              <w:spacing w:after="0"/>
              <w:rPr>
                <w:color w:val="auto"/>
                <w:sz w:val="7"/>
                <w:szCs w:val="7"/>
              </w:rPr>
            </w:pPr>
          </w:p>
        </w:tc>
        <w:tc>
          <w:tcPr>
            <w:tcW w:w="1100" w:type="dxa"/>
            <w:vAlign w:val="bottom"/>
          </w:tcPr>
          <w:p>
            <w:pPr>
              <w:spacing w:after="0"/>
              <w:rPr>
                <w:color w:val="auto"/>
                <w:sz w:val="7"/>
                <w:szCs w:val="7"/>
              </w:rPr>
            </w:pPr>
          </w:p>
        </w:tc>
        <w:tc>
          <w:tcPr>
            <w:tcW w:w="100" w:type="dxa"/>
            <w:vAlign w:val="bottom"/>
          </w:tcPr>
          <w:p>
            <w:pPr>
              <w:spacing w:after="0"/>
              <w:rPr>
                <w:color w:val="auto"/>
                <w:sz w:val="7"/>
                <w:szCs w:val="7"/>
              </w:rPr>
            </w:pPr>
          </w:p>
        </w:tc>
        <w:tc>
          <w:tcPr>
            <w:tcW w:w="240" w:type="dxa"/>
            <w:vAlign w:val="bottom"/>
          </w:tcPr>
          <w:p>
            <w:pPr>
              <w:spacing w:after="0"/>
              <w:rPr>
                <w:color w:val="auto"/>
                <w:sz w:val="7"/>
                <w:szCs w:val="7"/>
              </w:rPr>
            </w:pPr>
          </w:p>
        </w:tc>
        <w:tc>
          <w:tcPr>
            <w:tcW w:w="1240" w:type="dxa"/>
            <w:vAlign w:val="bottom"/>
          </w:tcPr>
          <w:p>
            <w:pPr>
              <w:spacing w:after="0" w:line="90" w:lineRule="exact"/>
              <w:ind w:right="222"/>
              <w:jc w:val="center"/>
              <w:rPr>
                <w:color w:val="auto"/>
                <w:sz w:val="20"/>
                <w:szCs w:val="20"/>
              </w:rPr>
            </w:pPr>
            <w:r>
              <w:rPr>
                <w:rFonts w:ascii="Calibri" w:eastAsia="Calibri" w:hAnsi="Calibri" w:cs="Calibri"/>
                <w:b/>
                <w:bCs/>
                <w:color w:val="auto"/>
                <w:sz w:val="8"/>
                <w:szCs w:val="8"/>
              </w:rPr>
              <w:t>identcal assets</w:t>
            </w:r>
          </w:p>
        </w:tc>
        <w:tc>
          <w:tcPr>
            <w:tcW w:w="160" w:type="dxa"/>
            <w:vAlign w:val="bottom"/>
          </w:tcPr>
          <w:p>
            <w:pPr>
              <w:spacing w:after="0"/>
              <w:rPr>
                <w:color w:val="auto"/>
                <w:sz w:val="7"/>
                <w:szCs w:val="7"/>
              </w:rPr>
            </w:pPr>
          </w:p>
        </w:tc>
        <w:tc>
          <w:tcPr>
            <w:tcW w:w="1320" w:type="dxa"/>
            <w:vAlign w:val="bottom"/>
          </w:tcPr>
          <w:p>
            <w:pPr>
              <w:spacing w:after="0" w:line="90" w:lineRule="exact"/>
              <w:ind w:right="64"/>
              <w:jc w:val="center"/>
              <w:rPr>
                <w:color w:val="auto"/>
                <w:sz w:val="20"/>
                <w:szCs w:val="20"/>
              </w:rPr>
            </w:pPr>
            <w:r>
              <w:rPr>
                <w:rFonts w:ascii="Calibri" w:eastAsia="Calibri" w:hAnsi="Calibri" w:cs="Calibri"/>
                <w:b/>
                <w:bCs/>
                <w:color w:val="auto"/>
                <w:sz w:val="8"/>
                <w:szCs w:val="8"/>
              </w:rPr>
              <w:t>inputs</w:t>
            </w:r>
          </w:p>
        </w:tc>
        <w:tc>
          <w:tcPr>
            <w:tcW w:w="160" w:type="dxa"/>
            <w:vAlign w:val="bottom"/>
          </w:tcPr>
          <w:p>
            <w:pPr>
              <w:spacing w:after="0"/>
              <w:rPr>
                <w:color w:val="auto"/>
                <w:sz w:val="7"/>
                <w:szCs w:val="7"/>
              </w:rPr>
            </w:pPr>
          </w:p>
        </w:tc>
        <w:tc>
          <w:tcPr>
            <w:tcW w:w="1360" w:type="dxa"/>
            <w:vAlign w:val="bottom"/>
          </w:tcPr>
          <w:p>
            <w:pPr>
              <w:spacing w:after="0" w:line="90" w:lineRule="exact"/>
              <w:ind w:right="42"/>
              <w:jc w:val="center"/>
              <w:rPr>
                <w:color w:val="auto"/>
                <w:sz w:val="20"/>
                <w:szCs w:val="20"/>
              </w:rPr>
            </w:pPr>
            <w:r>
              <w:rPr>
                <w:rFonts w:ascii="Calibri" w:eastAsia="Calibri" w:hAnsi="Calibri" w:cs="Calibri"/>
                <w:b/>
                <w:bCs/>
                <w:color w:val="auto"/>
                <w:sz w:val="8"/>
                <w:szCs w:val="8"/>
              </w:rPr>
              <w:t>Signifcant unobservable inputs</w:t>
            </w:r>
          </w:p>
        </w:tc>
      </w:tr>
      <w:tr>
        <w:tblPrEx>
          <w:tblInd w:w="8" w:type="dxa"/>
          <w:tblLayout w:type="fixed"/>
        </w:tblPrEx>
        <w:trPr>
          <w:trHeight w:val="121"/>
        </w:trPr>
        <w:tc>
          <w:tcPr>
            <w:tcW w:w="3560" w:type="dxa"/>
            <w:vAlign w:val="bottom"/>
          </w:tcPr>
          <w:p>
            <w:pPr>
              <w:spacing w:after="0" w:line="112" w:lineRule="exact"/>
              <w:rPr>
                <w:color w:val="auto"/>
                <w:sz w:val="20"/>
                <w:szCs w:val="20"/>
              </w:rPr>
            </w:pPr>
            <w:r>
              <w:rPr>
                <w:rFonts w:ascii="Calibri" w:eastAsia="Calibri" w:hAnsi="Calibri" w:cs="Calibri"/>
                <w:b/>
                <w:bCs/>
                <w:color w:val="auto"/>
                <w:sz w:val="10"/>
                <w:szCs w:val="10"/>
              </w:rPr>
              <w:t>as of December 31 (in millions)</w:t>
            </w:r>
          </w:p>
        </w:tc>
        <w:tc>
          <w:tcPr>
            <w:tcW w:w="2060" w:type="dxa"/>
            <w:vAlign w:val="bottom"/>
          </w:tcPr>
          <w:p>
            <w:pPr>
              <w:spacing w:after="0"/>
              <w:rPr>
                <w:color w:val="auto"/>
                <w:sz w:val="10"/>
                <w:szCs w:val="10"/>
              </w:rPr>
            </w:pPr>
          </w:p>
        </w:tc>
        <w:tc>
          <w:tcPr>
            <w:tcW w:w="1100" w:type="dxa"/>
            <w:vAlign w:val="bottom"/>
          </w:tcPr>
          <w:p>
            <w:pPr>
              <w:spacing w:after="0" w:line="112" w:lineRule="exact"/>
              <w:ind w:right="561"/>
              <w:jc w:val="right"/>
              <w:rPr>
                <w:color w:val="auto"/>
                <w:sz w:val="20"/>
                <w:szCs w:val="20"/>
              </w:rPr>
            </w:pPr>
            <w:r>
              <w:rPr>
                <w:rFonts w:ascii="Calibri" w:eastAsia="Calibri" w:hAnsi="Calibri" w:cs="Calibri"/>
                <w:b/>
                <w:bCs/>
                <w:color w:val="auto"/>
                <w:sz w:val="10"/>
                <w:szCs w:val="10"/>
              </w:rPr>
              <w:t>2023</w:t>
            </w:r>
          </w:p>
        </w:tc>
        <w:tc>
          <w:tcPr>
            <w:tcW w:w="100" w:type="dxa"/>
            <w:vAlign w:val="bottom"/>
          </w:tcPr>
          <w:p>
            <w:pPr>
              <w:spacing w:after="0"/>
              <w:rPr>
                <w:color w:val="auto"/>
                <w:sz w:val="10"/>
                <w:szCs w:val="10"/>
              </w:rPr>
            </w:pPr>
          </w:p>
        </w:tc>
        <w:tc>
          <w:tcPr>
            <w:tcW w:w="240" w:type="dxa"/>
            <w:vAlign w:val="bottom"/>
          </w:tcPr>
          <w:p>
            <w:pPr>
              <w:spacing w:after="0"/>
              <w:rPr>
                <w:color w:val="auto"/>
                <w:sz w:val="10"/>
                <w:szCs w:val="10"/>
              </w:rPr>
            </w:pPr>
          </w:p>
        </w:tc>
        <w:tc>
          <w:tcPr>
            <w:tcW w:w="1240" w:type="dxa"/>
            <w:vAlign w:val="bottom"/>
          </w:tcPr>
          <w:p>
            <w:pPr>
              <w:spacing w:after="0" w:line="112" w:lineRule="exact"/>
              <w:ind w:right="202"/>
              <w:jc w:val="center"/>
              <w:rPr>
                <w:color w:val="auto"/>
                <w:sz w:val="20"/>
                <w:szCs w:val="20"/>
              </w:rPr>
            </w:pPr>
            <w:r>
              <w:rPr>
                <w:rFonts w:ascii="Calibri" w:eastAsia="Calibri" w:hAnsi="Calibri" w:cs="Calibri"/>
                <w:b/>
                <w:bCs/>
                <w:color w:val="auto"/>
                <w:w w:val="96"/>
                <w:sz w:val="10"/>
                <w:szCs w:val="10"/>
              </w:rPr>
              <w:t>(Level 1)</w:t>
            </w:r>
          </w:p>
        </w:tc>
        <w:tc>
          <w:tcPr>
            <w:tcW w:w="160" w:type="dxa"/>
            <w:vAlign w:val="bottom"/>
          </w:tcPr>
          <w:p>
            <w:pPr>
              <w:spacing w:after="0"/>
              <w:rPr>
                <w:color w:val="auto"/>
                <w:sz w:val="10"/>
                <w:szCs w:val="10"/>
              </w:rPr>
            </w:pPr>
          </w:p>
        </w:tc>
        <w:tc>
          <w:tcPr>
            <w:tcW w:w="1320" w:type="dxa"/>
            <w:vAlign w:val="bottom"/>
          </w:tcPr>
          <w:p>
            <w:pPr>
              <w:spacing w:after="0" w:line="112" w:lineRule="exact"/>
              <w:ind w:right="44"/>
              <w:jc w:val="center"/>
              <w:rPr>
                <w:color w:val="auto"/>
                <w:sz w:val="20"/>
                <w:szCs w:val="20"/>
              </w:rPr>
            </w:pPr>
            <w:r>
              <w:rPr>
                <w:rFonts w:ascii="Calibri" w:eastAsia="Calibri" w:hAnsi="Calibri" w:cs="Calibri"/>
                <w:b/>
                <w:bCs/>
                <w:color w:val="auto"/>
                <w:w w:val="96"/>
                <w:sz w:val="10"/>
                <w:szCs w:val="10"/>
              </w:rPr>
              <w:t>(Level 2)</w:t>
            </w:r>
          </w:p>
        </w:tc>
        <w:tc>
          <w:tcPr>
            <w:tcW w:w="160" w:type="dxa"/>
            <w:vAlign w:val="bottom"/>
          </w:tcPr>
          <w:p>
            <w:pPr>
              <w:spacing w:after="0"/>
              <w:rPr>
                <w:color w:val="auto"/>
                <w:sz w:val="10"/>
                <w:szCs w:val="10"/>
              </w:rPr>
            </w:pPr>
          </w:p>
        </w:tc>
        <w:tc>
          <w:tcPr>
            <w:tcW w:w="1360" w:type="dxa"/>
            <w:vAlign w:val="bottom"/>
          </w:tcPr>
          <w:p>
            <w:pPr>
              <w:spacing w:after="0" w:line="121" w:lineRule="exact"/>
              <w:ind w:right="22"/>
              <w:jc w:val="center"/>
              <w:rPr>
                <w:color w:val="auto"/>
                <w:sz w:val="20"/>
                <w:szCs w:val="20"/>
              </w:rPr>
            </w:pPr>
            <w:r>
              <w:rPr>
                <w:rFonts w:ascii="Calibri" w:eastAsia="Calibri" w:hAnsi="Calibri" w:cs="Calibri"/>
                <w:b/>
                <w:bCs/>
                <w:color w:val="auto"/>
                <w:w w:val="91"/>
                <w:sz w:val="10"/>
                <w:szCs w:val="10"/>
              </w:rPr>
              <w:t>(Level 3)</w:t>
            </w:r>
          </w:p>
        </w:tc>
      </w:tr>
      <w:tr>
        <w:tblPrEx>
          <w:tblInd w:w="8" w:type="dxa"/>
          <w:tblLayout w:type="fixed"/>
        </w:tblPrEx>
        <w:trPr>
          <w:trHeight w:val="23"/>
        </w:trPr>
        <w:tc>
          <w:tcPr>
            <w:tcW w:w="3560" w:type="dxa"/>
            <w:tcBorders>
              <w:bottom w:val="single" w:sz="8" w:space="0" w:color="auto"/>
            </w:tcBorders>
            <w:vAlign w:val="bottom"/>
          </w:tcPr>
          <w:p>
            <w:pPr>
              <w:spacing w:after="0"/>
              <w:rPr>
                <w:color w:val="auto"/>
                <w:sz w:val="2"/>
                <w:szCs w:val="2"/>
              </w:rPr>
            </w:pPr>
          </w:p>
        </w:tc>
        <w:tc>
          <w:tcPr>
            <w:tcW w:w="206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240" w:type="dxa"/>
            <w:tcBorders>
              <w:bottom w:val="single" w:sz="8" w:space="0" w:color="auto"/>
            </w:tcBorders>
            <w:vAlign w:val="bottom"/>
          </w:tcPr>
          <w:p>
            <w:pPr>
              <w:spacing w:after="0"/>
              <w:rPr>
                <w:color w:val="auto"/>
                <w:sz w:val="2"/>
                <w:szCs w:val="2"/>
              </w:rPr>
            </w:pPr>
          </w:p>
        </w:tc>
        <w:tc>
          <w:tcPr>
            <w:tcW w:w="124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360" w:type="dxa"/>
            <w:tcBorders>
              <w:bottom w:val="single" w:sz="8" w:space="0" w:color="auto"/>
            </w:tcBorders>
            <w:vAlign w:val="bottom"/>
          </w:tcPr>
          <w:p>
            <w:pPr>
              <w:spacing w:after="0"/>
              <w:rPr>
                <w:color w:val="auto"/>
                <w:sz w:val="2"/>
                <w:szCs w:val="2"/>
              </w:rPr>
            </w:pPr>
          </w:p>
        </w:tc>
      </w:tr>
      <w:tr>
        <w:tblPrEx>
          <w:tblInd w:w="8" w:type="dxa"/>
          <w:tblLayout w:type="fixed"/>
        </w:tblPrEx>
        <w:trPr>
          <w:trHeight w:val="136"/>
        </w:trPr>
        <w:tc>
          <w:tcPr>
            <w:tcW w:w="3560" w:type="dxa"/>
            <w:vAlign w:val="bottom"/>
          </w:tcPr>
          <w:p>
            <w:pPr>
              <w:spacing w:after="0" w:line="137" w:lineRule="exact"/>
              <w:rPr>
                <w:color w:val="auto"/>
                <w:sz w:val="20"/>
                <w:szCs w:val="20"/>
              </w:rPr>
            </w:pPr>
            <w:r>
              <w:rPr>
                <w:rFonts w:ascii="Calibri" w:eastAsia="Calibri" w:hAnsi="Calibri" w:cs="Calibri"/>
                <w:color w:val="auto"/>
                <w:sz w:val="12"/>
                <w:szCs w:val="12"/>
              </w:rPr>
              <w:t>Equites</w:t>
            </w:r>
          </w:p>
        </w:tc>
        <w:tc>
          <w:tcPr>
            <w:tcW w:w="2060" w:type="dxa"/>
            <w:vAlign w:val="bottom"/>
          </w:tcPr>
          <w:p>
            <w:pPr>
              <w:spacing w:after="0"/>
              <w:rPr>
                <w:color w:val="auto"/>
                <w:sz w:val="11"/>
                <w:szCs w:val="11"/>
              </w:rPr>
            </w:pPr>
          </w:p>
        </w:tc>
        <w:tc>
          <w:tcPr>
            <w:tcW w:w="1100" w:type="dxa"/>
            <w:vAlign w:val="bottom"/>
          </w:tcPr>
          <w:p>
            <w:pPr>
              <w:spacing w:after="0"/>
              <w:rPr>
                <w:color w:val="auto"/>
                <w:sz w:val="11"/>
                <w:szCs w:val="11"/>
              </w:rPr>
            </w:pPr>
          </w:p>
        </w:tc>
        <w:tc>
          <w:tcPr>
            <w:tcW w:w="100" w:type="dxa"/>
            <w:vAlign w:val="bottom"/>
          </w:tcPr>
          <w:p>
            <w:pPr>
              <w:spacing w:after="0"/>
              <w:rPr>
                <w:color w:val="auto"/>
                <w:sz w:val="11"/>
                <w:szCs w:val="11"/>
              </w:rPr>
            </w:pPr>
          </w:p>
        </w:tc>
        <w:tc>
          <w:tcPr>
            <w:tcW w:w="240" w:type="dxa"/>
            <w:vAlign w:val="bottom"/>
          </w:tcPr>
          <w:p>
            <w:pPr>
              <w:spacing w:after="0"/>
              <w:rPr>
                <w:color w:val="auto"/>
                <w:sz w:val="11"/>
                <w:szCs w:val="11"/>
              </w:rPr>
            </w:pPr>
          </w:p>
        </w:tc>
        <w:tc>
          <w:tcPr>
            <w:tcW w:w="124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1320" w:type="dxa"/>
            <w:vAlign w:val="bottom"/>
          </w:tcPr>
          <w:p>
            <w:pPr>
              <w:spacing w:after="0"/>
              <w:rPr>
                <w:color w:val="auto"/>
                <w:sz w:val="11"/>
                <w:szCs w:val="11"/>
              </w:rPr>
            </w:pPr>
          </w:p>
        </w:tc>
        <w:tc>
          <w:tcPr>
            <w:tcW w:w="160" w:type="dxa"/>
            <w:vAlign w:val="bottom"/>
          </w:tcPr>
          <w:p>
            <w:pPr>
              <w:spacing w:after="0"/>
              <w:rPr>
                <w:color w:val="auto"/>
                <w:sz w:val="11"/>
                <w:szCs w:val="11"/>
              </w:rPr>
            </w:pPr>
          </w:p>
        </w:tc>
        <w:tc>
          <w:tcPr>
            <w:tcW w:w="1360" w:type="dxa"/>
            <w:vAlign w:val="bottom"/>
          </w:tcPr>
          <w:p>
            <w:pPr>
              <w:spacing w:after="0"/>
              <w:rPr>
                <w:color w:val="auto"/>
                <w:sz w:val="11"/>
                <w:szCs w:val="11"/>
              </w:rPr>
            </w:pPr>
          </w:p>
        </w:tc>
      </w:tr>
      <w:tr>
        <w:tblPrEx>
          <w:tblInd w:w="8" w:type="dxa"/>
          <w:tblLayout w:type="fixed"/>
        </w:tblPrEx>
        <w:trPr>
          <w:trHeight w:val="159"/>
        </w:trPr>
        <w:tc>
          <w:tcPr>
            <w:tcW w:w="3560" w:type="dxa"/>
            <w:shd w:val="clear" w:color="auto" w:fill="CCEEFF"/>
            <w:vAlign w:val="bottom"/>
          </w:tcPr>
          <w:p>
            <w:pPr>
              <w:spacing w:after="0" w:line="158" w:lineRule="exact"/>
              <w:ind w:left="240"/>
              <w:rPr>
                <w:color w:val="auto"/>
                <w:sz w:val="20"/>
                <w:szCs w:val="20"/>
              </w:rPr>
            </w:pPr>
            <w:r>
              <w:rPr>
                <w:rFonts w:ascii="Calibri" w:eastAsia="Calibri" w:hAnsi="Calibri" w:cs="Calibri"/>
                <w:color w:val="auto"/>
                <w:sz w:val="12"/>
                <w:szCs w:val="12"/>
              </w:rPr>
              <w:t>U.S. large cap</w:t>
            </w:r>
            <w:r>
              <w:rPr>
                <w:rFonts w:ascii="Calibri" w:eastAsia="Calibri" w:hAnsi="Calibri" w:cs="Calibri"/>
                <w:color w:val="auto"/>
                <w:sz w:val="15"/>
                <w:szCs w:val="15"/>
                <w:vertAlign w:val="superscript"/>
              </w:rPr>
              <w:t>(a)</w:t>
            </w:r>
          </w:p>
        </w:tc>
        <w:tc>
          <w:tcPr>
            <w:tcW w:w="206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1,018</w:t>
            </w:r>
          </w:p>
        </w:tc>
        <w:tc>
          <w:tcPr>
            <w:tcW w:w="340" w:type="dxa"/>
            <w:gridSpan w:val="2"/>
            <w:shd w:val="clear" w:color="auto" w:fill="CCEEFF"/>
            <w:vAlign w:val="bottom"/>
          </w:tcPr>
          <w:p>
            <w:pPr>
              <w:spacing w:after="0"/>
              <w:ind w:right="141"/>
              <w:jc w:val="right"/>
              <w:rPr>
                <w:color w:val="auto"/>
                <w:sz w:val="20"/>
                <w:szCs w:val="20"/>
              </w:rPr>
            </w:pPr>
            <w:r>
              <w:rPr>
                <w:rFonts w:ascii="Calibri" w:eastAsia="Calibri" w:hAnsi="Calibri" w:cs="Calibri"/>
                <w:color w:val="auto"/>
                <w:sz w:val="12"/>
                <w:szCs w:val="12"/>
              </w:rPr>
              <w:t>$</w:t>
            </w: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1,018</w:t>
            </w:r>
          </w:p>
        </w:tc>
        <w:tc>
          <w:tcPr>
            <w:tcW w:w="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320" w:type="dxa"/>
            <w:shd w:val="clear" w:color="auto" w:fill="CCEEFF"/>
            <w:vAlign w:val="bottom"/>
          </w:tcPr>
          <w:p>
            <w:pPr>
              <w:spacing w:after="0"/>
              <w:ind w:right="4"/>
              <w:jc w:val="right"/>
              <w:rPr>
                <w:color w:val="auto"/>
                <w:sz w:val="20"/>
                <w:szCs w:val="20"/>
              </w:rPr>
            </w:pPr>
            <w:r>
              <w:rPr>
                <w:rFonts w:ascii="Calibri" w:eastAsia="Calibri" w:hAnsi="Calibri" w:cs="Calibri"/>
                <w:color w:val="auto"/>
                <w:sz w:val="12"/>
                <w:szCs w:val="12"/>
              </w:rPr>
              <w:t>—</w:t>
            </w:r>
          </w:p>
        </w:tc>
        <w:tc>
          <w:tcPr>
            <w:tcW w:w="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w:t>
            </w:r>
          </w:p>
        </w:tc>
        <w:tc>
          <w:tcPr>
            <w:tcW w:w="1360" w:type="dxa"/>
            <w:shd w:val="clear" w:color="auto" w:fill="CCEEFF"/>
            <w:vAlign w:val="bottom"/>
          </w:tcPr>
          <w:p>
            <w:pPr>
              <w:spacing w:after="0"/>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vAlign w:val="bottom"/>
          </w:tcPr>
          <w:p>
            <w:pPr>
              <w:spacing w:after="0" w:line="153" w:lineRule="exact"/>
              <w:ind w:left="240"/>
              <w:rPr>
                <w:color w:val="auto"/>
                <w:sz w:val="20"/>
                <w:szCs w:val="20"/>
              </w:rPr>
            </w:pPr>
            <w:r>
              <w:rPr>
                <w:rFonts w:ascii="Calibri" w:eastAsia="Calibri" w:hAnsi="Calibri" w:cs="Calibri"/>
                <w:color w:val="auto"/>
                <w:sz w:val="12"/>
                <w:szCs w:val="12"/>
              </w:rPr>
              <w:t>U.S. mid cap</w:t>
            </w:r>
            <w:r>
              <w:rPr>
                <w:rFonts w:ascii="Calibri" w:eastAsia="Calibri" w:hAnsi="Calibri" w:cs="Calibri"/>
                <w:color w:val="auto"/>
                <w:sz w:val="15"/>
                <w:szCs w:val="15"/>
                <w:vertAlign w:val="superscript"/>
              </w:rPr>
              <w:t>(b)</w:t>
            </w:r>
          </w:p>
        </w:tc>
        <w:tc>
          <w:tcPr>
            <w:tcW w:w="2060" w:type="dxa"/>
            <w:vAlign w:val="bottom"/>
          </w:tcPr>
          <w:p>
            <w:pPr>
              <w:spacing w:after="0"/>
              <w:rPr>
                <w:color w:val="auto"/>
                <w:sz w:val="13"/>
                <w:szCs w:val="13"/>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173</w:t>
            </w:r>
          </w:p>
        </w:tc>
        <w:tc>
          <w:tcPr>
            <w:tcW w:w="100" w:type="dxa"/>
            <w:vAlign w:val="bottom"/>
          </w:tcPr>
          <w:p>
            <w:pPr>
              <w:spacing w:after="0"/>
              <w:rPr>
                <w:color w:val="auto"/>
                <w:sz w:val="13"/>
                <w:szCs w:val="13"/>
              </w:rPr>
            </w:pPr>
          </w:p>
        </w:tc>
        <w:tc>
          <w:tcPr>
            <w:tcW w:w="240" w:type="dxa"/>
            <w:vAlign w:val="bottom"/>
          </w:tcPr>
          <w:p>
            <w:pPr>
              <w:spacing w:after="0"/>
              <w:rPr>
                <w:color w:val="auto"/>
                <w:sz w:val="13"/>
                <w:szCs w:val="13"/>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173</w:t>
            </w:r>
          </w:p>
        </w:tc>
        <w:tc>
          <w:tcPr>
            <w:tcW w:w="160" w:type="dxa"/>
            <w:vAlign w:val="bottom"/>
          </w:tcPr>
          <w:p>
            <w:pPr>
              <w:spacing w:after="0"/>
              <w:rPr>
                <w:color w:val="auto"/>
                <w:sz w:val="13"/>
                <w:szCs w:val="13"/>
              </w:rPr>
            </w:pPr>
          </w:p>
        </w:tc>
        <w:tc>
          <w:tcPr>
            <w:tcW w:w="1320" w:type="dxa"/>
            <w:vAlign w:val="bottom"/>
          </w:tcPr>
          <w:p>
            <w:pPr>
              <w:spacing w:after="0" w:line="142" w:lineRule="exact"/>
              <w:ind w:right="4"/>
              <w:jc w:val="right"/>
              <w:rPr>
                <w:color w:val="auto"/>
                <w:sz w:val="20"/>
                <w:szCs w:val="20"/>
              </w:rPr>
            </w:pPr>
            <w:r>
              <w:rPr>
                <w:rFonts w:ascii="Calibri" w:eastAsia="Calibri" w:hAnsi="Calibri" w:cs="Calibri"/>
                <w:color w:val="auto"/>
                <w:sz w:val="12"/>
                <w:szCs w:val="12"/>
              </w:rPr>
              <w:t>—</w:t>
            </w:r>
          </w:p>
        </w:tc>
        <w:tc>
          <w:tcPr>
            <w:tcW w:w="160" w:type="dxa"/>
            <w:vAlign w:val="bottom"/>
          </w:tcPr>
          <w:p>
            <w:pPr>
              <w:spacing w:after="0"/>
              <w:rPr>
                <w:color w:val="auto"/>
                <w:sz w:val="13"/>
                <w:szCs w:val="13"/>
              </w:rPr>
            </w:pPr>
          </w:p>
        </w:tc>
        <w:tc>
          <w:tcPr>
            <w:tcW w:w="1360" w:type="dxa"/>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shd w:val="clear" w:color="auto" w:fill="CCEEFF"/>
            <w:vAlign w:val="bottom"/>
          </w:tcPr>
          <w:p>
            <w:pPr>
              <w:spacing w:after="0" w:line="153" w:lineRule="exact"/>
              <w:ind w:left="240"/>
              <w:rPr>
                <w:color w:val="auto"/>
                <w:sz w:val="20"/>
                <w:szCs w:val="20"/>
              </w:rPr>
            </w:pPr>
            <w:r>
              <w:rPr>
                <w:rFonts w:ascii="Calibri" w:eastAsia="Calibri" w:hAnsi="Calibri" w:cs="Calibri"/>
                <w:color w:val="auto"/>
                <w:sz w:val="12"/>
                <w:szCs w:val="12"/>
              </w:rPr>
              <w:t>Internatonal</w:t>
            </w:r>
            <w:r>
              <w:rPr>
                <w:rFonts w:ascii="Calibri" w:eastAsia="Calibri" w:hAnsi="Calibri" w:cs="Calibri"/>
                <w:color w:val="auto"/>
                <w:sz w:val="15"/>
                <w:szCs w:val="15"/>
                <w:vertAlign w:val="superscript"/>
              </w:rPr>
              <w:t>(c)</w:t>
            </w:r>
          </w:p>
        </w:tc>
        <w:tc>
          <w:tcPr>
            <w:tcW w:w="206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488</w:t>
            </w:r>
          </w:p>
        </w:tc>
        <w:tc>
          <w:tcPr>
            <w:tcW w:w="10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488</w:t>
            </w:r>
          </w:p>
        </w:tc>
        <w:tc>
          <w:tcPr>
            <w:tcW w:w="1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line="142" w:lineRule="exact"/>
              <w:ind w:right="4"/>
              <w:jc w:val="right"/>
              <w:rPr>
                <w:color w:val="auto"/>
                <w:sz w:val="20"/>
                <w:szCs w:val="20"/>
              </w:rPr>
            </w:pPr>
            <w:r>
              <w:rPr>
                <w:rFonts w:ascii="Calibri" w:eastAsia="Calibri" w:hAnsi="Calibri" w:cs="Calibri"/>
                <w:color w:val="auto"/>
                <w:sz w:val="12"/>
                <w:szCs w:val="12"/>
              </w:rPr>
              <w:t>—</w:t>
            </w:r>
          </w:p>
        </w:tc>
        <w:tc>
          <w:tcPr>
            <w:tcW w:w="16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47"/>
        </w:trPr>
        <w:tc>
          <w:tcPr>
            <w:tcW w:w="3560" w:type="dxa"/>
            <w:vAlign w:val="bottom"/>
          </w:tcPr>
          <w:p>
            <w:pPr>
              <w:spacing w:after="0" w:line="142" w:lineRule="exact"/>
              <w:rPr>
                <w:color w:val="auto"/>
                <w:sz w:val="20"/>
                <w:szCs w:val="20"/>
              </w:rPr>
            </w:pPr>
            <w:r>
              <w:rPr>
                <w:rFonts w:ascii="Calibri" w:eastAsia="Calibri" w:hAnsi="Calibri" w:cs="Calibri"/>
                <w:color w:val="auto"/>
                <w:sz w:val="12"/>
                <w:szCs w:val="12"/>
              </w:rPr>
              <w:t>Fixed income securites</w:t>
            </w:r>
          </w:p>
        </w:tc>
        <w:tc>
          <w:tcPr>
            <w:tcW w:w="2060" w:type="dxa"/>
            <w:vAlign w:val="bottom"/>
          </w:tcPr>
          <w:p>
            <w:pPr>
              <w:spacing w:after="0"/>
              <w:rPr>
                <w:color w:val="auto"/>
                <w:sz w:val="12"/>
                <w:szCs w:val="12"/>
              </w:rPr>
            </w:pPr>
          </w:p>
        </w:tc>
        <w:tc>
          <w:tcPr>
            <w:tcW w:w="1100" w:type="dxa"/>
            <w:vAlign w:val="bottom"/>
          </w:tcPr>
          <w:p>
            <w:pPr>
              <w:spacing w:after="0"/>
              <w:rPr>
                <w:color w:val="auto"/>
                <w:sz w:val="12"/>
                <w:szCs w:val="12"/>
              </w:rPr>
            </w:pPr>
          </w:p>
        </w:tc>
        <w:tc>
          <w:tcPr>
            <w:tcW w:w="100" w:type="dxa"/>
            <w:vAlign w:val="bottom"/>
          </w:tcPr>
          <w:p>
            <w:pPr>
              <w:spacing w:after="0"/>
              <w:rPr>
                <w:color w:val="auto"/>
                <w:sz w:val="12"/>
                <w:szCs w:val="12"/>
              </w:rPr>
            </w:pPr>
          </w:p>
        </w:tc>
        <w:tc>
          <w:tcPr>
            <w:tcW w:w="240" w:type="dxa"/>
            <w:vAlign w:val="bottom"/>
          </w:tcPr>
          <w:p>
            <w:pPr>
              <w:spacing w:after="0"/>
              <w:rPr>
                <w:color w:val="auto"/>
                <w:sz w:val="12"/>
                <w:szCs w:val="12"/>
              </w:rPr>
            </w:pPr>
          </w:p>
        </w:tc>
        <w:tc>
          <w:tcPr>
            <w:tcW w:w="12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32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360" w:type="dxa"/>
            <w:vAlign w:val="bottom"/>
          </w:tcPr>
          <w:p>
            <w:pPr>
              <w:spacing w:after="0"/>
              <w:rPr>
                <w:color w:val="auto"/>
                <w:sz w:val="12"/>
                <w:szCs w:val="12"/>
              </w:rPr>
            </w:pPr>
          </w:p>
        </w:tc>
      </w:tr>
      <w:tr>
        <w:tblPrEx>
          <w:tblInd w:w="8" w:type="dxa"/>
          <w:tblLayout w:type="fixed"/>
        </w:tblPrEx>
        <w:trPr>
          <w:trHeight w:val="159"/>
        </w:trPr>
        <w:tc>
          <w:tcPr>
            <w:tcW w:w="3560" w:type="dxa"/>
            <w:shd w:val="clear" w:color="auto" w:fill="CCEEFF"/>
            <w:vAlign w:val="bottom"/>
          </w:tcPr>
          <w:p>
            <w:pPr>
              <w:spacing w:after="0" w:line="158" w:lineRule="exact"/>
              <w:ind w:left="240"/>
              <w:rPr>
                <w:color w:val="auto"/>
                <w:sz w:val="20"/>
                <w:szCs w:val="20"/>
              </w:rPr>
            </w:pPr>
            <w:r>
              <w:rPr>
                <w:rFonts w:ascii="Calibri" w:eastAsia="Calibri" w:hAnsi="Calibri" w:cs="Calibri"/>
                <w:color w:val="auto"/>
                <w:sz w:val="12"/>
                <w:szCs w:val="12"/>
              </w:rPr>
              <w:t>U.S. government securites</w:t>
            </w:r>
            <w:r>
              <w:rPr>
                <w:rFonts w:ascii="Calibri" w:eastAsia="Calibri" w:hAnsi="Calibri" w:cs="Calibri"/>
                <w:color w:val="auto"/>
                <w:sz w:val="15"/>
                <w:szCs w:val="15"/>
                <w:vertAlign w:val="superscript"/>
              </w:rPr>
              <w:t>(d)</w:t>
            </w:r>
          </w:p>
        </w:tc>
        <w:tc>
          <w:tcPr>
            <w:tcW w:w="206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246</w:t>
            </w:r>
          </w:p>
        </w:tc>
        <w:tc>
          <w:tcPr>
            <w:tcW w:w="10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62</w:t>
            </w:r>
          </w:p>
        </w:tc>
        <w:tc>
          <w:tcPr>
            <w:tcW w:w="1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ind w:right="4"/>
              <w:jc w:val="right"/>
              <w:rPr>
                <w:color w:val="auto"/>
                <w:sz w:val="20"/>
                <w:szCs w:val="20"/>
              </w:rPr>
            </w:pPr>
            <w:r>
              <w:rPr>
                <w:rFonts w:ascii="Calibri" w:eastAsia="Calibri" w:hAnsi="Calibri" w:cs="Calibri"/>
                <w:color w:val="auto"/>
                <w:sz w:val="12"/>
                <w:szCs w:val="12"/>
              </w:rPr>
              <w:t>184</w:t>
            </w:r>
          </w:p>
        </w:tc>
        <w:tc>
          <w:tcPr>
            <w:tcW w:w="16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vAlign w:val="bottom"/>
          </w:tcPr>
          <w:p>
            <w:pPr>
              <w:spacing w:after="0" w:line="153" w:lineRule="exact"/>
              <w:ind w:left="240"/>
              <w:rPr>
                <w:color w:val="auto"/>
                <w:sz w:val="20"/>
                <w:szCs w:val="20"/>
              </w:rPr>
            </w:pPr>
            <w:r>
              <w:rPr>
                <w:rFonts w:ascii="Calibri" w:eastAsia="Calibri" w:hAnsi="Calibri" w:cs="Calibri"/>
                <w:color w:val="auto"/>
                <w:sz w:val="12"/>
                <w:szCs w:val="12"/>
              </w:rPr>
              <w:t>Corporate debt instruments</w:t>
            </w:r>
            <w:r>
              <w:rPr>
                <w:rFonts w:ascii="Calibri" w:eastAsia="Calibri" w:hAnsi="Calibri" w:cs="Calibri"/>
                <w:color w:val="auto"/>
                <w:sz w:val="15"/>
                <w:szCs w:val="15"/>
                <w:vertAlign w:val="superscript"/>
              </w:rPr>
              <w:t>(d)</w:t>
            </w:r>
          </w:p>
        </w:tc>
        <w:tc>
          <w:tcPr>
            <w:tcW w:w="2060" w:type="dxa"/>
            <w:vAlign w:val="bottom"/>
          </w:tcPr>
          <w:p>
            <w:pPr>
              <w:spacing w:after="0"/>
              <w:rPr>
                <w:color w:val="auto"/>
                <w:sz w:val="13"/>
                <w:szCs w:val="13"/>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714</w:t>
            </w:r>
          </w:p>
        </w:tc>
        <w:tc>
          <w:tcPr>
            <w:tcW w:w="100" w:type="dxa"/>
            <w:vAlign w:val="bottom"/>
          </w:tcPr>
          <w:p>
            <w:pPr>
              <w:spacing w:after="0"/>
              <w:rPr>
                <w:color w:val="auto"/>
                <w:sz w:val="13"/>
                <w:szCs w:val="13"/>
              </w:rPr>
            </w:pPr>
          </w:p>
        </w:tc>
        <w:tc>
          <w:tcPr>
            <w:tcW w:w="240" w:type="dxa"/>
            <w:vAlign w:val="bottom"/>
          </w:tcPr>
          <w:p>
            <w:pPr>
              <w:spacing w:after="0"/>
              <w:rPr>
                <w:color w:val="auto"/>
                <w:sz w:val="13"/>
                <w:szCs w:val="13"/>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155</w:t>
            </w:r>
          </w:p>
        </w:tc>
        <w:tc>
          <w:tcPr>
            <w:tcW w:w="160" w:type="dxa"/>
            <w:vAlign w:val="bottom"/>
          </w:tcPr>
          <w:p>
            <w:pPr>
              <w:spacing w:after="0"/>
              <w:rPr>
                <w:color w:val="auto"/>
                <w:sz w:val="13"/>
                <w:szCs w:val="13"/>
              </w:rPr>
            </w:pPr>
          </w:p>
        </w:tc>
        <w:tc>
          <w:tcPr>
            <w:tcW w:w="1320" w:type="dxa"/>
            <w:vAlign w:val="bottom"/>
          </w:tcPr>
          <w:p>
            <w:pPr>
              <w:spacing w:after="0" w:line="142" w:lineRule="exact"/>
              <w:ind w:right="4"/>
              <w:jc w:val="right"/>
              <w:rPr>
                <w:color w:val="auto"/>
                <w:sz w:val="20"/>
                <w:szCs w:val="20"/>
              </w:rPr>
            </w:pPr>
            <w:r>
              <w:rPr>
                <w:rFonts w:ascii="Calibri" w:eastAsia="Calibri" w:hAnsi="Calibri" w:cs="Calibri"/>
                <w:color w:val="auto"/>
                <w:sz w:val="12"/>
                <w:szCs w:val="12"/>
              </w:rPr>
              <w:t>559</w:t>
            </w:r>
          </w:p>
        </w:tc>
        <w:tc>
          <w:tcPr>
            <w:tcW w:w="160" w:type="dxa"/>
            <w:vAlign w:val="bottom"/>
          </w:tcPr>
          <w:p>
            <w:pPr>
              <w:spacing w:after="0"/>
              <w:rPr>
                <w:color w:val="auto"/>
                <w:sz w:val="13"/>
                <w:szCs w:val="13"/>
              </w:rPr>
            </w:pPr>
          </w:p>
        </w:tc>
        <w:tc>
          <w:tcPr>
            <w:tcW w:w="1360" w:type="dxa"/>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shd w:val="clear" w:color="auto" w:fill="CCEEFF"/>
            <w:vAlign w:val="bottom"/>
          </w:tcPr>
          <w:p>
            <w:pPr>
              <w:spacing w:after="0" w:line="153" w:lineRule="exact"/>
              <w:ind w:left="240"/>
              <w:rPr>
                <w:color w:val="auto"/>
                <w:sz w:val="20"/>
                <w:szCs w:val="20"/>
              </w:rPr>
            </w:pPr>
            <w:r>
              <w:rPr>
                <w:rFonts w:ascii="Calibri" w:eastAsia="Calibri" w:hAnsi="Calibri" w:cs="Calibri"/>
                <w:color w:val="auto"/>
                <w:sz w:val="12"/>
                <w:szCs w:val="12"/>
              </w:rPr>
              <w:t>Non-U.S. government securites</w:t>
            </w:r>
            <w:r>
              <w:rPr>
                <w:rFonts w:ascii="Calibri" w:eastAsia="Calibri" w:hAnsi="Calibri" w:cs="Calibri"/>
                <w:color w:val="auto"/>
                <w:sz w:val="15"/>
                <w:szCs w:val="15"/>
                <w:vertAlign w:val="superscript"/>
              </w:rPr>
              <w:t>(d)</w:t>
            </w:r>
          </w:p>
        </w:tc>
        <w:tc>
          <w:tcPr>
            <w:tcW w:w="206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461</w:t>
            </w:r>
          </w:p>
        </w:tc>
        <w:tc>
          <w:tcPr>
            <w:tcW w:w="10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301</w:t>
            </w:r>
          </w:p>
        </w:tc>
        <w:tc>
          <w:tcPr>
            <w:tcW w:w="1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line="142" w:lineRule="exact"/>
              <w:ind w:right="4"/>
              <w:jc w:val="right"/>
              <w:rPr>
                <w:color w:val="auto"/>
                <w:sz w:val="20"/>
                <w:szCs w:val="20"/>
              </w:rPr>
            </w:pPr>
            <w:r>
              <w:rPr>
                <w:rFonts w:ascii="Calibri" w:eastAsia="Calibri" w:hAnsi="Calibri" w:cs="Calibri"/>
                <w:color w:val="auto"/>
                <w:sz w:val="12"/>
                <w:szCs w:val="12"/>
              </w:rPr>
              <w:t>160</w:t>
            </w:r>
          </w:p>
        </w:tc>
        <w:tc>
          <w:tcPr>
            <w:tcW w:w="16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vAlign w:val="bottom"/>
          </w:tcPr>
          <w:p>
            <w:pPr>
              <w:spacing w:after="0" w:line="153" w:lineRule="exact"/>
              <w:ind w:left="240"/>
              <w:rPr>
                <w:color w:val="auto"/>
                <w:sz w:val="20"/>
                <w:szCs w:val="20"/>
              </w:rPr>
            </w:pPr>
            <w:r>
              <w:rPr>
                <w:rFonts w:ascii="Calibri" w:eastAsia="Calibri" w:hAnsi="Calibri" w:cs="Calibri"/>
                <w:color w:val="auto"/>
                <w:sz w:val="12"/>
                <w:szCs w:val="12"/>
              </w:rPr>
              <w:t>Other</w:t>
            </w:r>
            <w:r>
              <w:rPr>
                <w:rFonts w:ascii="Calibri" w:eastAsia="Calibri" w:hAnsi="Calibri" w:cs="Calibri"/>
                <w:color w:val="auto"/>
                <w:sz w:val="15"/>
                <w:szCs w:val="15"/>
                <w:vertAlign w:val="superscript"/>
              </w:rPr>
              <w:t>(d)</w:t>
            </w:r>
          </w:p>
        </w:tc>
        <w:tc>
          <w:tcPr>
            <w:tcW w:w="2060" w:type="dxa"/>
            <w:vAlign w:val="bottom"/>
          </w:tcPr>
          <w:p>
            <w:pPr>
              <w:spacing w:after="0"/>
              <w:rPr>
                <w:color w:val="auto"/>
                <w:sz w:val="13"/>
                <w:szCs w:val="13"/>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126</w:t>
            </w:r>
          </w:p>
        </w:tc>
        <w:tc>
          <w:tcPr>
            <w:tcW w:w="100" w:type="dxa"/>
            <w:vAlign w:val="bottom"/>
          </w:tcPr>
          <w:p>
            <w:pPr>
              <w:spacing w:after="0"/>
              <w:rPr>
                <w:color w:val="auto"/>
                <w:sz w:val="13"/>
                <w:szCs w:val="13"/>
              </w:rPr>
            </w:pPr>
          </w:p>
        </w:tc>
        <w:tc>
          <w:tcPr>
            <w:tcW w:w="240" w:type="dxa"/>
            <w:vAlign w:val="bottom"/>
          </w:tcPr>
          <w:p>
            <w:pPr>
              <w:spacing w:after="0"/>
              <w:rPr>
                <w:color w:val="auto"/>
                <w:sz w:val="13"/>
                <w:szCs w:val="13"/>
              </w:rPr>
            </w:pPr>
          </w:p>
        </w:tc>
        <w:tc>
          <w:tcPr>
            <w:tcW w:w="124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124</w:t>
            </w:r>
          </w:p>
        </w:tc>
        <w:tc>
          <w:tcPr>
            <w:tcW w:w="160" w:type="dxa"/>
            <w:vAlign w:val="bottom"/>
          </w:tcPr>
          <w:p>
            <w:pPr>
              <w:spacing w:after="0"/>
              <w:rPr>
                <w:color w:val="auto"/>
                <w:sz w:val="13"/>
                <w:szCs w:val="13"/>
              </w:rPr>
            </w:pPr>
          </w:p>
        </w:tc>
        <w:tc>
          <w:tcPr>
            <w:tcW w:w="1320" w:type="dxa"/>
            <w:vAlign w:val="bottom"/>
          </w:tcPr>
          <w:p>
            <w:pPr>
              <w:spacing w:after="0" w:line="142" w:lineRule="exact"/>
              <w:ind w:right="4"/>
              <w:jc w:val="right"/>
              <w:rPr>
                <w:color w:val="auto"/>
                <w:sz w:val="20"/>
                <w:szCs w:val="20"/>
              </w:rPr>
            </w:pPr>
            <w:r>
              <w:rPr>
                <w:rFonts w:ascii="Calibri" w:eastAsia="Calibri" w:hAnsi="Calibri" w:cs="Calibri"/>
                <w:color w:val="auto"/>
                <w:sz w:val="12"/>
                <w:szCs w:val="12"/>
              </w:rPr>
              <w:t>2</w:t>
            </w:r>
          </w:p>
        </w:tc>
        <w:tc>
          <w:tcPr>
            <w:tcW w:w="160" w:type="dxa"/>
            <w:vAlign w:val="bottom"/>
          </w:tcPr>
          <w:p>
            <w:pPr>
              <w:spacing w:after="0"/>
              <w:rPr>
                <w:color w:val="auto"/>
                <w:sz w:val="13"/>
                <w:szCs w:val="13"/>
              </w:rPr>
            </w:pPr>
          </w:p>
        </w:tc>
        <w:tc>
          <w:tcPr>
            <w:tcW w:w="1360" w:type="dxa"/>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shd w:val="clear" w:color="auto" w:fill="CCEEFF"/>
            <w:vAlign w:val="bottom"/>
          </w:tcPr>
          <w:p>
            <w:pPr>
              <w:spacing w:after="0" w:line="153" w:lineRule="exact"/>
              <w:rPr>
                <w:color w:val="auto"/>
                <w:sz w:val="20"/>
                <w:szCs w:val="20"/>
              </w:rPr>
            </w:pPr>
            <w:r>
              <w:rPr>
                <w:rFonts w:ascii="Calibri" w:eastAsia="Calibri" w:hAnsi="Calibri" w:cs="Calibri"/>
                <w:color w:val="auto"/>
                <w:sz w:val="12"/>
                <w:szCs w:val="12"/>
              </w:rPr>
              <w:t>Absolute return funds</w:t>
            </w:r>
            <w:r>
              <w:rPr>
                <w:rFonts w:ascii="Calibri" w:eastAsia="Calibri" w:hAnsi="Calibri" w:cs="Calibri"/>
                <w:color w:val="auto"/>
                <w:sz w:val="15"/>
                <w:szCs w:val="15"/>
                <w:vertAlign w:val="superscript"/>
              </w:rPr>
              <w:t>(e)</w:t>
            </w:r>
          </w:p>
        </w:tc>
        <w:tc>
          <w:tcPr>
            <w:tcW w:w="206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155</w:t>
            </w:r>
          </w:p>
        </w:tc>
        <w:tc>
          <w:tcPr>
            <w:tcW w:w="100" w:type="dxa"/>
            <w:shd w:val="clear" w:color="auto" w:fill="CCEEFF"/>
            <w:vAlign w:val="bottom"/>
          </w:tcPr>
          <w:p>
            <w:pPr>
              <w:spacing w:after="0"/>
              <w:rPr>
                <w:color w:val="auto"/>
                <w:sz w:val="13"/>
                <w:szCs w:val="13"/>
              </w:rPr>
            </w:pPr>
          </w:p>
        </w:tc>
        <w:tc>
          <w:tcPr>
            <w:tcW w:w="240" w:type="dxa"/>
            <w:shd w:val="clear" w:color="auto" w:fill="CCEEFF"/>
            <w:vAlign w:val="bottom"/>
          </w:tcPr>
          <w:p>
            <w:pPr>
              <w:spacing w:after="0"/>
              <w:rPr>
                <w:color w:val="auto"/>
                <w:sz w:val="13"/>
                <w:szCs w:val="13"/>
              </w:rPr>
            </w:pPr>
          </w:p>
        </w:tc>
        <w:tc>
          <w:tcPr>
            <w:tcW w:w="124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66</w:t>
            </w:r>
          </w:p>
        </w:tc>
        <w:tc>
          <w:tcPr>
            <w:tcW w:w="1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line="142" w:lineRule="exact"/>
              <w:ind w:right="4"/>
              <w:jc w:val="right"/>
              <w:rPr>
                <w:color w:val="auto"/>
                <w:sz w:val="20"/>
                <w:szCs w:val="20"/>
              </w:rPr>
            </w:pPr>
            <w:r>
              <w:rPr>
                <w:rFonts w:ascii="Calibri" w:eastAsia="Calibri" w:hAnsi="Calibri" w:cs="Calibri"/>
                <w:color w:val="auto"/>
                <w:sz w:val="12"/>
                <w:szCs w:val="12"/>
              </w:rPr>
              <w:t>89</w:t>
            </w:r>
          </w:p>
        </w:tc>
        <w:tc>
          <w:tcPr>
            <w:tcW w:w="160" w:type="dxa"/>
            <w:shd w:val="clear" w:color="auto" w:fill="CCEEFF"/>
            <w:vAlign w:val="bottom"/>
          </w:tcPr>
          <w:p>
            <w:pPr>
              <w:spacing w:after="0"/>
              <w:rPr>
                <w:color w:val="auto"/>
                <w:sz w:val="13"/>
                <w:szCs w:val="13"/>
              </w:rPr>
            </w:pPr>
          </w:p>
        </w:tc>
        <w:tc>
          <w:tcPr>
            <w:tcW w:w="1360" w:type="dxa"/>
            <w:shd w:val="clear" w:color="auto" w:fill="CCEEFF"/>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3"/>
        </w:trPr>
        <w:tc>
          <w:tcPr>
            <w:tcW w:w="3560" w:type="dxa"/>
            <w:tcBorders>
              <w:bottom w:val="single" w:sz="8" w:space="0" w:color="auto"/>
            </w:tcBorders>
            <w:vAlign w:val="bottom"/>
          </w:tcPr>
          <w:p>
            <w:pPr>
              <w:spacing w:after="0" w:line="153" w:lineRule="exact"/>
              <w:rPr>
                <w:color w:val="auto"/>
                <w:sz w:val="20"/>
                <w:szCs w:val="20"/>
              </w:rPr>
            </w:pPr>
            <w:r>
              <w:rPr>
                <w:rFonts w:ascii="Calibri" w:eastAsia="Calibri" w:hAnsi="Calibri" w:cs="Calibri"/>
                <w:color w:val="auto"/>
                <w:sz w:val="12"/>
                <w:szCs w:val="12"/>
              </w:rPr>
              <w:t>Other</w:t>
            </w:r>
            <w:r>
              <w:rPr>
                <w:rFonts w:ascii="Calibri" w:eastAsia="Calibri" w:hAnsi="Calibri" w:cs="Calibri"/>
                <w:color w:val="auto"/>
                <w:sz w:val="15"/>
                <w:szCs w:val="15"/>
                <w:vertAlign w:val="superscript"/>
              </w:rPr>
              <w:t>(f)</w:t>
            </w:r>
          </w:p>
        </w:tc>
        <w:tc>
          <w:tcPr>
            <w:tcW w:w="2060" w:type="dxa"/>
            <w:tcBorders>
              <w:bottom w:val="single" w:sz="8" w:space="0" w:color="auto"/>
            </w:tcBorders>
            <w:vAlign w:val="bottom"/>
          </w:tcPr>
          <w:p>
            <w:pPr>
              <w:spacing w:after="0"/>
              <w:rPr>
                <w:color w:val="auto"/>
                <w:sz w:val="13"/>
                <w:szCs w:val="13"/>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414</w:t>
            </w:r>
          </w:p>
        </w:tc>
        <w:tc>
          <w:tcPr>
            <w:tcW w:w="100" w:type="dxa"/>
            <w:tcBorders>
              <w:bottom w:val="single" w:sz="8" w:space="0" w:color="auto"/>
            </w:tcBorders>
            <w:vAlign w:val="bottom"/>
          </w:tcPr>
          <w:p>
            <w:pPr>
              <w:spacing w:after="0"/>
              <w:rPr>
                <w:color w:val="auto"/>
                <w:sz w:val="13"/>
                <w:szCs w:val="13"/>
              </w:rPr>
            </w:pPr>
          </w:p>
        </w:tc>
        <w:tc>
          <w:tcPr>
            <w:tcW w:w="240" w:type="dxa"/>
            <w:tcBorders>
              <w:bottom w:val="single" w:sz="8" w:space="0" w:color="auto"/>
            </w:tcBorders>
            <w:vAlign w:val="bottom"/>
          </w:tcPr>
          <w:p>
            <w:pPr>
              <w:spacing w:after="0"/>
              <w:rPr>
                <w:color w:val="auto"/>
                <w:sz w:val="13"/>
                <w:szCs w:val="13"/>
              </w:rPr>
            </w:pPr>
          </w:p>
        </w:tc>
        <w:tc>
          <w:tcPr>
            <w:tcW w:w="124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413</w:t>
            </w:r>
          </w:p>
        </w:tc>
        <w:tc>
          <w:tcPr>
            <w:tcW w:w="160" w:type="dxa"/>
            <w:tcBorders>
              <w:bottom w:val="single" w:sz="8" w:space="0" w:color="auto"/>
            </w:tcBorders>
            <w:vAlign w:val="bottom"/>
          </w:tcPr>
          <w:p>
            <w:pPr>
              <w:spacing w:after="0"/>
              <w:rPr>
                <w:color w:val="auto"/>
                <w:sz w:val="13"/>
                <w:szCs w:val="13"/>
              </w:rPr>
            </w:pPr>
          </w:p>
        </w:tc>
        <w:tc>
          <w:tcPr>
            <w:tcW w:w="1320" w:type="dxa"/>
            <w:tcBorders>
              <w:bottom w:val="single" w:sz="8" w:space="0" w:color="auto"/>
            </w:tcBorders>
            <w:vAlign w:val="bottom"/>
          </w:tcPr>
          <w:p>
            <w:pPr>
              <w:spacing w:after="0" w:line="142" w:lineRule="exact"/>
              <w:ind w:right="4"/>
              <w:jc w:val="right"/>
              <w:rPr>
                <w:color w:val="auto"/>
                <w:sz w:val="20"/>
                <w:szCs w:val="20"/>
              </w:rPr>
            </w:pPr>
            <w:r>
              <w:rPr>
                <w:rFonts w:ascii="Calibri" w:eastAsia="Calibri" w:hAnsi="Calibri" w:cs="Calibri"/>
                <w:color w:val="auto"/>
                <w:sz w:val="12"/>
                <w:szCs w:val="12"/>
              </w:rPr>
              <w:t>1</w:t>
            </w:r>
          </w:p>
        </w:tc>
        <w:tc>
          <w:tcPr>
            <w:tcW w:w="160" w:type="dxa"/>
            <w:tcBorders>
              <w:bottom w:val="single" w:sz="8" w:space="0" w:color="auto"/>
            </w:tcBorders>
            <w:vAlign w:val="bottom"/>
          </w:tcPr>
          <w:p>
            <w:pPr>
              <w:spacing w:after="0"/>
              <w:rPr>
                <w:color w:val="auto"/>
                <w:sz w:val="13"/>
                <w:szCs w:val="13"/>
              </w:rPr>
            </w:pPr>
          </w:p>
        </w:tc>
        <w:tc>
          <w:tcPr>
            <w:tcW w:w="1360" w:type="dxa"/>
            <w:tcBorders>
              <w:bottom w:val="single" w:sz="8" w:space="0" w:color="auto"/>
            </w:tcBorders>
            <w:vAlign w:val="bottom"/>
          </w:tcPr>
          <w:p>
            <w:pPr>
              <w:spacing w:after="0" w:line="142"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58"/>
        </w:trPr>
        <w:tc>
          <w:tcPr>
            <w:tcW w:w="3560" w:type="dxa"/>
            <w:tcBorders>
              <w:bottom w:val="single" w:sz="8" w:space="0" w:color="auto"/>
            </w:tcBorders>
            <w:shd w:val="clear" w:color="auto" w:fill="CCEEFF"/>
            <w:vAlign w:val="bottom"/>
          </w:tcPr>
          <w:p>
            <w:pPr>
              <w:spacing w:after="0" w:line="137" w:lineRule="exact"/>
              <w:rPr>
                <w:color w:val="auto"/>
                <w:sz w:val="20"/>
                <w:szCs w:val="20"/>
              </w:rPr>
            </w:pPr>
            <w:r>
              <w:rPr>
                <w:rFonts w:ascii="Calibri" w:eastAsia="Calibri" w:hAnsi="Calibri" w:cs="Calibri"/>
                <w:color w:val="auto"/>
                <w:sz w:val="12"/>
                <w:szCs w:val="12"/>
              </w:rPr>
              <w:t>Total</w:t>
            </w:r>
          </w:p>
        </w:tc>
        <w:tc>
          <w:tcPr>
            <w:tcW w:w="2060" w:type="dxa"/>
            <w:tcBorders>
              <w:bottom w:val="single" w:sz="8" w:space="0" w:color="auto"/>
            </w:tcBorders>
            <w:shd w:val="clear" w:color="auto" w:fill="CCEEFF"/>
            <w:vAlign w:val="bottom"/>
          </w:tcPr>
          <w:p>
            <w:pPr>
              <w:spacing w:after="0" w:line="137" w:lineRule="exact"/>
              <w:ind w:right="22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3,795</w:t>
            </w:r>
          </w:p>
        </w:tc>
        <w:tc>
          <w:tcPr>
            <w:tcW w:w="340" w:type="dxa"/>
            <w:gridSpan w:val="2"/>
            <w:tcBorders>
              <w:bottom w:val="single" w:sz="8" w:space="0" w:color="auto"/>
            </w:tcBorders>
            <w:shd w:val="clear" w:color="auto" w:fill="CCEEFF"/>
            <w:vAlign w:val="bottom"/>
          </w:tcPr>
          <w:p>
            <w:pPr>
              <w:spacing w:after="0" w:line="137" w:lineRule="exact"/>
              <w:ind w:right="141"/>
              <w:jc w:val="right"/>
              <w:rPr>
                <w:color w:val="auto"/>
                <w:sz w:val="20"/>
                <w:szCs w:val="20"/>
              </w:rPr>
            </w:pPr>
            <w:r>
              <w:rPr>
                <w:rFonts w:ascii="Calibri" w:eastAsia="Calibri" w:hAnsi="Calibri" w:cs="Calibri"/>
                <w:color w:val="auto"/>
                <w:sz w:val="12"/>
                <w:szCs w:val="12"/>
              </w:rPr>
              <w:t>$</w:t>
            </w:r>
          </w:p>
        </w:tc>
        <w:tc>
          <w:tcPr>
            <w:tcW w:w="1240" w:type="dxa"/>
            <w:tcBorders>
              <w:bottom w:val="single" w:sz="8" w:space="0" w:color="auto"/>
            </w:tcBorders>
            <w:shd w:val="clear" w:color="auto" w:fill="CCEEFF"/>
            <w:vAlign w:val="bottom"/>
          </w:tcPr>
          <w:p>
            <w:pPr>
              <w:spacing w:after="0" w:line="137" w:lineRule="exact"/>
              <w:ind w:right="22"/>
              <w:jc w:val="right"/>
              <w:rPr>
                <w:color w:val="auto"/>
                <w:sz w:val="20"/>
                <w:szCs w:val="20"/>
              </w:rPr>
            </w:pPr>
            <w:r>
              <w:rPr>
                <w:rFonts w:ascii="Calibri" w:eastAsia="Calibri" w:hAnsi="Calibri" w:cs="Calibri"/>
                <w:color w:val="auto"/>
                <w:sz w:val="12"/>
                <w:szCs w:val="12"/>
              </w:rPr>
              <w:t>2,800</w:t>
            </w:r>
          </w:p>
        </w:tc>
        <w:tc>
          <w:tcPr>
            <w:tcW w:w="16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w:t>
            </w:r>
          </w:p>
        </w:tc>
        <w:tc>
          <w:tcPr>
            <w:tcW w:w="1320" w:type="dxa"/>
            <w:tcBorders>
              <w:bottom w:val="single" w:sz="8" w:space="0" w:color="auto"/>
            </w:tcBorders>
            <w:shd w:val="clear" w:color="auto" w:fill="CCEEFF"/>
            <w:vAlign w:val="bottom"/>
          </w:tcPr>
          <w:p>
            <w:pPr>
              <w:spacing w:after="0" w:line="137" w:lineRule="exact"/>
              <w:ind w:right="4"/>
              <w:jc w:val="right"/>
              <w:rPr>
                <w:color w:val="auto"/>
                <w:sz w:val="20"/>
                <w:szCs w:val="20"/>
              </w:rPr>
            </w:pPr>
            <w:r>
              <w:rPr>
                <w:rFonts w:ascii="Calibri" w:eastAsia="Calibri" w:hAnsi="Calibri" w:cs="Calibri"/>
                <w:color w:val="auto"/>
                <w:sz w:val="12"/>
                <w:szCs w:val="12"/>
              </w:rPr>
              <w:t>995</w:t>
            </w:r>
          </w:p>
        </w:tc>
        <w:tc>
          <w:tcPr>
            <w:tcW w:w="16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w:t>
            </w:r>
          </w:p>
        </w:tc>
        <w:tc>
          <w:tcPr>
            <w:tcW w:w="1360" w:type="dxa"/>
            <w:tcBorders>
              <w:bottom w:val="single" w:sz="8" w:space="0" w:color="auto"/>
            </w:tcBorders>
            <w:shd w:val="clear" w:color="auto" w:fill="CCEEFF"/>
            <w:vAlign w:val="bottom"/>
          </w:tcPr>
          <w:p>
            <w:pPr>
              <w:spacing w:after="0" w:line="137" w:lineRule="exact"/>
              <w:ind w:left="1200"/>
              <w:rPr>
                <w:color w:val="auto"/>
                <w:sz w:val="20"/>
                <w:szCs w:val="20"/>
              </w:rPr>
            </w:pPr>
            <w:r>
              <w:rPr>
                <w:rFonts w:ascii="Calibri" w:eastAsia="Calibri" w:hAnsi="Calibri" w:cs="Calibri"/>
                <w:color w:val="auto"/>
                <w:sz w:val="12"/>
                <w:szCs w:val="12"/>
              </w:rPr>
              <w:t>—</w:t>
            </w:r>
          </w:p>
        </w:tc>
      </w:tr>
      <w:tr>
        <w:tblPrEx>
          <w:tblInd w:w="8" w:type="dxa"/>
          <w:tblLayout w:type="fixed"/>
        </w:tblPrEx>
        <w:trPr>
          <w:trHeight w:val="147"/>
        </w:trPr>
        <w:tc>
          <w:tcPr>
            <w:tcW w:w="3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assets measured at NAV</w:t>
            </w:r>
          </w:p>
        </w:tc>
        <w:tc>
          <w:tcPr>
            <w:tcW w:w="206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6,044</w:t>
            </w:r>
          </w:p>
        </w:tc>
        <w:tc>
          <w:tcPr>
            <w:tcW w:w="100" w:type="dxa"/>
            <w:vAlign w:val="bottom"/>
          </w:tcPr>
          <w:p>
            <w:pPr>
              <w:spacing w:after="0"/>
              <w:rPr>
                <w:color w:val="auto"/>
                <w:sz w:val="12"/>
                <w:szCs w:val="12"/>
              </w:rPr>
            </w:pPr>
          </w:p>
        </w:tc>
        <w:tc>
          <w:tcPr>
            <w:tcW w:w="240" w:type="dxa"/>
            <w:vAlign w:val="bottom"/>
          </w:tcPr>
          <w:p>
            <w:pPr>
              <w:spacing w:after="0"/>
              <w:rPr>
                <w:color w:val="auto"/>
                <w:sz w:val="12"/>
                <w:szCs w:val="12"/>
              </w:rPr>
            </w:pPr>
          </w:p>
        </w:tc>
        <w:tc>
          <w:tcPr>
            <w:tcW w:w="124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320" w:type="dxa"/>
            <w:vAlign w:val="bottom"/>
          </w:tcPr>
          <w:p>
            <w:pPr>
              <w:spacing w:after="0"/>
              <w:rPr>
                <w:color w:val="auto"/>
                <w:sz w:val="12"/>
                <w:szCs w:val="12"/>
              </w:rPr>
            </w:pPr>
          </w:p>
        </w:tc>
        <w:tc>
          <w:tcPr>
            <w:tcW w:w="160" w:type="dxa"/>
            <w:vAlign w:val="bottom"/>
          </w:tcPr>
          <w:p>
            <w:pPr>
              <w:spacing w:after="0"/>
              <w:rPr>
                <w:color w:val="auto"/>
                <w:sz w:val="12"/>
                <w:szCs w:val="12"/>
              </w:rPr>
            </w:pPr>
          </w:p>
        </w:tc>
        <w:tc>
          <w:tcPr>
            <w:tcW w:w="1360" w:type="dxa"/>
            <w:vAlign w:val="bottom"/>
          </w:tcPr>
          <w:p>
            <w:pPr>
              <w:spacing w:after="0"/>
              <w:rPr>
                <w:color w:val="auto"/>
                <w:sz w:val="12"/>
                <w:szCs w:val="12"/>
              </w:rPr>
            </w:pPr>
          </w:p>
        </w:tc>
      </w:tr>
      <w:tr>
        <w:tblPrEx>
          <w:tblInd w:w="8" w:type="dxa"/>
          <w:tblLayout w:type="fixed"/>
        </w:tblPrEx>
        <w:trPr>
          <w:trHeight w:val="164"/>
        </w:trPr>
        <w:tc>
          <w:tcPr>
            <w:tcW w:w="35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Fair value of plan assets</w:t>
            </w:r>
          </w:p>
        </w:tc>
        <w:tc>
          <w:tcPr>
            <w:tcW w:w="206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9,839</w:t>
            </w:r>
          </w:p>
        </w:tc>
        <w:tc>
          <w:tcPr>
            <w:tcW w:w="100" w:type="dxa"/>
            <w:vAlign w:val="bottom"/>
          </w:tcPr>
          <w:p>
            <w:pPr>
              <w:spacing w:after="0"/>
              <w:rPr>
                <w:color w:val="auto"/>
                <w:sz w:val="14"/>
                <w:szCs w:val="14"/>
              </w:rPr>
            </w:pPr>
          </w:p>
        </w:tc>
        <w:tc>
          <w:tcPr>
            <w:tcW w:w="240" w:type="dxa"/>
            <w:vAlign w:val="bottom"/>
          </w:tcPr>
          <w:p>
            <w:pPr>
              <w:spacing w:after="0"/>
              <w:rPr>
                <w:color w:val="auto"/>
                <w:sz w:val="14"/>
                <w:szCs w:val="14"/>
              </w:rPr>
            </w:pPr>
          </w:p>
        </w:tc>
        <w:tc>
          <w:tcPr>
            <w:tcW w:w="124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1320" w:type="dxa"/>
            <w:vAlign w:val="bottom"/>
          </w:tcPr>
          <w:p>
            <w:pPr>
              <w:spacing w:after="0"/>
              <w:rPr>
                <w:color w:val="auto"/>
                <w:sz w:val="14"/>
                <w:szCs w:val="14"/>
              </w:rPr>
            </w:pPr>
          </w:p>
        </w:tc>
        <w:tc>
          <w:tcPr>
            <w:tcW w:w="160" w:type="dxa"/>
            <w:vAlign w:val="bottom"/>
          </w:tcPr>
          <w:p>
            <w:pPr>
              <w:spacing w:after="0"/>
              <w:rPr>
                <w:color w:val="auto"/>
                <w:sz w:val="14"/>
                <w:szCs w:val="14"/>
              </w:rPr>
            </w:pPr>
          </w:p>
        </w:tc>
        <w:tc>
          <w:tcPr>
            <w:tcW w:w="1360" w:type="dxa"/>
            <w:vAlign w:val="bottom"/>
          </w:tcPr>
          <w:p>
            <w:pPr>
              <w:spacing w:after="0"/>
              <w:rPr>
                <w:color w:val="auto"/>
                <w:sz w:val="14"/>
                <w:szCs w:val="14"/>
              </w:rPr>
            </w:pPr>
          </w:p>
        </w:tc>
      </w:tr>
    </w:tbl>
    <w:p>
      <w:pPr>
        <w:spacing w:after="0" w:line="98" w:lineRule="exact"/>
        <w:rPr>
          <w:color w:val="auto"/>
          <w:sz w:val="20"/>
          <w:szCs w:val="20"/>
        </w:rPr>
      </w:pPr>
    </w:p>
    <w:p>
      <w:pPr>
        <w:numPr>
          <w:ilvl w:val="0"/>
          <w:numId w:val="29"/>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A mix of index funds and actvely managed equity accounts that are benchmarked to various large cap indices.</w:t>
      </w:r>
    </w:p>
    <w:p>
      <w:pPr>
        <w:spacing w:after="0" w:line="60" w:lineRule="exact"/>
        <w:rPr>
          <w:rFonts w:ascii="Calibri" w:eastAsia="Calibri" w:hAnsi="Calibri" w:cs="Calibri"/>
          <w:color w:val="auto"/>
          <w:sz w:val="12"/>
          <w:szCs w:val="12"/>
        </w:rPr>
      </w:pPr>
    </w:p>
    <w:p>
      <w:pPr>
        <w:numPr>
          <w:ilvl w:val="0"/>
          <w:numId w:val="29"/>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A mix of index funds and actvely managed equity accounts that are benchmarked to various mid cap indices.</w:t>
      </w:r>
    </w:p>
    <w:p>
      <w:pPr>
        <w:spacing w:after="0" w:line="60" w:lineRule="exact"/>
        <w:rPr>
          <w:rFonts w:ascii="Calibri" w:eastAsia="Calibri" w:hAnsi="Calibri" w:cs="Calibri"/>
          <w:color w:val="auto"/>
          <w:sz w:val="12"/>
          <w:szCs w:val="12"/>
        </w:rPr>
      </w:pPr>
    </w:p>
    <w:p>
      <w:pPr>
        <w:numPr>
          <w:ilvl w:val="0"/>
          <w:numId w:val="29"/>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A mix of index funds and actvely managed equity accounts that are benchmarked to various non-U.S. equity indices in both developed and emerging markets.</w:t>
      </w:r>
    </w:p>
    <w:p>
      <w:pPr>
        <w:spacing w:after="0" w:line="51" w:lineRule="exact"/>
        <w:rPr>
          <w:rFonts w:ascii="Calibri" w:eastAsia="Calibri" w:hAnsi="Calibri" w:cs="Calibri"/>
          <w:color w:val="auto"/>
          <w:sz w:val="12"/>
          <w:szCs w:val="12"/>
        </w:rPr>
      </w:pPr>
    </w:p>
    <w:p>
      <w:pPr>
        <w:numPr>
          <w:ilvl w:val="0"/>
          <w:numId w:val="29"/>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Securites held by actvely managed accounts, index funds and mutual funds.</w:t>
      </w:r>
    </w:p>
    <w:p>
      <w:pPr>
        <w:spacing w:after="0" w:line="65" w:lineRule="exact"/>
        <w:rPr>
          <w:rFonts w:ascii="Calibri" w:eastAsia="Calibri" w:hAnsi="Calibri" w:cs="Calibri"/>
          <w:color w:val="auto"/>
          <w:sz w:val="12"/>
          <w:szCs w:val="12"/>
        </w:rPr>
      </w:pPr>
    </w:p>
    <w:p>
      <w:pPr>
        <w:numPr>
          <w:ilvl w:val="0"/>
          <w:numId w:val="29"/>
        </w:numPr>
        <w:tabs>
          <w:tab w:val="left" w:pos="282"/>
        </w:tabs>
        <w:spacing w:after="0" w:line="234" w:lineRule="auto"/>
        <w:ind w:left="288" w:right="160" w:hanging="288"/>
        <w:rPr>
          <w:rFonts w:ascii="Calibri" w:eastAsia="Calibri" w:hAnsi="Calibri" w:cs="Calibri"/>
          <w:color w:val="auto"/>
          <w:sz w:val="12"/>
          <w:szCs w:val="12"/>
        </w:rPr>
      </w:pPr>
      <w:r>
        <w:rPr>
          <w:rFonts w:ascii="Calibri" w:eastAsia="Calibri" w:hAnsi="Calibri" w:cs="Calibri"/>
          <w:color w:val="auto"/>
          <w:sz w:val="12"/>
          <w:szCs w:val="12"/>
        </w:rPr>
        <w:t>Primarily funds having global mandates with the fexibility to allocate capital broadly across a wide range of asset classes and strategies, including but not limited to equites, fxed income, commodites, fnancial futures, currencies and other securites, with objectves to outperform agreed upon benchmarks of specifc return and volatlity targets.</w:t>
      </w:r>
    </w:p>
    <w:p>
      <w:pPr>
        <w:spacing w:after="0" w:line="69" w:lineRule="exact"/>
        <w:rPr>
          <w:rFonts w:ascii="Calibri" w:eastAsia="Calibri" w:hAnsi="Calibri" w:cs="Calibri"/>
          <w:color w:val="auto"/>
          <w:sz w:val="12"/>
          <w:szCs w:val="12"/>
        </w:rPr>
      </w:pPr>
    </w:p>
    <w:p>
      <w:pPr>
        <w:numPr>
          <w:ilvl w:val="0"/>
          <w:numId w:val="29"/>
        </w:numPr>
        <w:tabs>
          <w:tab w:val="left" w:pos="288"/>
        </w:tabs>
        <w:spacing w:after="0"/>
        <w:ind w:left="288" w:hanging="288"/>
        <w:rPr>
          <w:rFonts w:ascii="Calibri" w:eastAsia="Calibri" w:hAnsi="Calibri" w:cs="Calibri"/>
          <w:color w:val="auto"/>
          <w:sz w:val="12"/>
          <w:szCs w:val="12"/>
        </w:rPr>
      </w:pPr>
      <w:r>
        <w:rPr>
          <w:rFonts w:ascii="Calibri" w:eastAsia="Calibri" w:hAnsi="Calibri" w:cs="Calibri"/>
          <w:color w:val="auto"/>
          <w:sz w:val="12"/>
          <w:szCs w:val="12"/>
        </w:rPr>
        <w:t>Investments in cash and cash equivalents.</w:t>
      </w:r>
    </w:p>
    <w:p>
      <w:pPr>
        <w:spacing w:after="0" w:line="105" w:lineRule="exact"/>
        <w:rPr>
          <w:color w:val="auto"/>
          <w:sz w:val="20"/>
          <w:szCs w:val="20"/>
        </w:rPr>
      </w:pPr>
    </w:p>
    <w:p>
      <w:pPr>
        <w:tabs>
          <w:tab w:val="left" w:pos="447"/>
        </w:tabs>
        <w:spacing w:after="0"/>
        <w:ind w:left="8"/>
        <w:rPr>
          <w:color w:val="auto"/>
          <w:sz w:val="20"/>
          <w:szCs w:val="20"/>
        </w:rPr>
      </w:pPr>
      <w:r>
        <w:rPr>
          <w:rFonts w:ascii="Calibri" w:eastAsia="Calibri" w:hAnsi="Calibri" w:cs="Calibri"/>
          <w:b/>
          <w:bCs/>
          <w:i/>
          <w:iCs/>
          <w:color w:val="auto"/>
          <w:sz w:val="24"/>
          <w:szCs w:val="24"/>
          <w:vertAlign w:val="subscript"/>
        </w:rPr>
        <w:t>87</w:t>
      </w:r>
      <w:r>
        <w:rPr>
          <w:color w:val="auto"/>
          <w:sz w:val="20"/>
          <w:szCs w:val="20"/>
        </w:rPr>
        <w:tab/>
      </w:r>
      <w:r>
        <w:rPr>
          <w:color w:val="auto"/>
          <w:sz w:val="1"/>
          <w:szCs w:val="1"/>
        </w:rPr>
        <w:drawing>
          <wp:inline distT="0" distB="0" distL="0" distR="0">
            <wp:extent cx="400050" cy="7429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80448" behindDoc="1" locked="0" layoutInCell="0" allowOverlap="1">
            <wp:simplePos x="0" y="0"/>
            <wp:positionH relativeFrom="column">
              <wp:posOffset>-12065</wp:posOffset>
            </wp:positionH>
            <wp:positionV relativeFrom="paragraph">
              <wp:posOffset>133985</wp:posOffset>
            </wp:positionV>
            <wp:extent cx="7203440" cy="3683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299" w:bottom="1440" w:left="292" w:header="0" w:footer="0" w:gutter="0"/>
          <w:cols w:num="1" w:space="720" w:equalWidth="0">
            <w:col w:w="11308" w:space="0"/>
          </w:cols>
        </w:sectPr>
      </w:pPr>
    </w:p>
    <w:bookmarkStart w:id="89" w:name="page90"/>
    <w:bookmarkEnd w:id="89"/>
    <w:p>
      <w:pPr>
        <w:spacing w:after="0" w:line="234" w:lineRule="auto"/>
        <w:ind w:right="140" w:firstLine="297"/>
        <w:rPr>
          <w:color w:val="auto"/>
          <w:sz w:val="20"/>
          <w:szCs w:val="20"/>
        </w:rPr>
      </w:pPr>
      <w:r>
        <w:rPr>
          <w:rFonts w:ascii="Calibri" w:eastAsia="Calibri" w:hAnsi="Calibri" w:cs="Calibri"/>
          <w:color w:val="auto"/>
          <w:sz w:val="12"/>
          <w:szCs w:val="12"/>
        </w:rPr>
        <w:t>Equites and registered investment companies having quoted prices are valued at the published market prices. Fixed income securites that are valued using signifcant other observable inputs are quoted at prices obtained from independent fnancial service industry-recognized vendors. Investments held in pooled investment funds, common collectve trusts or limited partnerships are valued at the net asset value (NAV) practcal expedient to estmate fair value. The NAV is provided by the fund administrator and is based on the value of the underlying assets owned by the fund minus its liabilites.</w:t>
      </w:r>
    </w:p>
    <w:p>
      <w:pPr>
        <w:spacing w:after="0" w:line="94" w:lineRule="exact"/>
        <w:rPr>
          <w:color w:val="auto"/>
          <w:sz w:val="20"/>
          <w:szCs w:val="20"/>
        </w:rPr>
      </w:pPr>
    </w:p>
    <w:p>
      <w:pPr>
        <w:spacing w:after="0" w:line="235" w:lineRule="auto"/>
        <w:ind w:right="60" w:firstLine="297"/>
        <w:jc w:val="both"/>
        <w:rPr>
          <w:color w:val="auto"/>
          <w:sz w:val="20"/>
          <w:szCs w:val="20"/>
        </w:rPr>
      </w:pPr>
      <w:r>
        <w:rPr>
          <w:rFonts w:ascii="Calibri" w:eastAsia="Calibri" w:hAnsi="Calibri" w:cs="Calibri"/>
          <w:color w:val="auto"/>
          <w:sz w:val="12"/>
          <w:szCs w:val="12"/>
        </w:rPr>
        <w:t>The investment mix of equity securites, fxed income and other asset allocaton strategies is based upon achieving a desired return, balancing higher return, more volatle equity securites and lower return, less volatle fxed income securites. Investment allocatons are established for each plan and are generally made across a range of markets, industry sectors, capitalizaton sizes and in the case of fxed income securites, maturites and credit quality. The 2024 target investment allocaton for the AbbVie Pension Plan was 62.5% in equity securites, 22.5% in fxed income securites and 15% in asset allocaton strategies and other holdings. There are no known signifcant concentratons of risk in the plan assets of the AbbVie Pension Plan or of any other plans.</w:t>
      </w:r>
    </w:p>
    <w:p>
      <w:pPr>
        <w:spacing w:after="0" w:line="101" w:lineRule="exact"/>
        <w:rPr>
          <w:color w:val="auto"/>
          <w:sz w:val="20"/>
          <w:szCs w:val="20"/>
        </w:rPr>
      </w:pPr>
    </w:p>
    <w:p>
      <w:pPr>
        <w:spacing w:after="0" w:line="234" w:lineRule="auto"/>
        <w:ind w:right="360" w:firstLine="297"/>
        <w:rPr>
          <w:color w:val="auto"/>
          <w:sz w:val="20"/>
          <w:szCs w:val="20"/>
        </w:rPr>
      </w:pPr>
      <w:r>
        <w:rPr>
          <w:rFonts w:ascii="Calibri" w:eastAsia="Calibri" w:hAnsi="Calibri" w:cs="Calibri"/>
          <w:color w:val="auto"/>
          <w:sz w:val="12"/>
          <w:szCs w:val="12"/>
        </w:rPr>
        <w:t>The expected return on plan assets assumpton for each plan is based on management's expectatons of long-term average rates of return to be achieved by the underlying investment portolio. In establishing this assumpton, management considers historical and expected returns for the asset classes in which the plans are invested, as well as current economic and capital market conditons.</w:t>
      </w:r>
    </w:p>
    <w:p>
      <w:pPr>
        <w:spacing w:after="0" w:line="97"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Expected Beneft Payments</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total beneft payments expected to be paid to plan partcipants including payments funded from both plan and company assets:</w:t>
      </w:r>
    </w:p>
    <w:p>
      <w:pPr>
        <w:spacing w:after="0" w:line="3" w:lineRule="exact"/>
        <w:rPr>
          <w:color w:val="auto"/>
          <w:sz w:val="20"/>
          <w:szCs w:val="20"/>
        </w:rPr>
      </w:pPr>
    </w:p>
    <w:tbl>
      <w:tblPr>
        <w:tblInd w:w="0" w:type="dxa"/>
        <w:tblLayout w:type="fixed"/>
        <w:tblCellMar>
          <w:top w:w="0" w:type="dxa"/>
          <w:left w:w="0" w:type="dxa"/>
          <w:bottom w:w="0" w:type="dxa"/>
          <w:right w:w="0" w:type="dxa"/>
        </w:tblCellMar>
      </w:tblPr>
      <w:tblGrid>
        <w:gridCol w:w="4740"/>
        <w:gridCol w:w="4380"/>
        <w:gridCol w:w="460"/>
        <w:gridCol w:w="280"/>
        <w:gridCol w:w="1420"/>
        <w:gridCol w:w="20"/>
      </w:tblGrid>
      <w:tr>
        <w:tblPrEx>
          <w:tblInd w:w="0" w:type="dxa"/>
          <w:tblLayout w:type="fixed"/>
        </w:tblPrEx>
        <w:trPr>
          <w:trHeight w:val="122"/>
        </w:trPr>
        <w:tc>
          <w:tcPr>
            <w:tcW w:w="4740" w:type="dxa"/>
            <w:vMerge w:val="restart"/>
            <w:vAlign w:val="bottom"/>
          </w:tcPr>
          <w:p>
            <w:pPr>
              <w:spacing w:after="0"/>
              <w:rPr>
                <w:color w:val="auto"/>
                <w:sz w:val="20"/>
                <w:szCs w:val="20"/>
              </w:rPr>
            </w:pPr>
            <w:r>
              <w:rPr>
                <w:rFonts w:ascii="Calibri" w:eastAsia="Calibri" w:hAnsi="Calibri" w:cs="Calibri"/>
                <w:b/>
                <w:bCs/>
                <w:color w:val="auto"/>
                <w:sz w:val="10"/>
                <w:szCs w:val="10"/>
              </w:rPr>
              <w:t>years ending December 31 (in millions)</w:t>
            </w:r>
          </w:p>
        </w:tc>
        <w:tc>
          <w:tcPr>
            <w:tcW w:w="4380" w:type="dxa"/>
            <w:vAlign w:val="bottom"/>
          </w:tcPr>
          <w:p>
            <w:pPr>
              <w:spacing w:after="0"/>
              <w:ind w:left="3568"/>
              <w:jc w:val="center"/>
              <w:rPr>
                <w:color w:val="auto"/>
                <w:sz w:val="20"/>
                <w:szCs w:val="20"/>
              </w:rPr>
            </w:pPr>
            <w:r>
              <w:rPr>
                <w:rFonts w:ascii="Calibri" w:eastAsia="Calibri" w:hAnsi="Calibri" w:cs="Calibri"/>
                <w:b/>
                <w:bCs/>
                <w:color w:val="auto"/>
                <w:sz w:val="10"/>
                <w:szCs w:val="10"/>
              </w:rPr>
              <w:t>Defned</w:t>
            </w:r>
          </w:p>
        </w:tc>
        <w:tc>
          <w:tcPr>
            <w:tcW w:w="460" w:type="dxa"/>
            <w:vAlign w:val="bottom"/>
          </w:tcPr>
          <w:p>
            <w:pPr>
              <w:spacing w:after="0"/>
              <w:rPr>
                <w:color w:val="auto"/>
                <w:sz w:val="10"/>
                <w:szCs w:val="10"/>
              </w:rPr>
            </w:pPr>
          </w:p>
        </w:tc>
        <w:tc>
          <w:tcPr>
            <w:tcW w:w="280" w:type="dxa"/>
            <w:vAlign w:val="bottom"/>
          </w:tcPr>
          <w:p>
            <w:pPr>
              <w:spacing w:after="0"/>
              <w:rPr>
                <w:color w:val="auto"/>
                <w:sz w:val="10"/>
                <w:szCs w:val="10"/>
              </w:rPr>
            </w:pPr>
          </w:p>
        </w:tc>
        <w:tc>
          <w:tcPr>
            <w:tcW w:w="1420" w:type="dxa"/>
            <w:vAlign w:val="bottom"/>
          </w:tcPr>
          <w:p>
            <w:pPr>
              <w:spacing w:after="0"/>
              <w:ind w:right="643"/>
              <w:jc w:val="right"/>
              <w:rPr>
                <w:color w:val="auto"/>
                <w:sz w:val="20"/>
                <w:szCs w:val="20"/>
              </w:rPr>
            </w:pPr>
            <w:r>
              <w:rPr>
                <w:rFonts w:ascii="Calibri" w:eastAsia="Calibri" w:hAnsi="Calibri" w:cs="Calibri"/>
                <w:b/>
                <w:bCs/>
                <w:color w:val="auto"/>
                <w:sz w:val="10"/>
                <w:szCs w:val="10"/>
              </w:rPr>
              <w:t>Other</w:t>
            </w:r>
          </w:p>
        </w:tc>
        <w:tc>
          <w:tcPr>
            <w:tcW w:w="1" w:type="dxa"/>
            <w:vAlign w:val="bottom"/>
          </w:tcPr>
          <w:p>
            <w:pPr>
              <w:spacing w:after="0"/>
              <w:rPr>
                <w:color w:val="auto"/>
                <w:sz w:val="1"/>
                <w:szCs w:val="1"/>
              </w:rPr>
            </w:pPr>
          </w:p>
        </w:tc>
      </w:tr>
      <w:tr>
        <w:tblPrEx>
          <w:tblInd w:w="0" w:type="dxa"/>
          <w:tblLayout w:type="fixed"/>
        </w:tblPrEx>
        <w:trPr>
          <w:trHeight w:val="112"/>
        </w:trPr>
        <w:tc>
          <w:tcPr>
            <w:tcW w:w="4740" w:type="dxa"/>
            <w:vMerge/>
            <w:vAlign w:val="bottom"/>
          </w:tcPr>
          <w:p>
            <w:pPr>
              <w:spacing w:after="0"/>
              <w:rPr>
                <w:color w:val="auto"/>
                <w:sz w:val="9"/>
                <w:szCs w:val="9"/>
              </w:rPr>
            </w:pPr>
          </w:p>
        </w:tc>
        <w:tc>
          <w:tcPr>
            <w:tcW w:w="4380" w:type="dxa"/>
            <w:vAlign w:val="bottom"/>
          </w:tcPr>
          <w:p>
            <w:pPr>
              <w:spacing w:after="0" w:line="112" w:lineRule="exact"/>
              <w:ind w:left="3568"/>
              <w:jc w:val="center"/>
              <w:rPr>
                <w:color w:val="auto"/>
                <w:sz w:val="20"/>
                <w:szCs w:val="20"/>
              </w:rPr>
            </w:pPr>
            <w:r>
              <w:rPr>
                <w:rFonts w:ascii="Calibri" w:eastAsia="Calibri" w:hAnsi="Calibri" w:cs="Calibri"/>
                <w:b/>
                <w:bCs/>
                <w:color w:val="auto"/>
                <w:sz w:val="10"/>
                <w:szCs w:val="10"/>
              </w:rPr>
              <w:t>beneft plans</w:t>
            </w:r>
          </w:p>
        </w:tc>
        <w:tc>
          <w:tcPr>
            <w:tcW w:w="460" w:type="dxa"/>
            <w:vAlign w:val="bottom"/>
          </w:tcPr>
          <w:p>
            <w:pPr>
              <w:spacing w:after="0"/>
              <w:rPr>
                <w:color w:val="auto"/>
                <w:sz w:val="9"/>
                <w:szCs w:val="9"/>
              </w:rPr>
            </w:pPr>
          </w:p>
        </w:tc>
        <w:tc>
          <w:tcPr>
            <w:tcW w:w="280" w:type="dxa"/>
            <w:vAlign w:val="bottom"/>
          </w:tcPr>
          <w:p>
            <w:pPr>
              <w:spacing w:after="0"/>
              <w:rPr>
                <w:color w:val="auto"/>
                <w:sz w:val="9"/>
                <w:szCs w:val="9"/>
              </w:rPr>
            </w:pPr>
          </w:p>
        </w:tc>
        <w:tc>
          <w:tcPr>
            <w:tcW w:w="1420" w:type="dxa"/>
            <w:vAlign w:val="bottom"/>
          </w:tcPr>
          <w:p>
            <w:pPr>
              <w:spacing w:after="0" w:line="112" w:lineRule="exact"/>
              <w:ind w:right="283"/>
              <w:jc w:val="right"/>
              <w:rPr>
                <w:color w:val="auto"/>
                <w:sz w:val="20"/>
                <w:szCs w:val="20"/>
              </w:rPr>
            </w:pPr>
            <w:r>
              <w:rPr>
                <w:rFonts w:ascii="Calibri" w:eastAsia="Calibri" w:hAnsi="Calibri" w:cs="Calibri"/>
                <w:b/>
                <w:bCs/>
                <w:color w:val="auto"/>
                <w:sz w:val="10"/>
                <w:szCs w:val="10"/>
              </w:rPr>
              <w:t>post-employment plans</w:t>
            </w:r>
          </w:p>
        </w:tc>
        <w:tc>
          <w:tcPr>
            <w:tcW w:w="1" w:type="dxa"/>
            <w:vAlign w:val="bottom"/>
          </w:tcPr>
          <w:p>
            <w:pPr>
              <w:spacing w:after="0"/>
              <w:rPr>
                <w:color w:val="auto"/>
                <w:sz w:val="1"/>
                <w:szCs w:val="1"/>
              </w:rPr>
            </w:pPr>
          </w:p>
        </w:tc>
      </w:tr>
      <w:tr>
        <w:tblPrEx>
          <w:tblInd w:w="0" w:type="dxa"/>
          <w:tblLayout w:type="fixed"/>
        </w:tblPrEx>
        <w:trPr>
          <w:trHeight w:val="23"/>
        </w:trPr>
        <w:tc>
          <w:tcPr>
            <w:tcW w:w="4740" w:type="dxa"/>
            <w:tcBorders>
              <w:bottom w:val="single" w:sz="8" w:space="0" w:color="auto"/>
            </w:tcBorders>
            <w:vAlign w:val="bottom"/>
          </w:tcPr>
          <w:p>
            <w:pPr>
              <w:spacing w:after="0"/>
              <w:rPr>
                <w:color w:val="auto"/>
                <w:sz w:val="2"/>
                <w:szCs w:val="2"/>
              </w:rPr>
            </w:pPr>
          </w:p>
        </w:tc>
        <w:tc>
          <w:tcPr>
            <w:tcW w:w="4380" w:type="dxa"/>
            <w:tcBorders>
              <w:bottom w:val="single" w:sz="8" w:space="0" w:color="auto"/>
            </w:tcBorders>
            <w:vAlign w:val="bottom"/>
          </w:tcPr>
          <w:p>
            <w:pPr>
              <w:spacing w:after="0"/>
              <w:rPr>
                <w:color w:val="auto"/>
                <w:sz w:val="2"/>
                <w:szCs w:val="2"/>
              </w:rPr>
            </w:pPr>
          </w:p>
        </w:tc>
        <w:tc>
          <w:tcPr>
            <w:tcW w:w="460" w:type="dxa"/>
            <w:tcBorders>
              <w:bottom w:val="single" w:sz="8" w:space="0" w:color="auto"/>
            </w:tcBorders>
            <w:vAlign w:val="bottom"/>
          </w:tcPr>
          <w:p>
            <w:pPr>
              <w:spacing w:after="0"/>
              <w:rPr>
                <w:color w:val="auto"/>
                <w:sz w:val="2"/>
                <w:szCs w:val="2"/>
              </w:rPr>
            </w:pPr>
          </w:p>
        </w:tc>
        <w:tc>
          <w:tcPr>
            <w:tcW w:w="280" w:type="dxa"/>
            <w:tcBorders>
              <w:bottom w:val="single" w:sz="8" w:space="0" w:color="auto"/>
            </w:tcBorders>
            <w:vAlign w:val="bottom"/>
          </w:tcPr>
          <w:p>
            <w:pPr>
              <w:spacing w:after="0"/>
              <w:rPr>
                <w:color w:val="auto"/>
                <w:sz w:val="2"/>
                <w:szCs w:val="2"/>
              </w:rPr>
            </w:pPr>
          </w:p>
        </w:tc>
        <w:tc>
          <w:tcPr>
            <w:tcW w:w="14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42"/>
        </w:trPr>
        <w:tc>
          <w:tcPr>
            <w:tcW w:w="47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2025</w:t>
            </w:r>
          </w:p>
        </w:tc>
        <w:tc>
          <w:tcPr>
            <w:tcW w:w="4380" w:type="dxa"/>
            <w:shd w:val="clear" w:color="auto" w:fill="CCEEFF"/>
            <w:vAlign w:val="bottom"/>
          </w:tcPr>
          <w:p>
            <w:pPr>
              <w:spacing w:after="0" w:line="142" w:lineRule="exact"/>
              <w:ind w:right="1068"/>
              <w:jc w:val="right"/>
              <w:rPr>
                <w:color w:val="auto"/>
                <w:sz w:val="20"/>
                <w:szCs w:val="20"/>
              </w:rPr>
            </w:pPr>
            <w:r>
              <w:rPr>
                <w:rFonts w:ascii="Calibri" w:eastAsia="Calibri" w:hAnsi="Calibri" w:cs="Calibri"/>
                <w:color w:val="auto"/>
                <w:sz w:val="12"/>
                <w:szCs w:val="12"/>
              </w:rPr>
              <w:t>$</w:t>
            </w:r>
          </w:p>
        </w:tc>
        <w:tc>
          <w:tcPr>
            <w:tcW w:w="46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363</w:t>
            </w:r>
          </w:p>
        </w:tc>
        <w:tc>
          <w:tcPr>
            <w:tcW w:w="280" w:type="dxa"/>
            <w:shd w:val="clear" w:color="auto" w:fill="CCEEFF"/>
            <w:vAlign w:val="bottom"/>
          </w:tcPr>
          <w:p>
            <w:pPr>
              <w:spacing w:after="0" w:line="142" w:lineRule="exact"/>
              <w:ind w:right="80"/>
              <w:jc w:val="right"/>
              <w:rPr>
                <w:color w:val="auto"/>
                <w:sz w:val="20"/>
                <w:szCs w:val="20"/>
              </w:rPr>
            </w:pPr>
            <w:r>
              <w:rPr>
                <w:rFonts w:ascii="Calibri" w:eastAsia="Calibri" w:hAnsi="Calibri" w:cs="Calibri"/>
                <w:color w:val="auto"/>
                <w:sz w:val="12"/>
                <w:szCs w:val="12"/>
              </w:rPr>
              <w:t>$</w:t>
            </w:r>
          </w:p>
        </w:tc>
        <w:tc>
          <w:tcPr>
            <w:tcW w:w="142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42</w:t>
            </w:r>
          </w:p>
        </w:tc>
        <w:tc>
          <w:tcPr>
            <w:tcW w:w="1" w:type="dxa"/>
            <w:vAlign w:val="bottom"/>
          </w:tcPr>
          <w:p>
            <w:pPr>
              <w:spacing w:after="0"/>
              <w:rPr>
                <w:color w:val="auto"/>
                <w:sz w:val="1"/>
                <w:szCs w:val="1"/>
              </w:rPr>
            </w:pPr>
          </w:p>
        </w:tc>
      </w:tr>
      <w:tr>
        <w:tblPrEx>
          <w:tblInd w:w="0" w:type="dxa"/>
          <w:tblLayout w:type="fixed"/>
        </w:tblPrEx>
        <w:trPr>
          <w:trHeight w:val="147"/>
        </w:trPr>
        <w:tc>
          <w:tcPr>
            <w:tcW w:w="4740" w:type="dxa"/>
            <w:vAlign w:val="bottom"/>
          </w:tcPr>
          <w:p>
            <w:pPr>
              <w:spacing w:after="0" w:line="142" w:lineRule="exact"/>
              <w:rPr>
                <w:color w:val="auto"/>
                <w:sz w:val="20"/>
                <w:szCs w:val="20"/>
              </w:rPr>
            </w:pPr>
            <w:r>
              <w:rPr>
                <w:rFonts w:ascii="Calibri" w:eastAsia="Calibri" w:hAnsi="Calibri" w:cs="Calibri"/>
                <w:color w:val="auto"/>
                <w:sz w:val="12"/>
                <w:szCs w:val="12"/>
              </w:rPr>
              <w:t>2026</w:t>
            </w:r>
          </w:p>
        </w:tc>
        <w:tc>
          <w:tcPr>
            <w:tcW w:w="4380" w:type="dxa"/>
            <w:vAlign w:val="bottom"/>
          </w:tcPr>
          <w:p>
            <w:pPr>
              <w:spacing w:after="0"/>
              <w:rPr>
                <w:color w:val="auto"/>
                <w:sz w:val="12"/>
                <w:szCs w:val="12"/>
              </w:rPr>
            </w:pPr>
          </w:p>
        </w:tc>
        <w:tc>
          <w:tcPr>
            <w:tcW w:w="46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383</w:t>
            </w:r>
          </w:p>
        </w:tc>
        <w:tc>
          <w:tcPr>
            <w:tcW w:w="280" w:type="dxa"/>
            <w:vAlign w:val="bottom"/>
          </w:tcPr>
          <w:p>
            <w:pPr>
              <w:spacing w:after="0"/>
              <w:rPr>
                <w:color w:val="auto"/>
                <w:sz w:val="12"/>
                <w:szCs w:val="12"/>
              </w:rPr>
            </w:pPr>
          </w:p>
        </w:tc>
        <w:tc>
          <w:tcPr>
            <w:tcW w:w="142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46</w:t>
            </w:r>
          </w:p>
        </w:tc>
        <w:tc>
          <w:tcPr>
            <w:tcW w:w="1" w:type="dxa"/>
            <w:vAlign w:val="bottom"/>
          </w:tcPr>
          <w:p>
            <w:pPr>
              <w:spacing w:after="0"/>
              <w:rPr>
                <w:color w:val="auto"/>
                <w:sz w:val="1"/>
                <w:szCs w:val="1"/>
              </w:rPr>
            </w:pPr>
          </w:p>
        </w:tc>
      </w:tr>
      <w:tr>
        <w:tblPrEx>
          <w:tblInd w:w="0" w:type="dxa"/>
          <w:tblLayout w:type="fixed"/>
        </w:tblPrEx>
        <w:trPr>
          <w:trHeight w:val="159"/>
        </w:trPr>
        <w:tc>
          <w:tcPr>
            <w:tcW w:w="4740" w:type="dxa"/>
            <w:shd w:val="clear" w:color="auto" w:fill="CCEEFF"/>
            <w:vAlign w:val="bottom"/>
          </w:tcPr>
          <w:p>
            <w:pPr>
              <w:spacing w:after="0"/>
              <w:rPr>
                <w:color w:val="auto"/>
                <w:sz w:val="20"/>
                <w:szCs w:val="20"/>
              </w:rPr>
            </w:pPr>
            <w:r>
              <w:rPr>
                <w:rFonts w:ascii="Calibri" w:eastAsia="Calibri" w:hAnsi="Calibri" w:cs="Calibri"/>
                <w:color w:val="auto"/>
                <w:sz w:val="12"/>
                <w:szCs w:val="12"/>
              </w:rPr>
              <w:t>2027</w:t>
            </w:r>
          </w:p>
        </w:tc>
        <w:tc>
          <w:tcPr>
            <w:tcW w:w="4380" w:type="dxa"/>
            <w:shd w:val="clear" w:color="auto" w:fill="CCEEFF"/>
            <w:vAlign w:val="bottom"/>
          </w:tcPr>
          <w:p>
            <w:pPr>
              <w:spacing w:after="0"/>
              <w:rPr>
                <w:color w:val="auto"/>
                <w:sz w:val="13"/>
                <w:szCs w:val="13"/>
              </w:rPr>
            </w:pPr>
          </w:p>
        </w:tc>
        <w:tc>
          <w:tcPr>
            <w:tcW w:w="46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410</w:t>
            </w:r>
          </w:p>
        </w:tc>
        <w:tc>
          <w:tcPr>
            <w:tcW w:w="280" w:type="dxa"/>
            <w:shd w:val="clear" w:color="auto" w:fill="CCEEFF"/>
            <w:vAlign w:val="bottom"/>
          </w:tcPr>
          <w:p>
            <w:pPr>
              <w:spacing w:after="0"/>
              <w:rPr>
                <w:color w:val="auto"/>
                <w:sz w:val="13"/>
                <w:szCs w:val="13"/>
              </w:rPr>
            </w:pPr>
          </w:p>
        </w:tc>
        <w:tc>
          <w:tcPr>
            <w:tcW w:w="1420" w:type="dxa"/>
            <w:shd w:val="clear" w:color="auto" w:fill="CCEEFF"/>
            <w:vAlign w:val="bottom"/>
          </w:tcPr>
          <w:p>
            <w:pPr>
              <w:spacing w:after="0"/>
              <w:ind w:right="3"/>
              <w:jc w:val="right"/>
              <w:rPr>
                <w:color w:val="auto"/>
                <w:sz w:val="20"/>
                <w:szCs w:val="20"/>
              </w:rPr>
            </w:pPr>
            <w:r>
              <w:rPr>
                <w:rFonts w:ascii="Calibri" w:eastAsia="Calibri" w:hAnsi="Calibri" w:cs="Calibri"/>
                <w:color w:val="auto"/>
                <w:sz w:val="12"/>
                <w:szCs w:val="12"/>
              </w:rPr>
              <w:t>49</w:t>
            </w:r>
          </w:p>
        </w:tc>
        <w:tc>
          <w:tcPr>
            <w:tcW w:w="1" w:type="dxa"/>
            <w:vAlign w:val="bottom"/>
          </w:tcPr>
          <w:p>
            <w:pPr>
              <w:spacing w:after="0"/>
              <w:rPr>
                <w:color w:val="auto"/>
                <w:sz w:val="1"/>
                <w:szCs w:val="1"/>
              </w:rPr>
            </w:pPr>
          </w:p>
        </w:tc>
      </w:tr>
      <w:tr>
        <w:tblPrEx>
          <w:tblInd w:w="0" w:type="dxa"/>
          <w:tblLayout w:type="fixed"/>
        </w:tblPrEx>
        <w:trPr>
          <w:trHeight w:val="147"/>
        </w:trPr>
        <w:tc>
          <w:tcPr>
            <w:tcW w:w="4740" w:type="dxa"/>
            <w:vAlign w:val="bottom"/>
          </w:tcPr>
          <w:p>
            <w:pPr>
              <w:spacing w:after="0" w:line="142" w:lineRule="exact"/>
              <w:rPr>
                <w:color w:val="auto"/>
                <w:sz w:val="20"/>
                <w:szCs w:val="20"/>
              </w:rPr>
            </w:pPr>
            <w:r>
              <w:rPr>
                <w:rFonts w:ascii="Calibri" w:eastAsia="Calibri" w:hAnsi="Calibri" w:cs="Calibri"/>
                <w:color w:val="auto"/>
                <w:sz w:val="12"/>
                <w:szCs w:val="12"/>
              </w:rPr>
              <w:t>2028</w:t>
            </w:r>
          </w:p>
        </w:tc>
        <w:tc>
          <w:tcPr>
            <w:tcW w:w="4380" w:type="dxa"/>
            <w:vAlign w:val="bottom"/>
          </w:tcPr>
          <w:p>
            <w:pPr>
              <w:spacing w:after="0"/>
              <w:rPr>
                <w:color w:val="auto"/>
                <w:sz w:val="12"/>
                <w:szCs w:val="12"/>
              </w:rPr>
            </w:pPr>
          </w:p>
        </w:tc>
        <w:tc>
          <w:tcPr>
            <w:tcW w:w="46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435</w:t>
            </w:r>
          </w:p>
        </w:tc>
        <w:tc>
          <w:tcPr>
            <w:tcW w:w="280" w:type="dxa"/>
            <w:vAlign w:val="bottom"/>
          </w:tcPr>
          <w:p>
            <w:pPr>
              <w:spacing w:after="0"/>
              <w:rPr>
                <w:color w:val="auto"/>
                <w:sz w:val="12"/>
                <w:szCs w:val="12"/>
              </w:rPr>
            </w:pPr>
          </w:p>
        </w:tc>
        <w:tc>
          <w:tcPr>
            <w:tcW w:w="1420" w:type="dxa"/>
            <w:vAlign w:val="bottom"/>
          </w:tcPr>
          <w:p>
            <w:pPr>
              <w:spacing w:after="0" w:line="142" w:lineRule="exact"/>
              <w:ind w:right="3"/>
              <w:jc w:val="right"/>
              <w:rPr>
                <w:color w:val="auto"/>
                <w:sz w:val="20"/>
                <w:szCs w:val="20"/>
              </w:rPr>
            </w:pPr>
            <w:r>
              <w:rPr>
                <w:rFonts w:ascii="Calibri" w:eastAsia="Calibri" w:hAnsi="Calibri" w:cs="Calibri"/>
                <w:color w:val="auto"/>
                <w:sz w:val="12"/>
                <w:szCs w:val="12"/>
              </w:rPr>
              <w:t>53</w:t>
            </w:r>
          </w:p>
        </w:tc>
        <w:tc>
          <w:tcPr>
            <w:tcW w:w="1" w:type="dxa"/>
            <w:vAlign w:val="bottom"/>
          </w:tcPr>
          <w:p>
            <w:pPr>
              <w:spacing w:after="0"/>
              <w:rPr>
                <w:color w:val="auto"/>
                <w:sz w:val="1"/>
                <w:szCs w:val="1"/>
              </w:rPr>
            </w:pPr>
          </w:p>
        </w:tc>
      </w:tr>
      <w:tr>
        <w:tblPrEx>
          <w:tblInd w:w="0" w:type="dxa"/>
          <w:tblLayout w:type="fixed"/>
        </w:tblPrEx>
        <w:trPr>
          <w:trHeight w:val="159"/>
        </w:trPr>
        <w:tc>
          <w:tcPr>
            <w:tcW w:w="4740" w:type="dxa"/>
            <w:shd w:val="clear" w:color="auto" w:fill="CCEEFF"/>
            <w:vAlign w:val="bottom"/>
          </w:tcPr>
          <w:p>
            <w:pPr>
              <w:spacing w:after="0"/>
              <w:rPr>
                <w:color w:val="auto"/>
                <w:sz w:val="20"/>
                <w:szCs w:val="20"/>
              </w:rPr>
            </w:pPr>
            <w:r>
              <w:rPr>
                <w:rFonts w:ascii="Calibri" w:eastAsia="Calibri" w:hAnsi="Calibri" w:cs="Calibri"/>
                <w:color w:val="auto"/>
                <w:sz w:val="12"/>
                <w:szCs w:val="12"/>
              </w:rPr>
              <w:t>2029</w:t>
            </w:r>
          </w:p>
        </w:tc>
        <w:tc>
          <w:tcPr>
            <w:tcW w:w="4380" w:type="dxa"/>
            <w:shd w:val="clear" w:color="auto" w:fill="CCEEFF"/>
            <w:vAlign w:val="bottom"/>
          </w:tcPr>
          <w:p>
            <w:pPr>
              <w:spacing w:after="0"/>
              <w:rPr>
                <w:color w:val="auto"/>
                <w:sz w:val="13"/>
                <w:szCs w:val="13"/>
              </w:rPr>
            </w:pPr>
          </w:p>
        </w:tc>
        <w:tc>
          <w:tcPr>
            <w:tcW w:w="46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464</w:t>
            </w:r>
          </w:p>
        </w:tc>
        <w:tc>
          <w:tcPr>
            <w:tcW w:w="280" w:type="dxa"/>
            <w:shd w:val="clear" w:color="auto" w:fill="CCEEFF"/>
            <w:vAlign w:val="bottom"/>
          </w:tcPr>
          <w:p>
            <w:pPr>
              <w:spacing w:after="0"/>
              <w:rPr>
                <w:color w:val="auto"/>
                <w:sz w:val="13"/>
                <w:szCs w:val="13"/>
              </w:rPr>
            </w:pPr>
          </w:p>
        </w:tc>
        <w:tc>
          <w:tcPr>
            <w:tcW w:w="1420" w:type="dxa"/>
            <w:shd w:val="clear" w:color="auto" w:fill="CCEEFF"/>
            <w:vAlign w:val="bottom"/>
          </w:tcPr>
          <w:p>
            <w:pPr>
              <w:spacing w:after="0"/>
              <w:ind w:right="3"/>
              <w:jc w:val="right"/>
              <w:rPr>
                <w:color w:val="auto"/>
                <w:sz w:val="20"/>
                <w:szCs w:val="20"/>
              </w:rPr>
            </w:pPr>
            <w:r>
              <w:rPr>
                <w:rFonts w:ascii="Calibri" w:eastAsia="Calibri" w:hAnsi="Calibri" w:cs="Calibri"/>
                <w:color w:val="auto"/>
                <w:sz w:val="12"/>
                <w:szCs w:val="12"/>
              </w:rPr>
              <w:t>57</w:t>
            </w:r>
          </w:p>
        </w:tc>
        <w:tc>
          <w:tcPr>
            <w:tcW w:w="1" w:type="dxa"/>
            <w:vAlign w:val="bottom"/>
          </w:tcPr>
          <w:p>
            <w:pPr>
              <w:spacing w:after="0"/>
              <w:rPr>
                <w:color w:val="auto"/>
                <w:sz w:val="1"/>
                <w:szCs w:val="1"/>
              </w:rPr>
            </w:pPr>
          </w:p>
        </w:tc>
      </w:tr>
      <w:tr>
        <w:tblPrEx>
          <w:tblInd w:w="0" w:type="dxa"/>
          <w:tblLayout w:type="fixed"/>
        </w:tblPrEx>
        <w:trPr>
          <w:trHeight w:val="147"/>
        </w:trPr>
        <w:tc>
          <w:tcPr>
            <w:tcW w:w="47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2030 to 2034</w:t>
            </w:r>
          </w:p>
        </w:tc>
        <w:tc>
          <w:tcPr>
            <w:tcW w:w="4380" w:type="dxa"/>
            <w:tcBorders>
              <w:bottom w:val="single" w:sz="8" w:space="0" w:color="auto"/>
            </w:tcBorders>
            <w:vAlign w:val="bottom"/>
          </w:tcPr>
          <w:p>
            <w:pPr>
              <w:spacing w:after="0"/>
              <w:rPr>
                <w:color w:val="auto"/>
                <w:sz w:val="12"/>
                <w:szCs w:val="12"/>
              </w:rPr>
            </w:pPr>
          </w:p>
        </w:tc>
        <w:tc>
          <w:tcPr>
            <w:tcW w:w="46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3,007</w:t>
            </w:r>
          </w:p>
        </w:tc>
        <w:tc>
          <w:tcPr>
            <w:tcW w:w="280" w:type="dxa"/>
            <w:tcBorders>
              <w:bottom w:val="single" w:sz="8" w:space="0" w:color="auto"/>
            </w:tcBorders>
            <w:vAlign w:val="bottom"/>
          </w:tcPr>
          <w:p>
            <w:pPr>
              <w:spacing w:after="0"/>
              <w:rPr>
                <w:color w:val="auto"/>
                <w:sz w:val="12"/>
                <w:szCs w:val="12"/>
              </w:rPr>
            </w:pPr>
          </w:p>
        </w:tc>
        <w:tc>
          <w:tcPr>
            <w:tcW w:w="1420" w:type="dxa"/>
            <w:tcBorders>
              <w:bottom w:val="single" w:sz="8" w:space="0" w:color="auto"/>
            </w:tcBorders>
            <w:vAlign w:val="bottom"/>
          </w:tcPr>
          <w:p>
            <w:pPr>
              <w:spacing w:after="0" w:line="142" w:lineRule="exact"/>
              <w:ind w:right="3"/>
              <w:jc w:val="right"/>
              <w:rPr>
                <w:color w:val="auto"/>
                <w:sz w:val="20"/>
                <w:szCs w:val="20"/>
              </w:rPr>
            </w:pPr>
            <w:r>
              <w:rPr>
                <w:rFonts w:ascii="Calibri" w:eastAsia="Calibri" w:hAnsi="Calibri" w:cs="Calibri"/>
                <w:color w:val="auto"/>
                <w:sz w:val="12"/>
                <w:szCs w:val="12"/>
              </w:rPr>
              <w:t>330</w:t>
            </w:r>
          </w:p>
        </w:tc>
        <w:tc>
          <w:tcPr>
            <w:tcW w:w="1" w:type="dxa"/>
            <w:vAlign w:val="bottom"/>
          </w:tcPr>
          <w:p>
            <w:pPr>
              <w:spacing w:after="0"/>
              <w:rPr>
                <w:color w:val="auto"/>
                <w:sz w:val="1"/>
                <w:szCs w:val="1"/>
              </w:rPr>
            </w:pPr>
          </w:p>
        </w:tc>
      </w:tr>
    </w:tbl>
    <w:p>
      <w:pPr>
        <w:spacing w:after="0" w:line="1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Defned Contributon Plan</w:t>
      </w:r>
    </w:p>
    <w:p>
      <w:pPr>
        <w:spacing w:after="0" w:line="101"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AbbVie maintains defned contributon savings plans for the beneft of its eligible employees. The expense recognized for these plans was $425 million in 2024, $398 million in 2023 and $474 million in 2022. AbbVie provides certain other post-employment benefts, primarily salary contnuaton arrangements, to qualifying employees and accrues for the related cost over the service lives of the employees.</w:t>
      </w:r>
    </w:p>
    <w:p>
      <w:pPr>
        <w:spacing w:after="0" w:line="14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13 Equity</w:t>
      </w:r>
    </w:p>
    <w:p>
      <w:pPr>
        <w:spacing w:after="0" w:line="20" w:lineRule="exact"/>
        <w:rPr>
          <w:color w:val="auto"/>
          <w:sz w:val="20"/>
          <w:szCs w:val="20"/>
        </w:rPr>
      </w:pPr>
      <w:r>
        <w:rPr>
          <w:color w:val="auto"/>
          <w:sz w:val="20"/>
          <w:szCs w:val="20"/>
        </w:rPr>
        <w:drawing>
          <wp:anchor simplePos="0" relativeHeight="251881472" behindDoc="1" locked="0" layoutInCell="0" allowOverlap="1">
            <wp:simplePos x="0" y="0"/>
            <wp:positionH relativeFrom="column">
              <wp:posOffset>-4445</wp:posOffset>
            </wp:positionH>
            <wp:positionV relativeFrom="paragraph">
              <wp:posOffset>24130</wp:posOffset>
            </wp:positionV>
            <wp:extent cx="7166610" cy="5715"/>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Stock-Based Compensaton</w:t>
      </w:r>
    </w:p>
    <w:p>
      <w:pPr>
        <w:spacing w:after="0" w:line="101" w:lineRule="exact"/>
        <w:rPr>
          <w:color w:val="auto"/>
          <w:sz w:val="20"/>
          <w:szCs w:val="20"/>
        </w:rPr>
      </w:pPr>
    </w:p>
    <w:p>
      <w:pPr>
        <w:spacing w:after="0" w:line="234" w:lineRule="auto"/>
        <w:ind w:right="180" w:firstLine="297"/>
        <w:rPr>
          <w:color w:val="auto"/>
          <w:sz w:val="20"/>
          <w:szCs w:val="20"/>
        </w:rPr>
      </w:pPr>
      <w:r>
        <w:rPr>
          <w:rFonts w:ascii="Calibri" w:eastAsia="Calibri" w:hAnsi="Calibri" w:cs="Calibri"/>
          <w:color w:val="auto"/>
          <w:sz w:val="12"/>
          <w:szCs w:val="12"/>
        </w:rPr>
        <w:t>In May 2021, stockholders of the company approved the AbbVie Amended and Restated 2013 Incentve Stock Program (the Amended Plan), which amends and restates the AbbVie 2013 Incentve Stock Program (2013 ISP). AbbVie grants stock-based awards to eligible employees pursuant to the Amended Plan, which provides for several diferent forms of benefts, including non-qualifed stock optons, RSUs and various performance-based awards. Under the Amended Plan, a total of 144 million shares of AbbVie common stock have been reserved for issuance as awards to AbbVie employees.</w:t>
      </w:r>
    </w:p>
    <w:p>
      <w:pPr>
        <w:spacing w:after="0" w:line="94"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AbbVie measures compensaton expense for stock-based awards based on the grant date fair value of the awards and the estmated number of awards that are expected to vest. Forfeitures are estmated based on historical experience at the tme of grant and are revised in subsequent periods if actual forfeitures difer from those estmates. Compensaton cost for stock-based awards is amortzed over the service period, which could be shorter than the vestng period if an employee is retrement eligible. Retrement eligible employees generally are those who are age 55 or older and have at least 10 years of service.</w:t>
      </w:r>
    </w:p>
    <w:p>
      <w:pPr>
        <w:spacing w:after="0" w:line="20" w:lineRule="exact"/>
        <w:rPr>
          <w:color w:val="auto"/>
          <w:sz w:val="20"/>
          <w:szCs w:val="20"/>
        </w:rPr>
      </w:pPr>
      <w:r>
        <w:rPr>
          <w:color w:val="auto"/>
          <w:sz w:val="20"/>
          <w:szCs w:val="20"/>
        </w:rPr>
        <w:drawing>
          <wp:anchor simplePos="0" relativeHeight="251882496" behindDoc="1" locked="0" layoutInCell="0" allowOverlap="1">
            <wp:simplePos x="0" y="0"/>
            <wp:positionH relativeFrom="column">
              <wp:posOffset>6475730</wp:posOffset>
            </wp:positionH>
            <wp:positionV relativeFrom="paragraph">
              <wp:posOffset>251460</wp:posOffset>
            </wp:positionV>
            <wp:extent cx="400050" cy="74295"/>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88</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83520" behindDoc="1" locked="0" layoutInCell="0" allowOverlap="1">
            <wp:simplePos x="0" y="0"/>
            <wp:positionH relativeFrom="column">
              <wp:posOffset>7154545</wp:posOffset>
            </wp:positionH>
            <wp:positionV relativeFrom="paragraph">
              <wp:posOffset>-23495</wp:posOffset>
            </wp:positionV>
            <wp:extent cx="31115" cy="3683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84544" behindDoc="1" locked="0" layoutInCell="0" allowOverlap="1">
            <wp:simplePos x="0" y="0"/>
            <wp:positionH relativeFrom="column">
              <wp:posOffset>-17145</wp:posOffset>
            </wp:positionH>
            <wp:positionV relativeFrom="paragraph">
              <wp:posOffset>-23495</wp:posOffset>
            </wp:positionV>
            <wp:extent cx="31115" cy="3683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90" w:name="page91"/>
    <w:bookmarkEnd w:id="90"/>
    <w:p>
      <w:pPr>
        <w:spacing w:after="0"/>
        <w:ind w:left="280"/>
        <w:rPr>
          <w:color w:val="auto"/>
          <w:sz w:val="20"/>
          <w:szCs w:val="20"/>
        </w:rPr>
      </w:pPr>
      <w:r>
        <w:rPr>
          <w:rFonts w:ascii="Calibri" w:eastAsia="Calibri" w:hAnsi="Calibri" w:cs="Calibri"/>
          <w:color w:val="auto"/>
          <w:sz w:val="12"/>
          <w:szCs w:val="12"/>
        </w:rPr>
        <w:t>Stock-based compensaton expense is principally related to awards issued pursuant to the 2013 ISP and the Amended Plan and is summarized as follows: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860"/>
        <w:gridCol w:w="3480"/>
        <w:gridCol w:w="780"/>
        <w:gridCol w:w="300"/>
        <w:gridCol w:w="800"/>
        <w:gridCol w:w="300"/>
        <w:gridCol w:w="780"/>
      </w:tblGrid>
      <w:tr>
        <w:tblPrEx>
          <w:tblInd w:w="0" w:type="dxa"/>
          <w:tblLayout w:type="fixed"/>
        </w:tblPrEx>
        <w:trPr>
          <w:trHeight w:val="122"/>
        </w:trPr>
        <w:tc>
          <w:tcPr>
            <w:tcW w:w="486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3480" w:type="dxa"/>
            <w:vAlign w:val="bottom"/>
          </w:tcPr>
          <w:p>
            <w:pPr>
              <w:spacing w:after="0"/>
              <w:rPr>
                <w:color w:val="auto"/>
                <w:sz w:val="10"/>
                <w:szCs w:val="10"/>
              </w:rPr>
            </w:pPr>
          </w:p>
        </w:tc>
        <w:tc>
          <w:tcPr>
            <w:tcW w:w="780" w:type="dxa"/>
            <w:vAlign w:val="bottom"/>
          </w:tcPr>
          <w:p>
            <w:pPr>
              <w:spacing w:after="0"/>
              <w:ind w:right="362"/>
              <w:jc w:val="right"/>
              <w:rPr>
                <w:color w:val="auto"/>
                <w:sz w:val="20"/>
                <w:szCs w:val="20"/>
              </w:rPr>
            </w:pPr>
            <w:r>
              <w:rPr>
                <w:rFonts w:ascii="Calibri" w:eastAsia="Calibri" w:hAnsi="Calibri" w:cs="Calibri"/>
                <w:b/>
                <w:bCs/>
                <w:color w:val="auto"/>
                <w:sz w:val="10"/>
                <w:szCs w:val="10"/>
              </w:rPr>
              <w:t>2024</w:t>
            </w:r>
          </w:p>
        </w:tc>
        <w:tc>
          <w:tcPr>
            <w:tcW w:w="300" w:type="dxa"/>
            <w:vAlign w:val="bottom"/>
          </w:tcPr>
          <w:p>
            <w:pPr>
              <w:spacing w:after="0"/>
              <w:rPr>
                <w:color w:val="auto"/>
                <w:sz w:val="10"/>
                <w:szCs w:val="10"/>
              </w:rPr>
            </w:pPr>
          </w:p>
        </w:tc>
        <w:tc>
          <w:tcPr>
            <w:tcW w:w="800" w:type="dxa"/>
            <w:vAlign w:val="bottom"/>
          </w:tcPr>
          <w:p>
            <w:pPr>
              <w:spacing w:after="0"/>
              <w:ind w:right="362"/>
              <w:jc w:val="right"/>
              <w:rPr>
                <w:color w:val="auto"/>
                <w:sz w:val="20"/>
                <w:szCs w:val="20"/>
              </w:rPr>
            </w:pPr>
            <w:r>
              <w:rPr>
                <w:rFonts w:ascii="Calibri" w:eastAsia="Calibri" w:hAnsi="Calibri" w:cs="Calibri"/>
                <w:b/>
                <w:bCs/>
                <w:color w:val="auto"/>
                <w:sz w:val="10"/>
                <w:szCs w:val="10"/>
              </w:rPr>
              <w:t>2023</w:t>
            </w:r>
          </w:p>
        </w:tc>
        <w:tc>
          <w:tcPr>
            <w:tcW w:w="300" w:type="dxa"/>
            <w:vAlign w:val="bottom"/>
          </w:tcPr>
          <w:p>
            <w:pPr>
              <w:spacing w:after="0"/>
              <w:rPr>
                <w:color w:val="auto"/>
                <w:sz w:val="10"/>
                <w:szCs w:val="10"/>
              </w:rPr>
            </w:pPr>
          </w:p>
        </w:tc>
        <w:tc>
          <w:tcPr>
            <w:tcW w:w="780" w:type="dxa"/>
            <w:vAlign w:val="bottom"/>
          </w:tcPr>
          <w:p>
            <w:pPr>
              <w:spacing w:after="0"/>
              <w:ind w:right="362"/>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860" w:type="dxa"/>
            <w:tcBorders>
              <w:bottom w:val="single" w:sz="8" w:space="0" w:color="auto"/>
            </w:tcBorders>
            <w:vAlign w:val="bottom"/>
          </w:tcPr>
          <w:p>
            <w:pPr>
              <w:spacing w:after="0"/>
              <w:rPr>
                <w:color w:val="auto"/>
                <w:sz w:val="2"/>
                <w:szCs w:val="2"/>
              </w:rPr>
            </w:pPr>
          </w:p>
        </w:tc>
        <w:tc>
          <w:tcPr>
            <w:tcW w:w="348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0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7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8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Cost of products sold</w:t>
            </w:r>
          </w:p>
        </w:tc>
        <w:tc>
          <w:tcPr>
            <w:tcW w:w="3480" w:type="dxa"/>
            <w:shd w:val="clear" w:color="auto" w:fill="CCEEFF"/>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c>
          <w:tcPr>
            <w:tcW w:w="78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55</w:t>
            </w:r>
          </w:p>
        </w:tc>
        <w:tc>
          <w:tcPr>
            <w:tcW w:w="300" w:type="dxa"/>
            <w:shd w:val="clear" w:color="auto" w:fill="CCEEFF"/>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80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46</w:t>
            </w:r>
          </w:p>
        </w:tc>
        <w:tc>
          <w:tcPr>
            <w:tcW w:w="300" w:type="dxa"/>
            <w:shd w:val="clear" w:color="auto" w:fill="CCEEFF"/>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7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38</w:t>
            </w:r>
          </w:p>
        </w:tc>
      </w:tr>
      <w:tr>
        <w:tblPrEx>
          <w:tblInd w:w="0" w:type="dxa"/>
          <w:tblLayout w:type="fixed"/>
        </w:tblPrEx>
        <w:trPr>
          <w:trHeight w:val="147"/>
        </w:trPr>
        <w:tc>
          <w:tcPr>
            <w:tcW w:w="4860" w:type="dxa"/>
            <w:vAlign w:val="bottom"/>
          </w:tcPr>
          <w:p>
            <w:pPr>
              <w:spacing w:after="0" w:line="142" w:lineRule="exact"/>
              <w:rPr>
                <w:color w:val="auto"/>
                <w:sz w:val="20"/>
                <w:szCs w:val="20"/>
              </w:rPr>
            </w:pPr>
            <w:r>
              <w:rPr>
                <w:rFonts w:ascii="Calibri" w:eastAsia="Calibri" w:hAnsi="Calibri" w:cs="Calibri"/>
                <w:color w:val="auto"/>
                <w:sz w:val="12"/>
                <w:szCs w:val="12"/>
              </w:rPr>
              <w:t>Research and development</w:t>
            </w:r>
          </w:p>
        </w:tc>
        <w:tc>
          <w:tcPr>
            <w:tcW w:w="3480" w:type="dxa"/>
            <w:vAlign w:val="bottom"/>
          </w:tcPr>
          <w:p>
            <w:pPr>
              <w:spacing w:after="0"/>
              <w:rPr>
                <w:color w:val="auto"/>
                <w:sz w:val="12"/>
                <w:szCs w:val="12"/>
              </w:rPr>
            </w:pPr>
          </w:p>
        </w:tc>
        <w:tc>
          <w:tcPr>
            <w:tcW w:w="78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341</w:t>
            </w:r>
          </w:p>
        </w:tc>
        <w:tc>
          <w:tcPr>
            <w:tcW w:w="300" w:type="dxa"/>
            <w:vAlign w:val="bottom"/>
          </w:tcPr>
          <w:p>
            <w:pPr>
              <w:spacing w:after="0"/>
              <w:rPr>
                <w:color w:val="auto"/>
                <w:sz w:val="12"/>
                <w:szCs w:val="12"/>
              </w:rPr>
            </w:pPr>
          </w:p>
        </w:tc>
        <w:tc>
          <w:tcPr>
            <w:tcW w:w="80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278</w:t>
            </w:r>
          </w:p>
        </w:tc>
        <w:tc>
          <w:tcPr>
            <w:tcW w:w="300" w:type="dxa"/>
            <w:vAlign w:val="bottom"/>
          </w:tcPr>
          <w:p>
            <w:pPr>
              <w:spacing w:after="0"/>
              <w:rPr>
                <w:color w:val="auto"/>
                <w:sz w:val="12"/>
                <w:szCs w:val="12"/>
              </w:rPr>
            </w:pPr>
          </w:p>
        </w:tc>
        <w:tc>
          <w:tcPr>
            <w:tcW w:w="780" w:type="dxa"/>
            <w:vAlign w:val="bottom"/>
          </w:tcPr>
          <w:p>
            <w:pPr>
              <w:spacing w:after="0" w:line="142" w:lineRule="exact"/>
              <w:jc w:val="right"/>
              <w:rPr>
                <w:color w:val="auto"/>
                <w:sz w:val="20"/>
                <w:szCs w:val="20"/>
              </w:rPr>
            </w:pPr>
            <w:r>
              <w:rPr>
                <w:rFonts w:ascii="Calibri" w:eastAsia="Calibri" w:hAnsi="Calibri" w:cs="Calibri"/>
                <w:color w:val="auto"/>
                <w:sz w:val="12"/>
                <w:szCs w:val="12"/>
              </w:rPr>
              <w:t>232</w:t>
            </w:r>
          </w:p>
        </w:tc>
      </w:tr>
      <w:tr>
        <w:tblPrEx>
          <w:tblInd w:w="0" w:type="dxa"/>
          <w:tblLayout w:type="fixed"/>
        </w:tblPrEx>
        <w:trPr>
          <w:trHeight w:val="153"/>
        </w:trPr>
        <w:tc>
          <w:tcPr>
            <w:tcW w:w="48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Selling, general and administratve</w:t>
            </w:r>
          </w:p>
        </w:tc>
        <w:tc>
          <w:tcPr>
            <w:tcW w:w="3480" w:type="dxa"/>
            <w:tcBorders>
              <w:bottom w:val="single" w:sz="8" w:space="0" w:color="auto"/>
            </w:tcBorders>
            <w:shd w:val="clear" w:color="auto" w:fill="CCEEFF"/>
            <w:vAlign w:val="bottom"/>
          </w:tcPr>
          <w:p>
            <w:pPr>
              <w:spacing w:after="0"/>
              <w:rPr>
                <w:color w:val="auto"/>
                <w:sz w:val="13"/>
                <w:szCs w:val="13"/>
              </w:rPr>
            </w:pPr>
          </w:p>
        </w:tc>
        <w:tc>
          <w:tcPr>
            <w:tcW w:w="78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515</w:t>
            </w:r>
          </w:p>
        </w:tc>
        <w:tc>
          <w:tcPr>
            <w:tcW w:w="300" w:type="dxa"/>
            <w:tcBorders>
              <w:bottom w:val="single" w:sz="8" w:space="0" w:color="auto"/>
            </w:tcBorders>
            <w:shd w:val="clear" w:color="auto" w:fill="CCEEFF"/>
            <w:vAlign w:val="bottom"/>
          </w:tcPr>
          <w:p>
            <w:pPr>
              <w:spacing w:after="0"/>
              <w:rPr>
                <w:color w:val="auto"/>
                <w:sz w:val="13"/>
                <w:szCs w:val="13"/>
              </w:rPr>
            </w:pPr>
          </w:p>
        </w:tc>
        <w:tc>
          <w:tcPr>
            <w:tcW w:w="80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423</w:t>
            </w:r>
          </w:p>
        </w:tc>
        <w:tc>
          <w:tcPr>
            <w:tcW w:w="300" w:type="dxa"/>
            <w:tcBorders>
              <w:bottom w:val="single" w:sz="8" w:space="0" w:color="auto"/>
            </w:tcBorders>
            <w:shd w:val="clear" w:color="auto" w:fill="CCEEFF"/>
            <w:vAlign w:val="bottom"/>
          </w:tcPr>
          <w:p>
            <w:pPr>
              <w:spacing w:after="0"/>
              <w:rPr>
                <w:color w:val="auto"/>
                <w:sz w:val="13"/>
                <w:szCs w:val="13"/>
              </w:rPr>
            </w:pPr>
          </w:p>
        </w:tc>
        <w:tc>
          <w:tcPr>
            <w:tcW w:w="7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401</w:t>
            </w:r>
          </w:p>
        </w:tc>
      </w:tr>
      <w:tr>
        <w:tblPrEx>
          <w:tblInd w:w="0" w:type="dxa"/>
          <w:tblLayout w:type="fixed"/>
        </w:tblPrEx>
        <w:trPr>
          <w:trHeight w:val="142"/>
        </w:trPr>
        <w:tc>
          <w:tcPr>
            <w:tcW w:w="4860" w:type="dxa"/>
            <w:vAlign w:val="bottom"/>
          </w:tcPr>
          <w:p>
            <w:pPr>
              <w:spacing w:after="0" w:line="142" w:lineRule="exact"/>
              <w:rPr>
                <w:color w:val="auto"/>
                <w:sz w:val="20"/>
                <w:szCs w:val="20"/>
              </w:rPr>
            </w:pPr>
            <w:r>
              <w:rPr>
                <w:rFonts w:ascii="Calibri" w:eastAsia="Calibri" w:hAnsi="Calibri" w:cs="Calibri"/>
                <w:color w:val="auto"/>
                <w:sz w:val="12"/>
                <w:szCs w:val="12"/>
              </w:rPr>
              <w:t>Pre-tax compensaton expense</w:t>
            </w:r>
          </w:p>
        </w:tc>
        <w:tc>
          <w:tcPr>
            <w:tcW w:w="3480" w:type="dxa"/>
            <w:vAlign w:val="bottom"/>
          </w:tcPr>
          <w:p>
            <w:pPr>
              <w:spacing w:after="0"/>
              <w:rPr>
                <w:color w:val="auto"/>
                <w:sz w:val="12"/>
                <w:szCs w:val="12"/>
              </w:rPr>
            </w:pPr>
          </w:p>
        </w:tc>
        <w:tc>
          <w:tcPr>
            <w:tcW w:w="78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911</w:t>
            </w:r>
          </w:p>
        </w:tc>
        <w:tc>
          <w:tcPr>
            <w:tcW w:w="300" w:type="dxa"/>
            <w:vAlign w:val="bottom"/>
          </w:tcPr>
          <w:p>
            <w:pPr>
              <w:spacing w:after="0"/>
              <w:rPr>
                <w:color w:val="auto"/>
                <w:sz w:val="12"/>
                <w:szCs w:val="12"/>
              </w:rPr>
            </w:pPr>
          </w:p>
        </w:tc>
        <w:tc>
          <w:tcPr>
            <w:tcW w:w="80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747</w:t>
            </w:r>
          </w:p>
        </w:tc>
        <w:tc>
          <w:tcPr>
            <w:tcW w:w="300" w:type="dxa"/>
            <w:vAlign w:val="bottom"/>
          </w:tcPr>
          <w:p>
            <w:pPr>
              <w:spacing w:after="0"/>
              <w:rPr>
                <w:color w:val="auto"/>
                <w:sz w:val="12"/>
                <w:szCs w:val="12"/>
              </w:rPr>
            </w:pPr>
          </w:p>
        </w:tc>
        <w:tc>
          <w:tcPr>
            <w:tcW w:w="780" w:type="dxa"/>
            <w:vAlign w:val="bottom"/>
          </w:tcPr>
          <w:p>
            <w:pPr>
              <w:spacing w:after="0" w:line="142" w:lineRule="exact"/>
              <w:jc w:val="right"/>
              <w:rPr>
                <w:color w:val="auto"/>
                <w:sz w:val="20"/>
                <w:szCs w:val="20"/>
              </w:rPr>
            </w:pPr>
            <w:r>
              <w:rPr>
                <w:rFonts w:ascii="Calibri" w:eastAsia="Calibri" w:hAnsi="Calibri" w:cs="Calibri"/>
                <w:color w:val="auto"/>
                <w:sz w:val="12"/>
                <w:szCs w:val="12"/>
              </w:rPr>
              <w:t>671</w:t>
            </w:r>
          </w:p>
        </w:tc>
      </w:tr>
      <w:tr>
        <w:tblPrEx>
          <w:tblInd w:w="0" w:type="dxa"/>
          <w:tblLayout w:type="fixed"/>
        </w:tblPrEx>
        <w:trPr>
          <w:trHeight w:val="153"/>
        </w:trPr>
        <w:tc>
          <w:tcPr>
            <w:tcW w:w="48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Tax beneft</w:t>
            </w:r>
          </w:p>
        </w:tc>
        <w:tc>
          <w:tcPr>
            <w:tcW w:w="3480" w:type="dxa"/>
            <w:tcBorders>
              <w:bottom w:val="single" w:sz="8" w:space="0" w:color="auto"/>
            </w:tcBorders>
            <w:shd w:val="clear" w:color="auto" w:fill="CCEEFF"/>
            <w:vAlign w:val="bottom"/>
          </w:tcPr>
          <w:p>
            <w:pPr>
              <w:spacing w:after="0"/>
              <w:rPr>
                <w:color w:val="auto"/>
                <w:sz w:val="13"/>
                <w:szCs w:val="13"/>
              </w:rPr>
            </w:pPr>
          </w:p>
        </w:tc>
        <w:tc>
          <w:tcPr>
            <w:tcW w:w="78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159</w:t>
            </w:r>
          </w:p>
        </w:tc>
        <w:tc>
          <w:tcPr>
            <w:tcW w:w="300" w:type="dxa"/>
            <w:tcBorders>
              <w:bottom w:val="single" w:sz="8" w:space="0" w:color="auto"/>
            </w:tcBorders>
            <w:shd w:val="clear" w:color="auto" w:fill="CCEEFF"/>
            <w:vAlign w:val="bottom"/>
          </w:tcPr>
          <w:p>
            <w:pPr>
              <w:spacing w:after="0"/>
              <w:rPr>
                <w:color w:val="auto"/>
                <w:sz w:val="13"/>
                <w:szCs w:val="13"/>
              </w:rPr>
            </w:pPr>
          </w:p>
        </w:tc>
        <w:tc>
          <w:tcPr>
            <w:tcW w:w="80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136</w:t>
            </w:r>
          </w:p>
        </w:tc>
        <w:tc>
          <w:tcPr>
            <w:tcW w:w="300" w:type="dxa"/>
            <w:tcBorders>
              <w:bottom w:val="single" w:sz="8" w:space="0" w:color="auto"/>
            </w:tcBorders>
            <w:shd w:val="clear" w:color="auto" w:fill="CCEEFF"/>
            <w:vAlign w:val="bottom"/>
          </w:tcPr>
          <w:p>
            <w:pPr>
              <w:spacing w:after="0"/>
              <w:rPr>
                <w:color w:val="auto"/>
                <w:sz w:val="13"/>
                <w:szCs w:val="13"/>
              </w:rPr>
            </w:pPr>
          </w:p>
        </w:tc>
        <w:tc>
          <w:tcPr>
            <w:tcW w:w="7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122</w:t>
            </w:r>
          </w:p>
        </w:tc>
      </w:tr>
      <w:tr>
        <w:tblPrEx>
          <w:tblInd w:w="0" w:type="dxa"/>
          <w:tblLayout w:type="fixed"/>
        </w:tblPrEx>
        <w:trPr>
          <w:trHeight w:val="142"/>
        </w:trPr>
        <w:tc>
          <w:tcPr>
            <w:tcW w:w="48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Afer-tax compensaton expense</w:t>
            </w:r>
          </w:p>
        </w:tc>
        <w:tc>
          <w:tcPr>
            <w:tcW w:w="3480" w:type="dxa"/>
            <w:tcBorders>
              <w:bottom w:val="single" w:sz="8" w:space="0" w:color="auto"/>
            </w:tcBorders>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c>
          <w:tcPr>
            <w:tcW w:w="78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752</w:t>
            </w:r>
          </w:p>
        </w:tc>
        <w:tc>
          <w:tcPr>
            <w:tcW w:w="300" w:type="dxa"/>
            <w:tcBorders>
              <w:bottom w:val="single" w:sz="8" w:space="0" w:color="auto"/>
            </w:tcBorders>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80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611</w:t>
            </w:r>
          </w:p>
        </w:tc>
        <w:tc>
          <w:tcPr>
            <w:tcW w:w="300" w:type="dxa"/>
            <w:tcBorders>
              <w:bottom w:val="single" w:sz="8" w:space="0" w:color="auto"/>
            </w:tcBorders>
            <w:vAlign w:val="bottom"/>
          </w:tcPr>
          <w:p>
            <w:pPr>
              <w:spacing w:after="0" w:line="142" w:lineRule="exact"/>
              <w:ind w:right="100"/>
              <w:jc w:val="right"/>
              <w:rPr>
                <w:color w:val="auto"/>
                <w:sz w:val="20"/>
                <w:szCs w:val="20"/>
              </w:rPr>
            </w:pPr>
            <w:r>
              <w:rPr>
                <w:rFonts w:ascii="Calibri" w:eastAsia="Calibri" w:hAnsi="Calibri" w:cs="Calibri"/>
                <w:color w:val="auto"/>
                <w:sz w:val="12"/>
                <w:szCs w:val="12"/>
              </w:rPr>
              <w:t>$</w:t>
            </w:r>
          </w:p>
        </w:tc>
        <w:tc>
          <w:tcPr>
            <w:tcW w:w="7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549</w:t>
            </w:r>
          </w:p>
        </w:tc>
      </w:tr>
      <w:tr>
        <w:tblPrEx>
          <w:tblInd w:w="0" w:type="dxa"/>
          <w:tblLayout w:type="fixed"/>
        </w:tblPrEx>
        <w:trPr>
          <w:trHeight w:val="20"/>
        </w:trPr>
        <w:tc>
          <w:tcPr>
            <w:tcW w:w="4860" w:type="dxa"/>
            <w:tcBorders>
              <w:bottom w:val="single" w:sz="8" w:space="0" w:color="auto"/>
            </w:tcBorders>
            <w:vAlign w:val="bottom"/>
          </w:tcPr>
          <w:p>
            <w:pPr>
              <w:spacing w:after="0" w:line="20" w:lineRule="exact"/>
              <w:rPr>
                <w:color w:val="auto"/>
                <w:sz w:val="1"/>
                <w:szCs w:val="1"/>
              </w:rPr>
            </w:pPr>
          </w:p>
        </w:tc>
        <w:tc>
          <w:tcPr>
            <w:tcW w:w="3480" w:type="dxa"/>
            <w:tcBorders>
              <w:bottom w:val="single" w:sz="8" w:space="0" w:color="auto"/>
            </w:tcBorders>
            <w:vAlign w:val="bottom"/>
          </w:tcPr>
          <w:p>
            <w:pPr>
              <w:spacing w:after="0" w:line="20" w:lineRule="exact"/>
              <w:rPr>
                <w:color w:val="auto"/>
                <w:sz w:val="1"/>
                <w:szCs w:val="1"/>
              </w:rPr>
            </w:pPr>
          </w:p>
        </w:tc>
        <w:tc>
          <w:tcPr>
            <w:tcW w:w="780" w:type="dxa"/>
            <w:tcBorders>
              <w:bottom w:val="single" w:sz="8" w:space="0" w:color="auto"/>
            </w:tcBorders>
            <w:vAlign w:val="bottom"/>
          </w:tcPr>
          <w:p>
            <w:pPr>
              <w:spacing w:after="0" w:line="20" w:lineRule="exact"/>
              <w:rPr>
                <w:color w:val="auto"/>
                <w:sz w:val="1"/>
                <w:szCs w:val="1"/>
              </w:rPr>
            </w:pPr>
          </w:p>
        </w:tc>
        <w:tc>
          <w:tcPr>
            <w:tcW w:w="300" w:type="dxa"/>
            <w:tcBorders>
              <w:bottom w:val="single" w:sz="8" w:space="0" w:color="auto"/>
            </w:tcBorders>
            <w:vAlign w:val="bottom"/>
          </w:tcPr>
          <w:p>
            <w:pPr>
              <w:spacing w:after="0" w:line="20" w:lineRule="exact"/>
              <w:rPr>
                <w:color w:val="auto"/>
                <w:sz w:val="1"/>
                <w:szCs w:val="1"/>
              </w:rPr>
            </w:pPr>
          </w:p>
        </w:tc>
        <w:tc>
          <w:tcPr>
            <w:tcW w:w="800" w:type="dxa"/>
            <w:tcBorders>
              <w:bottom w:val="single" w:sz="8" w:space="0" w:color="auto"/>
            </w:tcBorders>
            <w:vAlign w:val="bottom"/>
          </w:tcPr>
          <w:p>
            <w:pPr>
              <w:spacing w:after="0" w:line="20" w:lineRule="exact"/>
              <w:rPr>
                <w:color w:val="auto"/>
                <w:sz w:val="1"/>
                <w:szCs w:val="1"/>
              </w:rPr>
            </w:pPr>
          </w:p>
        </w:tc>
        <w:tc>
          <w:tcPr>
            <w:tcW w:w="300" w:type="dxa"/>
            <w:tcBorders>
              <w:bottom w:val="single" w:sz="8" w:space="0" w:color="auto"/>
            </w:tcBorders>
            <w:vAlign w:val="bottom"/>
          </w:tcPr>
          <w:p>
            <w:pPr>
              <w:spacing w:after="0" w:line="20" w:lineRule="exact"/>
              <w:rPr>
                <w:color w:val="auto"/>
                <w:sz w:val="1"/>
                <w:szCs w:val="1"/>
              </w:rPr>
            </w:pPr>
          </w:p>
        </w:tc>
        <w:tc>
          <w:tcPr>
            <w:tcW w:w="780" w:type="dxa"/>
            <w:tcBorders>
              <w:bottom w:val="single" w:sz="8" w:space="0" w:color="auto"/>
            </w:tcBorders>
            <w:vAlign w:val="bottom"/>
          </w:tcPr>
          <w:p>
            <w:pPr>
              <w:spacing w:after="0" w:line="20" w:lineRule="exact"/>
              <w:rPr>
                <w:color w:val="auto"/>
                <w:sz w:val="1"/>
                <w:szCs w:val="1"/>
              </w:rPr>
            </w:pPr>
          </w:p>
        </w:tc>
      </w:tr>
    </w:tbl>
    <w:p>
      <w:pPr>
        <w:spacing w:after="0" w:line="125"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Realized excess tax benefts associated with stock-based compensaton totaled $84 million in 2024, $90 million in 2023 and $116 million in 2022.</w:t>
      </w:r>
    </w:p>
    <w:p>
      <w:pPr>
        <w:spacing w:after="0" w:line="101" w:lineRule="exact"/>
        <w:rPr>
          <w:color w:val="auto"/>
          <w:sz w:val="20"/>
          <w:szCs w:val="20"/>
        </w:rPr>
      </w:pPr>
    </w:p>
    <w:p>
      <w:pPr>
        <w:spacing w:after="0"/>
        <w:ind w:left="280"/>
        <w:rPr>
          <w:color w:val="auto"/>
          <w:sz w:val="20"/>
          <w:szCs w:val="20"/>
        </w:rPr>
      </w:pPr>
      <w:r>
        <w:rPr>
          <w:rFonts w:ascii="Calibri" w:eastAsia="Calibri" w:hAnsi="Calibri" w:cs="Calibri"/>
          <w:color w:val="auto"/>
          <w:sz w:val="11"/>
          <w:szCs w:val="11"/>
        </w:rPr>
        <w:t>In additon to stock-based compensaton expense included in the table above and in connecton with the acquisitons of ImmunoGen and Cerevel Therapeutcs, AbbVie incurred cash-setled, post-closing expense for ImmunoGen and</w:t>
      </w:r>
    </w:p>
    <w:p>
      <w:pPr>
        <w:spacing w:after="0" w:line="5" w:lineRule="exact"/>
        <w:rPr>
          <w:color w:val="auto"/>
          <w:sz w:val="20"/>
          <w:szCs w:val="20"/>
        </w:rPr>
      </w:pPr>
    </w:p>
    <w:p>
      <w:pPr>
        <w:spacing w:after="0"/>
        <w:rPr>
          <w:color w:val="auto"/>
          <w:sz w:val="20"/>
          <w:szCs w:val="20"/>
        </w:rPr>
      </w:pPr>
      <w:r>
        <w:rPr>
          <w:rFonts w:ascii="Calibri" w:eastAsia="Calibri" w:hAnsi="Calibri" w:cs="Calibri"/>
          <w:color w:val="auto"/>
          <w:sz w:val="12"/>
          <w:szCs w:val="12"/>
        </w:rPr>
        <w:t>Cerevel Therapeutcs employee incentve awards, which is summarized in the table below:</w:t>
      </w:r>
    </w:p>
    <w:p>
      <w:pPr>
        <w:spacing w:after="0" w:line="115" w:lineRule="exact"/>
        <w:rPr>
          <w:color w:val="auto"/>
          <w:sz w:val="20"/>
          <w:szCs w:val="20"/>
        </w:rPr>
      </w:pPr>
    </w:p>
    <w:tbl>
      <w:tblPr>
        <w:tblInd w:w="0" w:type="dxa"/>
        <w:tblLayout w:type="fixed"/>
        <w:tblCellMar>
          <w:top w:w="0" w:type="dxa"/>
          <w:left w:w="0" w:type="dxa"/>
          <w:bottom w:w="0" w:type="dxa"/>
          <w:right w:w="0" w:type="dxa"/>
        </w:tblCellMar>
      </w:tblPr>
      <w:tblGrid>
        <w:gridCol w:w="5380"/>
        <w:gridCol w:w="4120"/>
        <w:gridCol w:w="1800"/>
      </w:tblGrid>
      <w:tr>
        <w:tblPrEx>
          <w:tblInd w:w="0" w:type="dxa"/>
          <w:tblLayout w:type="fixed"/>
        </w:tblPrEx>
        <w:trPr>
          <w:trHeight w:val="122"/>
        </w:trPr>
        <w:tc>
          <w:tcPr>
            <w:tcW w:w="5380" w:type="dxa"/>
            <w:vAlign w:val="bottom"/>
          </w:tcPr>
          <w:p>
            <w:pPr>
              <w:spacing w:after="0"/>
              <w:rPr>
                <w:color w:val="auto"/>
                <w:sz w:val="20"/>
                <w:szCs w:val="20"/>
              </w:rPr>
            </w:pPr>
            <w:r>
              <w:rPr>
                <w:rFonts w:ascii="Calibri" w:eastAsia="Calibri" w:hAnsi="Calibri" w:cs="Calibri"/>
                <w:b/>
                <w:bCs/>
                <w:color w:val="auto"/>
                <w:sz w:val="10"/>
                <w:szCs w:val="10"/>
              </w:rPr>
              <w:t>year ended December 31 (in millions)</w:t>
            </w:r>
          </w:p>
        </w:tc>
        <w:tc>
          <w:tcPr>
            <w:tcW w:w="4120" w:type="dxa"/>
            <w:vAlign w:val="bottom"/>
          </w:tcPr>
          <w:p>
            <w:pPr>
              <w:spacing w:after="0"/>
              <w:rPr>
                <w:color w:val="auto"/>
                <w:sz w:val="10"/>
                <w:szCs w:val="10"/>
              </w:rPr>
            </w:pPr>
          </w:p>
        </w:tc>
        <w:tc>
          <w:tcPr>
            <w:tcW w:w="1800" w:type="dxa"/>
            <w:vAlign w:val="bottom"/>
          </w:tcPr>
          <w:p>
            <w:pPr>
              <w:spacing w:after="0"/>
              <w:ind w:right="1042"/>
              <w:jc w:val="right"/>
              <w:rPr>
                <w:color w:val="auto"/>
                <w:sz w:val="20"/>
                <w:szCs w:val="20"/>
              </w:rPr>
            </w:pPr>
            <w:r>
              <w:rPr>
                <w:rFonts w:ascii="Calibri" w:eastAsia="Calibri" w:hAnsi="Calibri" w:cs="Calibri"/>
                <w:b/>
                <w:bCs/>
                <w:color w:val="auto"/>
                <w:sz w:val="10"/>
                <w:szCs w:val="10"/>
              </w:rPr>
              <w:t>2024</w:t>
            </w:r>
          </w:p>
        </w:tc>
      </w:tr>
      <w:tr>
        <w:tblPrEx>
          <w:tblInd w:w="0" w:type="dxa"/>
          <w:tblLayout w:type="fixed"/>
        </w:tblPrEx>
        <w:trPr>
          <w:trHeight w:val="32"/>
        </w:trPr>
        <w:tc>
          <w:tcPr>
            <w:tcW w:w="5380" w:type="dxa"/>
            <w:tcBorders>
              <w:bottom w:val="single" w:sz="8" w:space="0" w:color="auto"/>
            </w:tcBorders>
            <w:vAlign w:val="bottom"/>
          </w:tcPr>
          <w:p>
            <w:pPr>
              <w:spacing w:after="0"/>
              <w:rPr>
                <w:color w:val="auto"/>
                <w:sz w:val="2"/>
                <w:szCs w:val="2"/>
              </w:rPr>
            </w:pPr>
          </w:p>
        </w:tc>
        <w:tc>
          <w:tcPr>
            <w:tcW w:w="4120" w:type="dxa"/>
            <w:tcBorders>
              <w:bottom w:val="single" w:sz="8" w:space="0" w:color="auto"/>
            </w:tcBorders>
            <w:vAlign w:val="bottom"/>
          </w:tcPr>
          <w:p>
            <w:pPr>
              <w:spacing w:after="0"/>
              <w:rPr>
                <w:color w:val="auto"/>
                <w:sz w:val="2"/>
                <w:szCs w:val="2"/>
              </w:rPr>
            </w:pPr>
          </w:p>
        </w:tc>
        <w:tc>
          <w:tcPr>
            <w:tcW w:w="180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538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Cost of products sold</w:t>
            </w:r>
          </w:p>
        </w:tc>
        <w:tc>
          <w:tcPr>
            <w:tcW w:w="4120" w:type="dxa"/>
            <w:shd w:val="clear" w:color="auto" w:fill="CCEEFF"/>
            <w:vAlign w:val="bottom"/>
          </w:tcPr>
          <w:p>
            <w:pPr>
              <w:spacing w:after="0" w:line="142" w:lineRule="exact"/>
              <w:ind w:right="440"/>
              <w:jc w:val="right"/>
              <w:rPr>
                <w:color w:val="auto"/>
                <w:sz w:val="20"/>
                <w:szCs w:val="20"/>
              </w:rPr>
            </w:pPr>
            <w:r>
              <w:rPr>
                <w:rFonts w:ascii="Calibri" w:eastAsia="Calibri" w:hAnsi="Calibri" w:cs="Calibri"/>
                <w:color w:val="auto"/>
                <w:sz w:val="12"/>
                <w:szCs w:val="12"/>
              </w:rPr>
              <w:t>$</w:t>
            </w:r>
          </w:p>
        </w:tc>
        <w:tc>
          <w:tcPr>
            <w:tcW w:w="1800" w:type="dxa"/>
            <w:shd w:val="clear" w:color="auto" w:fill="CCEEFF"/>
            <w:vAlign w:val="bottom"/>
          </w:tcPr>
          <w:p>
            <w:pPr>
              <w:spacing w:after="0" w:line="142" w:lineRule="exact"/>
              <w:ind w:left="1542"/>
              <w:jc w:val="center"/>
              <w:rPr>
                <w:color w:val="auto"/>
                <w:sz w:val="20"/>
                <w:szCs w:val="20"/>
              </w:rPr>
            </w:pPr>
            <w:r>
              <w:rPr>
                <w:rFonts w:ascii="Calibri" w:eastAsia="Calibri" w:hAnsi="Calibri" w:cs="Calibri"/>
                <w:color w:val="auto"/>
                <w:w w:val="98"/>
                <w:sz w:val="12"/>
                <w:szCs w:val="12"/>
              </w:rPr>
              <w:t>36</w:t>
            </w:r>
          </w:p>
        </w:tc>
      </w:tr>
      <w:tr>
        <w:tblPrEx>
          <w:tblInd w:w="0" w:type="dxa"/>
          <w:tblLayout w:type="fixed"/>
        </w:tblPrEx>
        <w:trPr>
          <w:trHeight w:val="147"/>
        </w:trPr>
        <w:tc>
          <w:tcPr>
            <w:tcW w:w="5380" w:type="dxa"/>
            <w:vAlign w:val="bottom"/>
          </w:tcPr>
          <w:p>
            <w:pPr>
              <w:spacing w:after="0" w:line="142" w:lineRule="exact"/>
              <w:rPr>
                <w:color w:val="auto"/>
                <w:sz w:val="20"/>
                <w:szCs w:val="20"/>
              </w:rPr>
            </w:pPr>
            <w:r>
              <w:rPr>
                <w:rFonts w:ascii="Calibri" w:eastAsia="Calibri" w:hAnsi="Calibri" w:cs="Calibri"/>
                <w:color w:val="auto"/>
                <w:sz w:val="12"/>
                <w:szCs w:val="12"/>
              </w:rPr>
              <w:t>Research and development</w:t>
            </w:r>
          </w:p>
        </w:tc>
        <w:tc>
          <w:tcPr>
            <w:tcW w:w="4120" w:type="dxa"/>
            <w:vAlign w:val="bottom"/>
          </w:tcPr>
          <w:p>
            <w:pPr>
              <w:spacing w:after="0"/>
              <w:rPr>
                <w:color w:val="auto"/>
                <w:sz w:val="12"/>
                <w:szCs w:val="12"/>
              </w:rPr>
            </w:pPr>
          </w:p>
        </w:tc>
        <w:tc>
          <w:tcPr>
            <w:tcW w:w="1800" w:type="dxa"/>
            <w:vAlign w:val="bottom"/>
          </w:tcPr>
          <w:p>
            <w:pPr>
              <w:spacing w:after="0" w:line="142" w:lineRule="exact"/>
              <w:ind w:left="1522"/>
              <w:jc w:val="center"/>
              <w:rPr>
                <w:color w:val="auto"/>
                <w:sz w:val="20"/>
                <w:szCs w:val="20"/>
              </w:rPr>
            </w:pPr>
            <w:r>
              <w:rPr>
                <w:rFonts w:ascii="Calibri" w:eastAsia="Calibri" w:hAnsi="Calibri" w:cs="Calibri"/>
                <w:color w:val="auto"/>
                <w:w w:val="98"/>
                <w:sz w:val="12"/>
                <w:szCs w:val="12"/>
              </w:rPr>
              <w:t>184</w:t>
            </w:r>
          </w:p>
        </w:tc>
      </w:tr>
      <w:tr>
        <w:tblPrEx>
          <w:tblInd w:w="0" w:type="dxa"/>
          <w:tblLayout w:type="fixed"/>
        </w:tblPrEx>
        <w:trPr>
          <w:trHeight w:val="153"/>
        </w:trPr>
        <w:tc>
          <w:tcPr>
            <w:tcW w:w="538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Selling, general and administratve</w:t>
            </w:r>
          </w:p>
        </w:tc>
        <w:tc>
          <w:tcPr>
            <w:tcW w:w="4120" w:type="dxa"/>
            <w:tcBorders>
              <w:bottom w:val="single" w:sz="8" w:space="0" w:color="auto"/>
            </w:tcBorders>
            <w:shd w:val="clear" w:color="auto" w:fill="CCEEFF"/>
            <w:vAlign w:val="bottom"/>
          </w:tcPr>
          <w:p>
            <w:pPr>
              <w:spacing w:after="0"/>
              <w:rPr>
                <w:color w:val="auto"/>
                <w:sz w:val="13"/>
                <w:szCs w:val="13"/>
              </w:rPr>
            </w:pPr>
          </w:p>
        </w:tc>
        <w:tc>
          <w:tcPr>
            <w:tcW w:w="1800" w:type="dxa"/>
            <w:tcBorders>
              <w:bottom w:val="single" w:sz="8" w:space="0" w:color="auto"/>
            </w:tcBorders>
            <w:shd w:val="clear" w:color="auto" w:fill="CCEEFF"/>
            <w:vAlign w:val="bottom"/>
          </w:tcPr>
          <w:p>
            <w:pPr>
              <w:spacing w:after="0"/>
              <w:ind w:left="1522"/>
              <w:jc w:val="center"/>
              <w:rPr>
                <w:color w:val="auto"/>
                <w:sz w:val="20"/>
                <w:szCs w:val="20"/>
              </w:rPr>
            </w:pPr>
            <w:r>
              <w:rPr>
                <w:rFonts w:ascii="Calibri" w:eastAsia="Calibri" w:hAnsi="Calibri" w:cs="Calibri"/>
                <w:color w:val="auto"/>
                <w:w w:val="98"/>
                <w:sz w:val="12"/>
                <w:szCs w:val="12"/>
              </w:rPr>
              <w:t>290</w:t>
            </w:r>
          </w:p>
        </w:tc>
      </w:tr>
      <w:tr>
        <w:tblPrEx>
          <w:tblInd w:w="0" w:type="dxa"/>
          <w:tblLayout w:type="fixed"/>
        </w:tblPrEx>
        <w:trPr>
          <w:trHeight w:val="142"/>
        </w:trPr>
        <w:tc>
          <w:tcPr>
            <w:tcW w:w="53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post-closing cash setled expense</w:t>
            </w:r>
          </w:p>
        </w:tc>
        <w:tc>
          <w:tcPr>
            <w:tcW w:w="4120" w:type="dxa"/>
            <w:tcBorders>
              <w:bottom w:val="single" w:sz="8" w:space="0" w:color="auto"/>
            </w:tcBorders>
            <w:vAlign w:val="bottom"/>
          </w:tcPr>
          <w:p>
            <w:pPr>
              <w:spacing w:after="0" w:line="142" w:lineRule="exact"/>
              <w:ind w:right="440"/>
              <w:jc w:val="right"/>
              <w:rPr>
                <w:color w:val="auto"/>
                <w:sz w:val="20"/>
                <w:szCs w:val="20"/>
              </w:rPr>
            </w:pPr>
            <w:r>
              <w:rPr>
                <w:rFonts w:ascii="Calibri" w:eastAsia="Calibri" w:hAnsi="Calibri" w:cs="Calibri"/>
                <w:color w:val="auto"/>
                <w:sz w:val="12"/>
                <w:szCs w:val="12"/>
              </w:rPr>
              <w:t>$</w:t>
            </w:r>
          </w:p>
        </w:tc>
        <w:tc>
          <w:tcPr>
            <w:tcW w:w="18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510</w:t>
            </w:r>
          </w:p>
        </w:tc>
      </w:tr>
      <w:tr>
        <w:tblPrEx>
          <w:tblInd w:w="0" w:type="dxa"/>
          <w:tblLayout w:type="fixed"/>
        </w:tblPrEx>
        <w:trPr>
          <w:trHeight w:val="20"/>
        </w:trPr>
        <w:tc>
          <w:tcPr>
            <w:tcW w:w="5380" w:type="dxa"/>
            <w:tcBorders>
              <w:bottom w:val="single" w:sz="8" w:space="0" w:color="auto"/>
            </w:tcBorders>
            <w:vAlign w:val="bottom"/>
          </w:tcPr>
          <w:p>
            <w:pPr>
              <w:spacing w:after="0" w:line="20" w:lineRule="exact"/>
              <w:rPr>
                <w:color w:val="auto"/>
                <w:sz w:val="1"/>
                <w:szCs w:val="1"/>
              </w:rPr>
            </w:pPr>
          </w:p>
        </w:tc>
        <w:tc>
          <w:tcPr>
            <w:tcW w:w="4120" w:type="dxa"/>
            <w:tcBorders>
              <w:bottom w:val="single" w:sz="8" w:space="0" w:color="auto"/>
            </w:tcBorders>
            <w:vAlign w:val="bottom"/>
          </w:tcPr>
          <w:p>
            <w:pPr>
              <w:spacing w:after="0" w:line="20" w:lineRule="exact"/>
              <w:rPr>
                <w:color w:val="auto"/>
                <w:sz w:val="1"/>
                <w:szCs w:val="1"/>
              </w:rPr>
            </w:pPr>
          </w:p>
        </w:tc>
        <w:tc>
          <w:tcPr>
            <w:tcW w:w="1800" w:type="dxa"/>
            <w:tcBorders>
              <w:bottom w:val="single" w:sz="8" w:space="0" w:color="auto"/>
            </w:tcBorders>
            <w:vAlign w:val="bottom"/>
          </w:tcPr>
          <w:p>
            <w:pPr>
              <w:spacing w:after="0" w:line="20" w:lineRule="exact"/>
              <w:rPr>
                <w:color w:val="auto"/>
                <w:sz w:val="1"/>
                <w:szCs w:val="1"/>
              </w:rPr>
            </w:pPr>
          </w:p>
        </w:tc>
      </w:tr>
    </w:tbl>
    <w:p>
      <w:pPr>
        <w:spacing w:after="0" w:line="125"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Stock Optons</w:t>
      </w:r>
    </w:p>
    <w:p>
      <w:pPr>
        <w:spacing w:after="0" w:line="83" w:lineRule="exact"/>
        <w:rPr>
          <w:color w:val="auto"/>
          <w:sz w:val="20"/>
          <w:szCs w:val="20"/>
        </w:rPr>
      </w:pPr>
    </w:p>
    <w:p>
      <w:pPr>
        <w:spacing w:after="0"/>
        <w:ind w:left="280"/>
        <w:rPr>
          <w:color w:val="auto"/>
          <w:sz w:val="20"/>
          <w:szCs w:val="20"/>
        </w:rPr>
      </w:pPr>
      <w:r>
        <w:rPr>
          <w:rFonts w:ascii="Calibri" w:eastAsia="Calibri" w:hAnsi="Calibri" w:cs="Calibri"/>
          <w:color w:val="auto"/>
          <w:sz w:val="11"/>
          <w:szCs w:val="11"/>
        </w:rPr>
        <w:t>Stock optons awarded to employees typically have a contractual term of 10 years and generally vest in one-third increments over a 3-year period. The exercise price is equal to at least 100% of the market value on the date of grant.</w:t>
      </w:r>
    </w:p>
    <w:p>
      <w:pPr>
        <w:spacing w:after="0" w:line="5" w:lineRule="exact"/>
        <w:rPr>
          <w:color w:val="auto"/>
          <w:sz w:val="20"/>
          <w:szCs w:val="20"/>
        </w:rPr>
      </w:pPr>
    </w:p>
    <w:p>
      <w:pPr>
        <w:spacing w:after="0"/>
        <w:rPr>
          <w:color w:val="auto"/>
          <w:sz w:val="20"/>
          <w:szCs w:val="20"/>
        </w:rPr>
      </w:pPr>
      <w:r>
        <w:rPr>
          <w:rFonts w:ascii="Calibri" w:eastAsia="Calibri" w:hAnsi="Calibri" w:cs="Calibri"/>
          <w:color w:val="auto"/>
          <w:sz w:val="12"/>
          <w:szCs w:val="12"/>
        </w:rPr>
        <w:t>The fair value is determined using the Black-Scholes model. The weighted-average grant-date fair values of stock optons granted were $31.53 in 2024, $29.89 in 2023 and $22.83 in 2022.</w:t>
      </w:r>
    </w:p>
    <w:p>
      <w:pPr>
        <w:spacing w:after="0" w:line="79"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AbbVie stock opton actvity in 2024:</w:t>
      </w:r>
    </w:p>
    <w:p>
      <w:pPr>
        <w:spacing w:after="0" w:line="3" w:lineRule="exact"/>
        <w:rPr>
          <w:color w:val="auto"/>
          <w:sz w:val="20"/>
          <w:szCs w:val="20"/>
        </w:rPr>
      </w:pPr>
    </w:p>
    <w:tbl>
      <w:tblPr>
        <w:tblInd w:w="0" w:type="dxa"/>
        <w:tblLayout w:type="fixed"/>
        <w:tblCellMar>
          <w:top w:w="0" w:type="dxa"/>
          <w:left w:w="0" w:type="dxa"/>
          <w:bottom w:w="0" w:type="dxa"/>
          <w:right w:w="0" w:type="dxa"/>
        </w:tblCellMar>
      </w:tblPr>
      <w:tblGrid>
        <w:gridCol w:w="4080"/>
        <w:gridCol w:w="2660"/>
        <w:gridCol w:w="260"/>
        <w:gridCol w:w="1320"/>
        <w:gridCol w:w="1480"/>
        <w:gridCol w:w="180"/>
        <w:gridCol w:w="1300"/>
        <w:gridCol w:w="20"/>
      </w:tblGrid>
      <w:tr>
        <w:tblPrEx>
          <w:tblInd w:w="0" w:type="dxa"/>
          <w:tblLayout w:type="fixed"/>
        </w:tblPrEx>
        <w:trPr>
          <w:trHeight w:val="122"/>
        </w:trPr>
        <w:tc>
          <w:tcPr>
            <w:tcW w:w="4080" w:type="dxa"/>
            <w:vMerge w:val="restart"/>
            <w:vAlign w:val="bottom"/>
          </w:tcPr>
          <w:p>
            <w:pPr>
              <w:spacing w:after="0"/>
              <w:rPr>
                <w:color w:val="auto"/>
                <w:sz w:val="20"/>
                <w:szCs w:val="20"/>
              </w:rPr>
            </w:pPr>
            <w:r>
              <w:rPr>
                <w:rFonts w:ascii="Calibri" w:eastAsia="Calibri" w:hAnsi="Calibri" w:cs="Calibri"/>
                <w:b/>
                <w:bCs/>
                <w:color w:val="auto"/>
                <w:sz w:val="10"/>
                <w:szCs w:val="10"/>
              </w:rPr>
              <w:t>(optons in thousands, aggregate intrinsic value in millions)</w:t>
            </w:r>
          </w:p>
        </w:tc>
        <w:tc>
          <w:tcPr>
            <w:tcW w:w="2660" w:type="dxa"/>
            <w:vMerge w:val="restart"/>
            <w:vAlign w:val="bottom"/>
          </w:tcPr>
          <w:p>
            <w:pPr>
              <w:spacing w:after="0"/>
              <w:ind w:right="542"/>
              <w:jc w:val="right"/>
              <w:rPr>
                <w:color w:val="auto"/>
                <w:sz w:val="20"/>
                <w:szCs w:val="20"/>
              </w:rPr>
            </w:pPr>
            <w:r>
              <w:rPr>
                <w:rFonts w:ascii="Calibri" w:eastAsia="Calibri" w:hAnsi="Calibri" w:cs="Calibri"/>
                <w:b/>
                <w:bCs/>
                <w:color w:val="auto"/>
                <w:sz w:val="10"/>
                <w:szCs w:val="10"/>
              </w:rPr>
              <w:t>Optons</w:t>
            </w:r>
          </w:p>
        </w:tc>
        <w:tc>
          <w:tcPr>
            <w:tcW w:w="260" w:type="dxa"/>
            <w:vAlign w:val="bottom"/>
          </w:tcPr>
          <w:p>
            <w:pPr>
              <w:spacing w:after="0"/>
              <w:rPr>
                <w:color w:val="auto"/>
                <w:sz w:val="10"/>
                <w:szCs w:val="10"/>
              </w:rPr>
            </w:pPr>
          </w:p>
        </w:tc>
        <w:tc>
          <w:tcPr>
            <w:tcW w:w="1320" w:type="dxa"/>
            <w:vAlign w:val="bottom"/>
          </w:tcPr>
          <w:p>
            <w:pPr>
              <w:spacing w:after="0"/>
              <w:ind w:right="383"/>
              <w:jc w:val="right"/>
              <w:rPr>
                <w:color w:val="auto"/>
                <w:sz w:val="20"/>
                <w:szCs w:val="20"/>
              </w:rPr>
            </w:pPr>
            <w:r>
              <w:rPr>
                <w:rFonts w:ascii="Calibri" w:eastAsia="Calibri" w:hAnsi="Calibri" w:cs="Calibri"/>
                <w:b/>
                <w:bCs/>
                <w:color w:val="auto"/>
                <w:sz w:val="10"/>
                <w:szCs w:val="10"/>
              </w:rPr>
              <w:t>Weighted- average</w:t>
            </w:r>
          </w:p>
        </w:tc>
        <w:tc>
          <w:tcPr>
            <w:tcW w:w="1480" w:type="dxa"/>
            <w:vAlign w:val="bottom"/>
          </w:tcPr>
          <w:p>
            <w:pPr>
              <w:spacing w:after="0"/>
              <w:ind w:right="145"/>
              <w:jc w:val="right"/>
              <w:rPr>
                <w:color w:val="auto"/>
                <w:sz w:val="20"/>
                <w:szCs w:val="20"/>
              </w:rPr>
            </w:pPr>
            <w:r>
              <w:rPr>
                <w:rFonts w:ascii="Calibri" w:eastAsia="Calibri" w:hAnsi="Calibri" w:cs="Calibri"/>
                <w:b/>
                <w:bCs/>
                <w:color w:val="auto"/>
                <w:sz w:val="10"/>
                <w:szCs w:val="10"/>
              </w:rPr>
              <w:t>Weighted-average remaining</w:t>
            </w:r>
          </w:p>
        </w:tc>
        <w:tc>
          <w:tcPr>
            <w:tcW w:w="180" w:type="dxa"/>
            <w:vAlign w:val="bottom"/>
          </w:tcPr>
          <w:p>
            <w:pPr>
              <w:spacing w:after="0"/>
              <w:rPr>
                <w:color w:val="auto"/>
                <w:sz w:val="10"/>
                <w:szCs w:val="10"/>
              </w:rPr>
            </w:pPr>
          </w:p>
        </w:tc>
        <w:tc>
          <w:tcPr>
            <w:tcW w:w="1300" w:type="dxa"/>
            <w:vMerge w:val="restart"/>
            <w:vAlign w:val="bottom"/>
          </w:tcPr>
          <w:p>
            <w:pPr>
              <w:spacing w:after="0"/>
              <w:ind w:right="183"/>
              <w:jc w:val="right"/>
              <w:rPr>
                <w:color w:val="auto"/>
                <w:sz w:val="20"/>
                <w:szCs w:val="20"/>
              </w:rPr>
            </w:pPr>
            <w:r>
              <w:rPr>
                <w:rFonts w:ascii="Calibri" w:eastAsia="Calibri" w:hAnsi="Calibri" w:cs="Calibri"/>
                <w:b/>
                <w:bCs/>
                <w:color w:val="auto"/>
                <w:sz w:val="10"/>
                <w:szCs w:val="10"/>
              </w:rPr>
              <w:t>Aggregate intrinsic value</w:t>
            </w:r>
          </w:p>
        </w:tc>
        <w:tc>
          <w:tcPr>
            <w:tcW w:w="1" w:type="dxa"/>
            <w:vAlign w:val="bottom"/>
          </w:tcPr>
          <w:p>
            <w:pPr>
              <w:spacing w:after="0"/>
              <w:rPr>
                <w:color w:val="auto"/>
                <w:sz w:val="1"/>
                <w:szCs w:val="1"/>
              </w:rPr>
            </w:pPr>
          </w:p>
        </w:tc>
      </w:tr>
      <w:tr>
        <w:tblPrEx>
          <w:tblInd w:w="0" w:type="dxa"/>
          <w:tblLayout w:type="fixed"/>
        </w:tblPrEx>
        <w:trPr>
          <w:trHeight w:val="112"/>
        </w:trPr>
        <w:tc>
          <w:tcPr>
            <w:tcW w:w="4080" w:type="dxa"/>
            <w:vMerge/>
            <w:vAlign w:val="bottom"/>
          </w:tcPr>
          <w:p>
            <w:pPr>
              <w:spacing w:after="0"/>
              <w:rPr>
                <w:color w:val="auto"/>
                <w:sz w:val="9"/>
                <w:szCs w:val="9"/>
              </w:rPr>
            </w:pPr>
          </w:p>
        </w:tc>
        <w:tc>
          <w:tcPr>
            <w:tcW w:w="2660" w:type="dxa"/>
            <w:vMerge/>
            <w:vAlign w:val="bottom"/>
          </w:tcPr>
          <w:p>
            <w:pPr>
              <w:spacing w:after="0"/>
              <w:rPr>
                <w:color w:val="auto"/>
                <w:sz w:val="9"/>
                <w:szCs w:val="9"/>
              </w:rPr>
            </w:pPr>
          </w:p>
        </w:tc>
        <w:tc>
          <w:tcPr>
            <w:tcW w:w="260" w:type="dxa"/>
            <w:vAlign w:val="bottom"/>
          </w:tcPr>
          <w:p>
            <w:pPr>
              <w:spacing w:after="0"/>
              <w:rPr>
                <w:color w:val="auto"/>
                <w:sz w:val="9"/>
                <w:szCs w:val="9"/>
              </w:rPr>
            </w:pPr>
          </w:p>
        </w:tc>
        <w:tc>
          <w:tcPr>
            <w:tcW w:w="1320" w:type="dxa"/>
            <w:vAlign w:val="bottom"/>
          </w:tcPr>
          <w:p>
            <w:pPr>
              <w:spacing w:after="0" w:line="112" w:lineRule="exact"/>
              <w:ind w:right="463"/>
              <w:jc w:val="right"/>
              <w:rPr>
                <w:color w:val="auto"/>
                <w:sz w:val="20"/>
                <w:szCs w:val="20"/>
              </w:rPr>
            </w:pPr>
            <w:r>
              <w:rPr>
                <w:rFonts w:ascii="Calibri" w:eastAsia="Calibri" w:hAnsi="Calibri" w:cs="Calibri"/>
                <w:b/>
                <w:bCs/>
                <w:color w:val="auto"/>
                <w:sz w:val="10"/>
                <w:szCs w:val="10"/>
              </w:rPr>
              <w:t>exercise price</w:t>
            </w:r>
          </w:p>
        </w:tc>
        <w:tc>
          <w:tcPr>
            <w:tcW w:w="1480" w:type="dxa"/>
            <w:vAlign w:val="bottom"/>
          </w:tcPr>
          <w:p>
            <w:pPr>
              <w:spacing w:after="0" w:line="112" w:lineRule="exact"/>
              <w:ind w:right="445"/>
              <w:jc w:val="right"/>
              <w:rPr>
                <w:color w:val="auto"/>
                <w:sz w:val="20"/>
                <w:szCs w:val="20"/>
              </w:rPr>
            </w:pPr>
            <w:r>
              <w:rPr>
                <w:rFonts w:ascii="Calibri" w:eastAsia="Calibri" w:hAnsi="Calibri" w:cs="Calibri"/>
                <w:b/>
                <w:bCs/>
                <w:color w:val="auto"/>
                <w:sz w:val="10"/>
                <w:szCs w:val="10"/>
              </w:rPr>
              <w:t>life (in years)</w:t>
            </w:r>
          </w:p>
        </w:tc>
        <w:tc>
          <w:tcPr>
            <w:tcW w:w="180" w:type="dxa"/>
            <w:vAlign w:val="bottom"/>
          </w:tcPr>
          <w:p>
            <w:pPr>
              <w:spacing w:after="0"/>
              <w:rPr>
                <w:color w:val="auto"/>
                <w:sz w:val="9"/>
                <w:szCs w:val="9"/>
              </w:rPr>
            </w:pPr>
          </w:p>
        </w:tc>
        <w:tc>
          <w:tcPr>
            <w:tcW w:w="1300" w:type="dxa"/>
            <w:vMerge/>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23"/>
        </w:trPr>
        <w:tc>
          <w:tcPr>
            <w:tcW w:w="4080" w:type="dxa"/>
            <w:tcBorders>
              <w:bottom w:val="single" w:sz="8" w:space="0" w:color="auto"/>
            </w:tcBorders>
            <w:vAlign w:val="bottom"/>
          </w:tcPr>
          <w:p>
            <w:pPr>
              <w:spacing w:after="0"/>
              <w:rPr>
                <w:color w:val="auto"/>
                <w:sz w:val="2"/>
                <w:szCs w:val="2"/>
              </w:rPr>
            </w:pPr>
          </w:p>
        </w:tc>
        <w:tc>
          <w:tcPr>
            <w:tcW w:w="266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1320" w:type="dxa"/>
            <w:tcBorders>
              <w:bottom w:val="single" w:sz="8" w:space="0" w:color="auto"/>
            </w:tcBorders>
            <w:vAlign w:val="bottom"/>
          </w:tcPr>
          <w:p>
            <w:pPr>
              <w:spacing w:after="0"/>
              <w:rPr>
                <w:color w:val="auto"/>
                <w:sz w:val="2"/>
                <w:szCs w:val="2"/>
              </w:rPr>
            </w:pPr>
          </w:p>
        </w:tc>
        <w:tc>
          <w:tcPr>
            <w:tcW w:w="1480" w:type="dxa"/>
            <w:tcBorders>
              <w:bottom w:val="single" w:sz="8" w:space="0" w:color="auto"/>
            </w:tcBorders>
            <w:vAlign w:val="bottom"/>
          </w:tcPr>
          <w:p>
            <w:pPr>
              <w:spacing w:after="0"/>
              <w:rPr>
                <w:color w:val="auto"/>
                <w:sz w:val="2"/>
                <w:szCs w:val="2"/>
              </w:rPr>
            </w:pPr>
          </w:p>
        </w:tc>
        <w:tc>
          <w:tcPr>
            <w:tcW w:w="180" w:type="dxa"/>
            <w:tcBorders>
              <w:bottom w:val="single" w:sz="8" w:space="0" w:color="auto"/>
            </w:tcBorders>
            <w:vAlign w:val="bottom"/>
          </w:tcPr>
          <w:p>
            <w:pPr>
              <w:spacing w:after="0"/>
              <w:rPr>
                <w:color w:val="auto"/>
                <w:sz w:val="2"/>
                <w:szCs w:val="2"/>
              </w:rPr>
            </w:pPr>
          </w:p>
        </w:tc>
        <w:tc>
          <w:tcPr>
            <w:tcW w:w="130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42"/>
        </w:trPr>
        <w:tc>
          <w:tcPr>
            <w:tcW w:w="408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Outstanding at December 31, 2023</w:t>
            </w:r>
          </w:p>
        </w:tc>
        <w:tc>
          <w:tcPr>
            <w:tcW w:w="266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7,481</w:t>
            </w:r>
          </w:p>
        </w:tc>
        <w:tc>
          <w:tcPr>
            <w:tcW w:w="260" w:type="dxa"/>
            <w:shd w:val="clear" w:color="auto" w:fill="CCEEFF"/>
            <w:vAlign w:val="bottom"/>
          </w:tcPr>
          <w:p>
            <w:pPr>
              <w:spacing w:after="0" w:line="142" w:lineRule="exact"/>
              <w:ind w:right="80"/>
              <w:jc w:val="right"/>
              <w:rPr>
                <w:color w:val="auto"/>
                <w:sz w:val="20"/>
                <w:szCs w:val="20"/>
              </w:rPr>
            </w:pPr>
            <w:r>
              <w:rPr>
                <w:rFonts w:ascii="Calibri" w:eastAsia="Calibri" w:hAnsi="Calibri" w:cs="Calibri"/>
                <w:color w:val="auto"/>
                <w:sz w:val="12"/>
                <w:szCs w:val="12"/>
              </w:rPr>
              <w:t>$</w:t>
            </w:r>
          </w:p>
        </w:tc>
        <w:tc>
          <w:tcPr>
            <w:tcW w:w="1320" w:type="dxa"/>
            <w:shd w:val="clear" w:color="auto" w:fill="CCEEFF"/>
            <w:vAlign w:val="bottom"/>
          </w:tcPr>
          <w:p>
            <w:pPr>
              <w:spacing w:after="0" w:line="142" w:lineRule="exact"/>
              <w:ind w:right="83"/>
              <w:jc w:val="right"/>
              <w:rPr>
                <w:color w:val="auto"/>
                <w:sz w:val="20"/>
                <w:szCs w:val="20"/>
              </w:rPr>
            </w:pPr>
            <w:r>
              <w:rPr>
                <w:rFonts w:ascii="Calibri" w:eastAsia="Calibri" w:hAnsi="Calibri" w:cs="Calibri"/>
                <w:color w:val="auto"/>
                <w:sz w:val="12"/>
                <w:szCs w:val="12"/>
              </w:rPr>
              <w:t>102.80</w:t>
            </w:r>
          </w:p>
        </w:tc>
        <w:tc>
          <w:tcPr>
            <w:tcW w:w="1480" w:type="dxa"/>
            <w:shd w:val="clear" w:color="auto" w:fill="CCEEFF"/>
            <w:vAlign w:val="bottom"/>
          </w:tcPr>
          <w:p>
            <w:pPr>
              <w:spacing w:after="0" w:line="142" w:lineRule="exact"/>
              <w:ind w:right="5"/>
              <w:jc w:val="right"/>
              <w:rPr>
                <w:color w:val="auto"/>
                <w:sz w:val="20"/>
                <w:szCs w:val="20"/>
              </w:rPr>
            </w:pPr>
            <w:r>
              <w:rPr>
                <w:rFonts w:ascii="Calibri" w:eastAsia="Calibri" w:hAnsi="Calibri" w:cs="Calibri"/>
                <w:color w:val="auto"/>
                <w:sz w:val="12"/>
                <w:szCs w:val="12"/>
              </w:rPr>
              <w:t>5.0</w:t>
            </w:r>
          </w:p>
        </w:tc>
        <w:tc>
          <w:tcPr>
            <w:tcW w:w="1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00" w:type="dxa"/>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390</w:t>
            </w:r>
          </w:p>
        </w:tc>
        <w:tc>
          <w:tcPr>
            <w:tcW w:w="1" w:type="dxa"/>
            <w:vAlign w:val="bottom"/>
          </w:tcPr>
          <w:p>
            <w:pPr>
              <w:spacing w:after="0"/>
              <w:rPr>
                <w:color w:val="auto"/>
                <w:sz w:val="1"/>
                <w:szCs w:val="1"/>
              </w:rPr>
            </w:pPr>
          </w:p>
        </w:tc>
      </w:tr>
      <w:tr>
        <w:tblPrEx>
          <w:tblInd w:w="0" w:type="dxa"/>
          <w:tblLayout w:type="fixed"/>
        </w:tblPrEx>
        <w:trPr>
          <w:trHeight w:val="147"/>
        </w:trPr>
        <w:tc>
          <w:tcPr>
            <w:tcW w:w="4080" w:type="dxa"/>
            <w:vAlign w:val="bottom"/>
          </w:tcPr>
          <w:p>
            <w:pPr>
              <w:spacing w:after="0" w:line="142" w:lineRule="exact"/>
              <w:rPr>
                <w:color w:val="auto"/>
                <w:sz w:val="20"/>
                <w:szCs w:val="20"/>
              </w:rPr>
            </w:pPr>
            <w:r>
              <w:rPr>
                <w:rFonts w:ascii="Calibri" w:eastAsia="Calibri" w:hAnsi="Calibri" w:cs="Calibri"/>
                <w:color w:val="auto"/>
                <w:sz w:val="12"/>
                <w:szCs w:val="12"/>
              </w:rPr>
              <w:t>Granted</w:t>
            </w:r>
          </w:p>
        </w:tc>
        <w:tc>
          <w:tcPr>
            <w:tcW w:w="266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648</w:t>
            </w:r>
          </w:p>
        </w:tc>
        <w:tc>
          <w:tcPr>
            <w:tcW w:w="260" w:type="dxa"/>
            <w:vAlign w:val="bottom"/>
          </w:tcPr>
          <w:p>
            <w:pPr>
              <w:spacing w:after="0"/>
              <w:rPr>
                <w:color w:val="auto"/>
                <w:sz w:val="12"/>
                <w:szCs w:val="12"/>
              </w:rPr>
            </w:pPr>
          </w:p>
        </w:tc>
        <w:tc>
          <w:tcPr>
            <w:tcW w:w="1320" w:type="dxa"/>
            <w:vAlign w:val="bottom"/>
          </w:tcPr>
          <w:p>
            <w:pPr>
              <w:spacing w:after="0" w:line="142" w:lineRule="exact"/>
              <w:ind w:right="83"/>
              <w:jc w:val="right"/>
              <w:rPr>
                <w:color w:val="auto"/>
                <w:sz w:val="20"/>
                <w:szCs w:val="20"/>
              </w:rPr>
            </w:pPr>
            <w:r>
              <w:rPr>
                <w:rFonts w:ascii="Calibri" w:eastAsia="Calibri" w:hAnsi="Calibri" w:cs="Calibri"/>
                <w:color w:val="auto"/>
                <w:sz w:val="12"/>
                <w:szCs w:val="12"/>
              </w:rPr>
              <w:t>175.26</w:t>
            </w:r>
          </w:p>
        </w:tc>
        <w:tc>
          <w:tcPr>
            <w:tcW w:w="1480" w:type="dxa"/>
            <w:vAlign w:val="bottom"/>
          </w:tcPr>
          <w:p>
            <w:pPr>
              <w:spacing w:after="0"/>
              <w:rPr>
                <w:color w:val="auto"/>
                <w:sz w:val="12"/>
                <w:szCs w:val="12"/>
              </w:rPr>
            </w:pPr>
          </w:p>
        </w:tc>
        <w:tc>
          <w:tcPr>
            <w:tcW w:w="180" w:type="dxa"/>
            <w:vAlign w:val="bottom"/>
          </w:tcPr>
          <w:p>
            <w:pPr>
              <w:spacing w:after="0"/>
              <w:rPr>
                <w:color w:val="auto"/>
                <w:sz w:val="12"/>
                <w:szCs w:val="12"/>
              </w:rPr>
            </w:pPr>
          </w:p>
        </w:tc>
        <w:tc>
          <w:tcPr>
            <w:tcW w:w="130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59"/>
        </w:trPr>
        <w:tc>
          <w:tcPr>
            <w:tcW w:w="4080" w:type="dxa"/>
            <w:shd w:val="clear" w:color="auto" w:fill="CCEEFF"/>
            <w:vAlign w:val="bottom"/>
          </w:tcPr>
          <w:p>
            <w:pPr>
              <w:spacing w:after="0"/>
              <w:rPr>
                <w:color w:val="auto"/>
                <w:sz w:val="20"/>
                <w:szCs w:val="20"/>
              </w:rPr>
            </w:pPr>
            <w:r>
              <w:rPr>
                <w:rFonts w:ascii="Calibri" w:eastAsia="Calibri" w:hAnsi="Calibri" w:cs="Calibri"/>
                <w:color w:val="auto"/>
                <w:sz w:val="12"/>
                <w:szCs w:val="12"/>
              </w:rPr>
              <w:t>Exercised</w:t>
            </w:r>
          </w:p>
        </w:tc>
        <w:tc>
          <w:tcPr>
            <w:tcW w:w="26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(2,420)</w:t>
            </w:r>
          </w:p>
        </w:tc>
        <w:tc>
          <w:tcPr>
            <w:tcW w:w="260" w:type="dxa"/>
            <w:shd w:val="clear" w:color="auto" w:fill="CCEEFF"/>
            <w:vAlign w:val="bottom"/>
          </w:tcPr>
          <w:p>
            <w:pPr>
              <w:spacing w:after="0"/>
              <w:rPr>
                <w:color w:val="auto"/>
                <w:sz w:val="13"/>
                <w:szCs w:val="13"/>
              </w:rPr>
            </w:pPr>
          </w:p>
        </w:tc>
        <w:tc>
          <w:tcPr>
            <w:tcW w:w="1320" w:type="dxa"/>
            <w:shd w:val="clear" w:color="auto" w:fill="CCEEFF"/>
            <w:vAlign w:val="bottom"/>
          </w:tcPr>
          <w:p>
            <w:pPr>
              <w:spacing w:after="0"/>
              <w:ind w:right="83"/>
              <w:jc w:val="right"/>
              <w:rPr>
                <w:color w:val="auto"/>
                <w:sz w:val="20"/>
                <w:szCs w:val="20"/>
              </w:rPr>
            </w:pPr>
            <w:r>
              <w:rPr>
                <w:rFonts w:ascii="Calibri" w:eastAsia="Calibri" w:hAnsi="Calibri" w:cs="Calibri"/>
                <w:color w:val="auto"/>
                <w:sz w:val="12"/>
                <w:szCs w:val="12"/>
              </w:rPr>
              <w:t>89.01</w:t>
            </w:r>
          </w:p>
        </w:tc>
        <w:tc>
          <w:tcPr>
            <w:tcW w:w="1480" w:type="dxa"/>
            <w:shd w:val="clear" w:color="auto" w:fill="CCEEFF"/>
            <w:vAlign w:val="bottom"/>
          </w:tcPr>
          <w:p>
            <w:pPr>
              <w:spacing w:after="0"/>
              <w:rPr>
                <w:color w:val="auto"/>
                <w:sz w:val="13"/>
                <w:szCs w:val="13"/>
              </w:rPr>
            </w:pPr>
          </w:p>
        </w:tc>
        <w:tc>
          <w:tcPr>
            <w:tcW w:w="180" w:type="dxa"/>
            <w:shd w:val="clear" w:color="auto" w:fill="CCEEFF"/>
            <w:vAlign w:val="bottom"/>
          </w:tcPr>
          <w:p>
            <w:pPr>
              <w:spacing w:after="0"/>
              <w:rPr>
                <w:color w:val="auto"/>
                <w:sz w:val="13"/>
                <w:szCs w:val="13"/>
              </w:rPr>
            </w:pPr>
          </w:p>
        </w:tc>
        <w:tc>
          <w:tcPr>
            <w:tcW w:w="1300" w:type="dxa"/>
            <w:shd w:val="clear" w:color="auto" w:fill="CCEEFF"/>
            <w:vAlign w:val="bottom"/>
          </w:tcPr>
          <w:p>
            <w:pPr>
              <w:spacing w:after="0"/>
              <w:rPr>
                <w:color w:val="auto"/>
                <w:sz w:val="13"/>
                <w:szCs w:val="13"/>
              </w:rPr>
            </w:pPr>
          </w:p>
        </w:tc>
        <w:tc>
          <w:tcPr>
            <w:tcW w:w="1" w:type="dxa"/>
            <w:vAlign w:val="bottom"/>
          </w:tcPr>
          <w:p>
            <w:pPr>
              <w:spacing w:after="0"/>
              <w:rPr>
                <w:color w:val="auto"/>
                <w:sz w:val="1"/>
                <w:szCs w:val="1"/>
              </w:rPr>
            </w:pPr>
          </w:p>
        </w:tc>
      </w:tr>
      <w:tr>
        <w:tblPrEx>
          <w:tblInd w:w="0" w:type="dxa"/>
          <w:tblLayout w:type="fixed"/>
        </w:tblPrEx>
        <w:trPr>
          <w:trHeight w:val="147"/>
        </w:trPr>
        <w:tc>
          <w:tcPr>
            <w:tcW w:w="40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Lapsed and forfeited</w:t>
            </w:r>
          </w:p>
        </w:tc>
        <w:tc>
          <w:tcPr>
            <w:tcW w:w="26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(96)</w:t>
            </w:r>
          </w:p>
        </w:tc>
        <w:tc>
          <w:tcPr>
            <w:tcW w:w="260" w:type="dxa"/>
            <w:tcBorders>
              <w:bottom w:val="single" w:sz="8" w:space="0" w:color="auto"/>
            </w:tcBorders>
            <w:vAlign w:val="bottom"/>
          </w:tcPr>
          <w:p>
            <w:pPr>
              <w:spacing w:after="0"/>
              <w:rPr>
                <w:color w:val="auto"/>
                <w:sz w:val="12"/>
                <w:szCs w:val="12"/>
              </w:rPr>
            </w:pPr>
          </w:p>
        </w:tc>
        <w:tc>
          <w:tcPr>
            <w:tcW w:w="1320" w:type="dxa"/>
            <w:tcBorders>
              <w:bottom w:val="single" w:sz="8" w:space="0" w:color="auto"/>
            </w:tcBorders>
            <w:vAlign w:val="bottom"/>
          </w:tcPr>
          <w:p>
            <w:pPr>
              <w:spacing w:after="0" w:line="142" w:lineRule="exact"/>
              <w:ind w:right="83"/>
              <w:jc w:val="right"/>
              <w:rPr>
                <w:color w:val="auto"/>
                <w:sz w:val="20"/>
                <w:szCs w:val="20"/>
              </w:rPr>
            </w:pPr>
            <w:r>
              <w:rPr>
                <w:rFonts w:ascii="Calibri" w:eastAsia="Calibri" w:hAnsi="Calibri" w:cs="Calibri"/>
                <w:color w:val="auto"/>
                <w:sz w:val="12"/>
                <w:szCs w:val="12"/>
              </w:rPr>
              <w:t>81.16</w:t>
            </w:r>
          </w:p>
        </w:tc>
        <w:tc>
          <w:tcPr>
            <w:tcW w:w="1480" w:type="dxa"/>
            <w:tcBorders>
              <w:bottom w:val="single" w:sz="8" w:space="0" w:color="auto"/>
            </w:tcBorders>
            <w:vAlign w:val="bottom"/>
          </w:tcPr>
          <w:p>
            <w:pPr>
              <w:spacing w:after="0"/>
              <w:rPr>
                <w:color w:val="auto"/>
                <w:sz w:val="12"/>
                <w:szCs w:val="12"/>
              </w:rPr>
            </w:pPr>
          </w:p>
        </w:tc>
        <w:tc>
          <w:tcPr>
            <w:tcW w:w="180" w:type="dxa"/>
            <w:tcBorders>
              <w:bottom w:val="single" w:sz="8" w:space="0" w:color="auto"/>
            </w:tcBorders>
            <w:vAlign w:val="bottom"/>
          </w:tcPr>
          <w:p>
            <w:pPr>
              <w:spacing w:after="0"/>
              <w:rPr>
                <w:color w:val="auto"/>
                <w:sz w:val="12"/>
                <w:szCs w:val="12"/>
              </w:rPr>
            </w:pPr>
          </w:p>
        </w:tc>
        <w:tc>
          <w:tcPr>
            <w:tcW w:w="1300" w:type="dxa"/>
            <w:tcBorders>
              <w:bottom w:val="single" w:sz="8" w:space="0" w:color="auto"/>
            </w:tcBorders>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64"/>
        </w:trPr>
        <w:tc>
          <w:tcPr>
            <w:tcW w:w="408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Outstanding at December 31, 2024</w:t>
            </w:r>
          </w:p>
        </w:tc>
        <w:tc>
          <w:tcPr>
            <w:tcW w:w="2660" w:type="dxa"/>
            <w:tcBorders>
              <w:bottom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5,613</w:t>
            </w:r>
          </w:p>
        </w:tc>
        <w:tc>
          <w:tcPr>
            <w:tcW w:w="260" w:type="dxa"/>
            <w:tcBorders>
              <w:bottom w:val="single" w:sz="8" w:space="0" w:color="auto"/>
            </w:tcBorders>
            <w:shd w:val="clear" w:color="auto" w:fill="CCEEFF"/>
            <w:vAlign w:val="bottom"/>
          </w:tcPr>
          <w:p>
            <w:pPr>
              <w:spacing w:after="0" w:line="142" w:lineRule="exact"/>
              <w:ind w:right="80"/>
              <w:jc w:val="right"/>
              <w:rPr>
                <w:color w:val="auto"/>
                <w:sz w:val="20"/>
                <w:szCs w:val="20"/>
              </w:rPr>
            </w:pPr>
            <w:r>
              <w:rPr>
                <w:rFonts w:ascii="Calibri" w:eastAsia="Calibri" w:hAnsi="Calibri" w:cs="Calibri"/>
                <w:color w:val="auto"/>
                <w:sz w:val="12"/>
                <w:szCs w:val="12"/>
              </w:rPr>
              <w:t>$</w:t>
            </w:r>
          </w:p>
        </w:tc>
        <w:tc>
          <w:tcPr>
            <w:tcW w:w="1320" w:type="dxa"/>
            <w:tcBorders>
              <w:bottom w:val="single" w:sz="8" w:space="0" w:color="auto"/>
            </w:tcBorders>
            <w:shd w:val="clear" w:color="auto" w:fill="CCEEFF"/>
            <w:vAlign w:val="bottom"/>
          </w:tcPr>
          <w:p>
            <w:pPr>
              <w:spacing w:after="0" w:line="142" w:lineRule="exact"/>
              <w:ind w:right="83"/>
              <w:jc w:val="right"/>
              <w:rPr>
                <w:color w:val="auto"/>
                <w:sz w:val="20"/>
                <w:szCs w:val="20"/>
              </w:rPr>
            </w:pPr>
            <w:r>
              <w:rPr>
                <w:rFonts w:ascii="Calibri" w:eastAsia="Calibri" w:hAnsi="Calibri" w:cs="Calibri"/>
                <w:color w:val="auto"/>
                <w:sz w:val="12"/>
                <w:szCs w:val="12"/>
              </w:rPr>
              <w:t>117.48</w:t>
            </w:r>
          </w:p>
        </w:tc>
        <w:tc>
          <w:tcPr>
            <w:tcW w:w="1480" w:type="dxa"/>
            <w:tcBorders>
              <w:bottom w:val="single" w:sz="8" w:space="0" w:color="auto"/>
            </w:tcBorders>
            <w:shd w:val="clear" w:color="auto" w:fill="CCEEFF"/>
            <w:vAlign w:val="bottom"/>
          </w:tcPr>
          <w:p>
            <w:pPr>
              <w:spacing w:after="0" w:line="142" w:lineRule="exact"/>
              <w:ind w:right="5"/>
              <w:jc w:val="right"/>
              <w:rPr>
                <w:color w:val="auto"/>
                <w:sz w:val="20"/>
                <w:szCs w:val="20"/>
              </w:rPr>
            </w:pPr>
            <w:r>
              <w:rPr>
                <w:rFonts w:ascii="Calibri" w:eastAsia="Calibri" w:hAnsi="Calibri" w:cs="Calibri"/>
                <w:color w:val="auto"/>
                <w:sz w:val="12"/>
                <w:szCs w:val="12"/>
              </w:rPr>
              <w:t>5.6</w:t>
            </w:r>
          </w:p>
        </w:tc>
        <w:tc>
          <w:tcPr>
            <w:tcW w:w="1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00" w:type="dxa"/>
            <w:tcBorders>
              <w:bottom w:val="single" w:sz="8" w:space="0" w:color="auto"/>
            </w:tcBorders>
            <w:shd w:val="clear" w:color="auto" w:fill="CCEEFF"/>
            <w:vAlign w:val="bottom"/>
          </w:tcPr>
          <w:p>
            <w:pPr>
              <w:spacing w:after="0" w:line="142" w:lineRule="exact"/>
              <w:ind w:right="3"/>
              <w:jc w:val="right"/>
              <w:rPr>
                <w:color w:val="auto"/>
                <w:sz w:val="20"/>
                <w:szCs w:val="20"/>
              </w:rPr>
            </w:pPr>
            <w:r>
              <w:rPr>
                <w:rFonts w:ascii="Calibri" w:eastAsia="Calibri" w:hAnsi="Calibri" w:cs="Calibri"/>
                <w:color w:val="auto"/>
                <w:sz w:val="12"/>
                <w:szCs w:val="12"/>
              </w:rPr>
              <w:t>338</w:t>
            </w:r>
          </w:p>
        </w:tc>
        <w:tc>
          <w:tcPr>
            <w:tcW w:w="1" w:type="dxa"/>
            <w:vAlign w:val="bottom"/>
          </w:tcPr>
          <w:p>
            <w:pPr>
              <w:spacing w:after="0"/>
              <w:rPr>
                <w:color w:val="auto"/>
                <w:sz w:val="1"/>
                <w:szCs w:val="1"/>
              </w:rPr>
            </w:pPr>
          </w:p>
        </w:tc>
      </w:tr>
      <w:tr>
        <w:tblPrEx>
          <w:tblInd w:w="0" w:type="dxa"/>
          <w:tblLayout w:type="fixed"/>
        </w:tblPrEx>
        <w:trPr>
          <w:trHeight w:val="147"/>
        </w:trPr>
        <w:tc>
          <w:tcPr>
            <w:tcW w:w="40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Exercisable at December 31, 2024</w:t>
            </w:r>
          </w:p>
        </w:tc>
        <w:tc>
          <w:tcPr>
            <w:tcW w:w="266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4,295</w:t>
            </w:r>
          </w:p>
        </w:tc>
        <w:tc>
          <w:tcPr>
            <w:tcW w:w="260" w:type="dxa"/>
            <w:tcBorders>
              <w:bottom w:val="single" w:sz="8" w:space="0" w:color="auto"/>
            </w:tcBorders>
            <w:vAlign w:val="bottom"/>
          </w:tcPr>
          <w:p>
            <w:pPr>
              <w:spacing w:after="0" w:line="142" w:lineRule="exact"/>
              <w:ind w:right="80"/>
              <w:jc w:val="right"/>
              <w:rPr>
                <w:color w:val="auto"/>
                <w:sz w:val="20"/>
                <w:szCs w:val="20"/>
              </w:rPr>
            </w:pPr>
            <w:r>
              <w:rPr>
                <w:rFonts w:ascii="Calibri" w:eastAsia="Calibri" w:hAnsi="Calibri" w:cs="Calibri"/>
                <w:color w:val="auto"/>
                <w:sz w:val="12"/>
                <w:szCs w:val="12"/>
              </w:rPr>
              <w:t>$</w:t>
            </w:r>
          </w:p>
        </w:tc>
        <w:tc>
          <w:tcPr>
            <w:tcW w:w="1320" w:type="dxa"/>
            <w:tcBorders>
              <w:bottom w:val="single" w:sz="8" w:space="0" w:color="auto"/>
            </w:tcBorders>
            <w:vAlign w:val="bottom"/>
          </w:tcPr>
          <w:p>
            <w:pPr>
              <w:spacing w:after="0" w:line="142" w:lineRule="exact"/>
              <w:ind w:right="83"/>
              <w:jc w:val="right"/>
              <w:rPr>
                <w:color w:val="auto"/>
                <w:sz w:val="20"/>
                <w:szCs w:val="20"/>
              </w:rPr>
            </w:pPr>
            <w:r>
              <w:rPr>
                <w:rFonts w:ascii="Calibri" w:eastAsia="Calibri" w:hAnsi="Calibri" w:cs="Calibri"/>
                <w:color w:val="auto"/>
                <w:sz w:val="12"/>
                <w:szCs w:val="12"/>
              </w:rPr>
              <w:t>104.07</w:t>
            </w:r>
          </w:p>
        </w:tc>
        <w:tc>
          <w:tcPr>
            <w:tcW w:w="1480" w:type="dxa"/>
            <w:tcBorders>
              <w:bottom w:val="single" w:sz="8" w:space="0" w:color="auto"/>
            </w:tcBorders>
            <w:vAlign w:val="bottom"/>
          </w:tcPr>
          <w:p>
            <w:pPr>
              <w:spacing w:after="0" w:line="142" w:lineRule="exact"/>
              <w:ind w:right="5"/>
              <w:jc w:val="right"/>
              <w:rPr>
                <w:color w:val="auto"/>
                <w:sz w:val="20"/>
                <w:szCs w:val="20"/>
              </w:rPr>
            </w:pPr>
            <w:r>
              <w:rPr>
                <w:rFonts w:ascii="Calibri" w:eastAsia="Calibri" w:hAnsi="Calibri" w:cs="Calibri"/>
                <w:color w:val="auto"/>
                <w:sz w:val="12"/>
                <w:szCs w:val="12"/>
              </w:rPr>
              <w:t>4.7</w:t>
            </w:r>
          </w:p>
        </w:tc>
        <w:tc>
          <w:tcPr>
            <w:tcW w:w="1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300" w:type="dxa"/>
            <w:tcBorders>
              <w:bottom w:val="single" w:sz="8" w:space="0" w:color="auto"/>
            </w:tcBorders>
            <w:vAlign w:val="bottom"/>
          </w:tcPr>
          <w:p>
            <w:pPr>
              <w:spacing w:after="0" w:line="142" w:lineRule="exact"/>
              <w:ind w:right="3"/>
              <w:jc w:val="right"/>
              <w:rPr>
                <w:color w:val="auto"/>
                <w:sz w:val="20"/>
                <w:szCs w:val="20"/>
              </w:rPr>
            </w:pPr>
            <w:r>
              <w:rPr>
                <w:rFonts w:ascii="Calibri" w:eastAsia="Calibri" w:hAnsi="Calibri" w:cs="Calibri"/>
                <w:color w:val="auto"/>
                <w:sz w:val="12"/>
                <w:szCs w:val="12"/>
              </w:rPr>
              <w:t>316</w:t>
            </w:r>
          </w:p>
        </w:tc>
        <w:tc>
          <w:tcPr>
            <w:tcW w:w="1" w:type="dxa"/>
            <w:vAlign w:val="bottom"/>
          </w:tcPr>
          <w:p>
            <w:pPr>
              <w:spacing w:after="0"/>
              <w:rPr>
                <w:color w:val="auto"/>
                <w:sz w:val="1"/>
                <w:szCs w:val="1"/>
              </w:rPr>
            </w:pPr>
          </w:p>
        </w:tc>
      </w:tr>
      <w:tr>
        <w:tblPrEx>
          <w:tblInd w:w="0" w:type="dxa"/>
          <w:tblLayout w:type="fixed"/>
        </w:tblPrEx>
        <w:trPr>
          <w:trHeight w:val="20"/>
        </w:trPr>
        <w:tc>
          <w:tcPr>
            <w:tcW w:w="4080" w:type="dxa"/>
            <w:tcBorders>
              <w:bottom w:val="single" w:sz="8" w:space="0" w:color="auto"/>
            </w:tcBorders>
            <w:vAlign w:val="bottom"/>
          </w:tcPr>
          <w:p>
            <w:pPr>
              <w:spacing w:after="0" w:line="20" w:lineRule="exact"/>
              <w:rPr>
                <w:color w:val="auto"/>
                <w:sz w:val="1"/>
                <w:szCs w:val="1"/>
              </w:rPr>
            </w:pPr>
          </w:p>
        </w:tc>
        <w:tc>
          <w:tcPr>
            <w:tcW w:w="2660" w:type="dxa"/>
            <w:tcBorders>
              <w:bottom w:val="single" w:sz="8" w:space="0" w:color="auto"/>
            </w:tcBorders>
            <w:vAlign w:val="bottom"/>
          </w:tcPr>
          <w:p>
            <w:pPr>
              <w:spacing w:after="0" w:line="20" w:lineRule="exact"/>
              <w:rPr>
                <w:color w:val="auto"/>
                <w:sz w:val="1"/>
                <w:szCs w:val="1"/>
              </w:rPr>
            </w:pPr>
          </w:p>
        </w:tc>
        <w:tc>
          <w:tcPr>
            <w:tcW w:w="260" w:type="dxa"/>
            <w:tcBorders>
              <w:bottom w:val="single" w:sz="8" w:space="0" w:color="auto"/>
            </w:tcBorders>
            <w:vAlign w:val="bottom"/>
          </w:tcPr>
          <w:p>
            <w:pPr>
              <w:spacing w:after="0" w:line="20" w:lineRule="exact"/>
              <w:rPr>
                <w:color w:val="auto"/>
                <w:sz w:val="1"/>
                <w:szCs w:val="1"/>
              </w:rPr>
            </w:pPr>
          </w:p>
        </w:tc>
        <w:tc>
          <w:tcPr>
            <w:tcW w:w="1320" w:type="dxa"/>
            <w:tcBorders>
              <w:bottom w:val="single" w:sz="8" w:space="0" w:color="auto"/>
            </w:tcBorders>
            <w:vAlign w:val="bottom"/>
          </w:tcPr>
          <w:p>
            <w:pPr>
              <w:spacing w:after="0" w:line="20" w:lineRule="exact"/>
              <w:rPr>
                <w:color w:val="auto"/>
                <w:sz w:val="1"/>
                <w:szCs w:val="1"/>
              </w:rPr>
            </w:pPr>
          </w:p>
        </w:tc>
        <w:tc>
          <w:tcPr>
            <w:tcW w:w="1480" w:type="dxa"/>
            <w:tcBorders>
              <w:bottom w:val="single" w:sz="8" w:space="0" w:color="auto"/>
            </w:tcBorders>
            <w:vAlign w:val="bottom"/>
          </w:tcPr>
          <w:p>
            <w:pPr>
              <w:spacing w:after="0" w:line="20" w:lineRule="exact"/>
              <w:rPr>
                <w:color w:val="auto"/>
                <w:sz w:val="1"/>
                <w:szCs w:val="1"/>
              </w:rPr>
            </w:pPr>
          </w:p>
        </w:tc>
        <w:tc>
          <w:tcPr>
            <w:tcW w:w="180" w:type="dxa"/>
            <w:tcBorders>
              <w:bottom w:val="single" w:sz="8" w:space="0" w:color="auto"/>
            </w:tcBorders>
            <w:vAlign w:val="bottom"/>
          </w:tcPr>
          <w:p>
            <w:pPr>
              <w:spacing w:after="0" w:line="20" w:lineRule="exact"/>
              <w:rPr>
                <w:color w:val="auto"/>
                <w:sz w:val="1"/>
                <w:szCs w:val="1"/>
              </w:rPr>
            </w:pPr>
          </w:p>
        </w:tc>
        <w:tc>
          <w:tcPr>
            <w:tcW w:w="1300" w:type="dxa"/>
            <w:tcBorders>
              <w:bottom w:val="single" w:sz="8" w:space="0" w:color="auto"/>
            </w:tcBorders>
            <w:vAlign w:val="bottom"/>
          </w:tcPr>
          <w:p>
            <w:pPr>
              <w:spacing w:after="0" w:line="20" w:lineRule="exact"/>
              <w:rPr>
                <w:color w:val="auto"/>
                <w:sz w:val="1"/>
                <w:szCs w:val="1"/>
              </w:rPr>
            </w:pPr>
          </w:p>
        </w:tc>
        <w:tc>
          <w:tcPr>
            <w:tcW w:w="1" w:type="dxa"/>
            <w:vAlign w:val="bottom"/>
          </w:tcPr>
          <w:p>
            <w:pPr>
              <w:spacing w:after="0" w:line="20" w:lineRule="exact"/>
              <w:rPr>
                <w:color w:val="auto"/>
                <w:sz w:val="1"/>
                <w:szCs w:val="1"/>
              </w:rPr>
            </w:pPr>
          </w:p>
        </w:tc>
      </w:tr>
    </w:tbl>
    <w:p>
      <w:pPr>
        <w:spacing w:after="0" w:line="129" w:lineRule="exact"/>
        <w:rPr>
          <w:color w:val="auto"/>
          <w:sz w:val="20"/>
          <w:szCs w:val="20"/>
        </w:rPr>
      </w:pPr>
    </w:p>
    <w:p>
      <w:pPr>
        <w:spacing w:after="0" w:line="234" w:lineRule="auto"/>
        <w:ind w:right="460" w:firstLine="297"/>
        <w:rPr>
          <w:color w:val="auto"/>
          <w:sz w:val="20"/>
          <w:szCs w:val="20"/>
        </w:rPr>
      </w:pPr>
      <w:r>
        <w:rPr>
          <w:rFonts w:ascii="Calibri" w:eastAsia="Calibri" w:hAnsi="Calibri" w:cs="Calibri"/>
          <w:color w:val="auto"/>
          <w:sz w:val="12"/>
          <w:szCs w:val="12"/>
        </w:rPr>
        <w:t>The total intrinsic value of optons exercised was $202 million in 2024, $189 million in 2023 and $295 million in 2022. The total fair value of optons vested during 2024 was $18 million. As of December 31, 2024, $6 million of unrecognized compensaton cost related to stock optons is expected to be recognized as expense over approximately the next two years.</w:t>
      </w:r>
    </w:p>
    <w:p>
      <w:pPr>
        <w:spacing w:after="0" w:line="88" w:lineRule="exact"/>
        <w:rPr>
          <w:color w:val="auto"/>
          <w:sz w:val="20"/>
          <w:szCs w:val="20"/>
        </w:rPr>
      </w:pPr>
    </w:p>
    <w:p>
      <w:pPr>
        <w:spacing w:after="0"/>
        <w:rPr>
          <w:color w:val="auto"/>
          <w:sz w:val="20"/>
          <w:szCs w:val="20"/>
        </w:rPr>
      </w:pPr>
      <w:r>
        <w:rPr>
          <w:rFonts w:ascii="Calibri" w:eastAsia="Calibri" w:hAnsi="Calibri" w:cs="Calibri"/>
          <w:i/>
          <w:iCs/>
          <w:color w:val="auto"/>
          <w:sz w:val="12"/>
          <w:szCs w:val="12"/>
        </w:rPr>
        <w:t>RSUs and Performance Shares</w:t>
      </w:r>
    </w:p>
    <w:p>
      <w:pPr>
        <w:spacing w:after="0" w:line="83"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RSUs awarded to employees other than senior executves and other key employees generally vest in ratable increments over a three-year period. Recipients of these RSUs are enttled to receive dividend equivalents as dividends are declared and paid during the RSU vestng period.</w:t>
      </w:r>
    </w:p>
    <w:p>
      <w:pPr>
        <w:spacing w:after="0" w:line="101"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The majority of the equity awards AbbVie grants to its senior executves and other key employees are performance-based. Equity awards granted to senior executves and other key employees consist of a combinaton of performance-vested RSUs and performance shares as well as non-qualifed stock optons described above. The performance-vested RSUs have the potental to vest in one-third increments during a three-year performance period and may be earned based on AbbVie’s return on invested capital (ROIC) performance relatve to a defned peer group of pharmaceutcal, biotech and life science</w:t>
      </w:r>
    </w:p>
    <w:p>
      <w:pPr>
        <w:spacing w:after="0" w:line="206"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89</w:t>
      </w:r>
      <w:r>
        <w:rPr>
          <w:color w:val="auto"/>
          <w:sz w:val="20"/>
          <w:szCs w:val="20"/>
        </w:rPr>
        <w:tab/>
      </w:r>
      <w:r>
        <w:rPr>
          <w:color w:val="auto"/>
          <w:sz w:val="1"/>
          <w:szCs w:val="1"/>
        </w:rPr>
        <w:drawing>
          <wp:inline distT="0" distB="0" distL="0" distR="0">
            <wp:extent cx="400050" cy="7429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85568" behindDoc="1" locked="0" layoutInCell="0" allowOverlap="1">
            <wp:simplePos x="0" y="0"/>
            <wp:positionH relativeFrom="column">
              <wp:posOffset>-17145</wp:posOffset>
            </wp:positionH>
            <wp:positionV relativeFrom="paragraph">
              <wp:posOffset>128270</wp:posOffset>
            </wp:positionV>
            <wp:extent cx="7203440" cy="3683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41" w:right="299" w:bottom="1440" w:left="300" w:header="0" w:footer="0" w:gutter="0"/>
          <w:cols w:num="1" w:space="720" w:equalWidth="0">
            <w:col w:w="11300" w:space="0"/>
          </w:cols>
        </w:sectPr>
      </w:pPr>
    </w:p>
    <w:bookmarkStart w:id="91" w:name="page92"/>
    <w:bookmarkEnd w:id="91"/>
    <w:p>
      <w:pPr>
        <w:spacing w:after="0" w:line="234" w:lineRule="auto"/>
        <w:ind w:right="180"/>
        <w:rPr>
          <w:color w:val="auto"/>
          <w:sz w:val="20"/>
          <w:szCs w:val="20"/>
        </w:rPr>
      </w:pPr>
      <w:r>
        <w:rPr>
          <w:rFonts w:ascii="Calibri" w:eastAsia="Calibri" w:hAnsi="Calibri" w:cs="Calibri"/>
          <w:color w:val="auto"/>
          <w:sz w:val="12"/>
          <w:szCs w:val="12"/>
        </w:rPr>
        <w:t>companies. The recipient may receive one share of AbbVie common stock for each vested award. The performance shares have the potental to vest over a three-year performance period and may be earned based on AbbVie’s EPS achievement and AbbVie’s total stockholder return (TSR) (a market conditon) relatve to a defned peer group of pharmaceutcal, biotech and life sciences companies. Dividend equivalents on performance-vested RSUs and performance shares accrue during the performance period and are payable at vestng only to the extent that shares are earned.</w:t>
      </w:r>
    </w:p>
    <w:p>
      <w:pPr>
        <w:spacing w:after="0" w:line="94" w:lineRule="exact"/>
        <w:rPr>
          <w:color w:val="auto"/>
          <w:sz w:val="20"/>
          <w:szCs w:val="20"/>
        </w:rPr>
      </w:pPr>
    </w:p>
    <w:p>
      <w:pPr>
        <w:spacing w:after="0" w:line="234" w:lineRule="auto"/>
        <w:ind w:right="80" w:firstLine="297"/>
        <w:rPr>
          <w:color w:val="auto"/>
          <w:sz w:val="20"/>
          <w:szCs w:val="20"/>
        </w:rPr>
      </w:pPr>
      <w:r>
        <w:rPr>
          <w:rFonts w:ascii="Calibri" w:eastAsia="Calibri" w:hAnsi="Calibri" w:cs="Calibri"/>
          <w:color w:val="auto"/>
          <w:sz w:val="12"/>
          <w:szCs w:val="12"/>
        </w:rPr>
        <w:t>The weighted-average grant-date fair value of RSUs and performance shares generally is determined based on the number of shares/units granted and the quoted price of AbbVie’s common stock on the date of grant. The weighted-average grant-date fair values of performance shares with a TSR market conditon are determined using the Monte Carlo simulaton model.</w:t>
      </w:r>
    </w:p>
    <w:p>
      <w:pPr>
        <w:spacing w:after="0" w:line="160"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AbbVie RSU and performance share actvity for 2024:</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5080"/>
        <w:gridCol w:w="4480"/>
        <w:gridCol w:w="720"/>
        <w:gridCol w:w="980"/>
      </w:tblGrid>
      <w:tr>
        <w:tblPrEx>
          <w:tblInd w:w="0" w:type="dxa"/>
          <w:tblLayout w:type="fixed"/>
        </w:tblPrEx>
        <w:trPr>
          <w:trHeight w:val="122"/>
        </w:trPr>
        <w:tc>
          <w:tcPr>
            <w:tcW w:w="5080" w:type="dxa"/>
            <w:vAlign w:val="bottom"/>
          </w:tcPr>
          <w:p>
            <w:pPr>
              <w:spacing w:after="0"/>
              <w:rPr>
                <w:color w:val="auto"/>
                <w:sz w:val="20"/>
                <w:szCs w:val="20"/>
              </w:rPr>
            </w:pPr>
            <w:r>
              <w:rPr>
                <w:rFonts w:ascii="Calibri" w:eastAsia="Calibri" w:hAnsi="Calibri" w:cs="Calibri"/>
                <w:b/>
                <w:bCs/>
                <w:color w:val="auto"/>
                <w:sz w:val="10"/>
                <w:szCs w:val="10"/>
              </w:rPr>
              <w:t>(share units in thousands)</w:t>
            </w:r>
          </w:p>
        </w:tc>
        <w:tc>
          <w:tcPr>
            <w:tcW w:w="4480" w:type="dxa"/>
            <w:vAlign w:val="bottom"/>
          </w:tcPr>
          <w:p>
            <w:pPr>
              <w:spacing w:after="0"/>
              <w:ind w:right="582"/>
              <w:jc w:val="right"/>
              <w:rPr>
                <w:color w:val="auto"/>
                <w:sz w:val="20"/>
                <w:szCs w:val="20"/>
              </w:rPr>
            </w:pPr>
            <w:r>
              <w:rPr>
                <w:rFonts w:ascii="Calibri" w:eastAsia="Calibri" w:hAnsi="Calibri" w:cs="Calibri"/>
                <w:b/>
                <w:bCs/>
                <w:color w:val="auto"/>
                <w:sz w:val="10"/>
                <w:szCs w:val="10"/>
              </w:rPr>
              <w:t>Share units</w:t>
            </w:r>
          </w:p>
        </w:tc>
        <w:tc>
          <w:tcPr>
            <w:tcW w:w="1700" w:type="dxa"/>
            <w:gridSpan w:val="2"/>
            <w:vAlign w:val="bottom"/>
          </w:tcPr>
          <w:p>
            <w:pPr>
              <w:spacing w:after="0"/>
              <w:jc w:val="right"/>
              <w:rPr>
                <w:color w:val="auto"/>
                <w:sz w:val="20"/>
                <w:szCs w:val="20"/>
              </w:rPr>
            </w:pPr>
            <w:r>
              <w:rPr>
                <w:rFonts w:ascii="Calibri" w:eastAsia="Calibri" w:hAnsi="Calibri" w:cs="Calibri"/>
                <w:b/>
                <w:bCs/>
                <w:color w:val="auto"/>
                <w:w w:val="99"/>
                <w:sz w:val="10"/>
                <w:szCs w:val="10"/>
              </w:rPr>
              <w:t>Weighted-average grant date fair value</w:t>
            </w:r>
          </w:p>
        </w:tc>
      </w:tr>
      <w:tr>
        <w:tblPrEx>
          <w:tblInd w:w="0" w:type="dxa"/>
          <w:tblLayout w:type="fixed"/>
        </w:tblPrEx>
        <w:trPr>
          <w:trHeight w:val="32"/>
        </w:trPr>
        <w:tc>
          <w:tcPr>
            <w:tcW w:w="5080" w:type="dxa"/>
            <w:tcBorders>
              <w:bottom w:val="single" w:sz="8" w:space="0" w:color="auto"/>
            </w:tcBorders>
            <w:vAlign w:val="bottom"/>
          </w:tcPr>
          <w:p>
            <w:pPr>
              <w:spacing w:after="0"/>
              <w:rPr>
                <w:color w:val="auto"/>
                <w:sz w:val="2"/>
                <w:szCs w:val="2"/>
              </w:rPr>
            </w:pPr>
          </w:p>
        </w:tc>
        <w:tc>
          <w:tcPr>
            <w:tcW w:w="4480" w:type="dxa"/>
            <w:tcBorders>
              <w:bottom w:val="single" w:sz="8" w:space="0" w:color="auto"/>
            </w:tcBorders>
            <w:vAlign w:val="bottom"/>
          </w:tcPr>
          <w:p>
            <w:pPr>
              <w:spacing w:after="0"/>
              <w:rPr>
                <w:color w:val="auto"/>
                <w:sz w:val="2"/>
                <w:szCs w:val="2"/>
              </w:rPr>
            </w:pPr>
          </w:p>
        </w:tc>
        <w:tc>
          <w:tcPr>
            <w:tcW w:w="720" w:type="dxa"/>
            <w:tcBorders>
              <w:bottom w:val="single" w:sz="8" w:space="0" w:color="auto"/>
            </w:tcBorders>
            <w:vAlign w:val="bottom"/>
          </w:tcPr>
          <w:p>
            <w:pPr>
              <w:spacing w:after="0"/>
              <w:rPr>
                <w:color w:val="auto"/>
                <w:sz w:val="2"/>
                <w:szCs w:val="2"/>
              </w:rPr>
            </w:pPr>
          </w:p>
        </w:tc>
        <w:tc>
          <w:tcPr>
            <w:tcW w:w="9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508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Outstanding at December 31, 2023</w:t>
            </w:r>
          </w:p>
        </w:tc>
        <w:tc>
          <w:tcPr>
            <w:tcW w:w="448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10,739</w:t>
            </w:r>
          </w:p>
        </w:tc>
        <w:tc>
          <w:tcPr>
            <w:tcW w:w="720" w:type="dxa"/>
            <w:shd w:val="clear" w:color="auto" w:fill="CCEEFF"/>
            <w:vAlign w:val="bottom"/>
          </w:tcPr>
          <w:p>
            <w:pPr>
              <w:spacing w:after="0" w:line="142" w:lineRule="exact"/>
              <w:ind w:right="544"/>
              <w:jc w:val="right"/>
              <w:rPr>
                <w:color w:val="auto"/>
                <w:sz w:val="20"/>
                <w:szCs w:val="20"/>
              </w:rPr>
            </w:pPr>
            <w:r>
              <w:rPr>
                <w:rFonts w:ascii="Calibri" w:eastAsia="Calibri" w:hAnsi="Calibri" w:cs="Calibri"/>
                <w:color w:val="auto"/>
                <w:sz w:val="12"/>
                <w:szCs w:val="12"/>
              </w:rPr>
              <w:t>$</w:t>
            </w:r>
          </w:p>
        </w:tc>
        <w:tc>
          <w:tcPr>
            <w:tcW w:w="9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136.42</w:t>
            </w:r>
          </w:p>
        </w:tc>
      </w:tr>
      <w:tr>
        <w:tblPrEx>
          <w:tblInd w:w="0" w:type="dxa"/>
          <w:tblLayout w:type="fixed"/>
        </w:tblPrEx>
        <w:trPr>
          <w:trHeight w:val="147"/>
        </w:trPr>
        <w:tc>
          <w:tcPr>
            <w:tcW w:w="5080" w:type="dxa"/>
            <w:vAlign w:val="bottom"/>
          </w:tcPr>
          <w:p>
            <w:pPr>
              <w:spacing w:after="0" w:line="142" w:lineRule="exact"/>
              <w:rPr>
                <w:color w:val="auto"/>
                <w:sz w:val="20"/>
                <w:szCs w:val="20"/>
              </w:rPr>
            </w:pPr>
            <w:r>
              <w:rPr>
                <w:rFonts w:ascii="Calibri" w:eastAsia="Calibri" w:hAnsi="Calibri" w:cs="Calibri"/>
                <w:color w:val="auto"/>
                <w:sz w:val="12"/>
                <w:szCs w:val="12"/>
              </w:rPr>
              <w:t>Granted</w:t>
            </w:r>
          </w:p>
        </w:tc>
        <w:tc>
          <w:tcPr>
            <w:tcW w:w="448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5,558</w:t>
            </w:r>
          </w:p>
        </w:tc>
        <w:tc>
          <w:tcPr>
            <w:tcW w:w="720" w:type="dxa"/>
            <w:vAlign w:val="bottom"/>
          </w:tcPr>
          <w:p>
            <w:pPr>
              <w:spacing w:after="0"/>
              <w:rPr>
                <w:color w:val="auto"/>
                <w:sz w:val="12"/>
                <w:szCs w:val="12"/>
              </w:rPr>
            </w:pPr>
          </w:p>
        </w:tc>
        <w:tc>
          <w:tcPr>
            <w:tcW w:w="980" w:type="dxa"/>
            <w:vAlign w:val="bottom"/>
          </w:tcPr>
          <w:p>
            <w:pPr>
              <w:spacing w:after="0" w:line="142" w:lineRule="exact"/>
              <w:jc w:val="right"/>
              <w:rPr>
                <w:color w:val="auto"/>
                <w:sz w:val="20"/>
                <w:szCs w:val="20"/>
              </w:rPr>
            </w:pPr>
            <w:r>
              <w:rPr>
                <w:rFonts w:ascii="Calibri" w:eastAsia="Calibri" w:hAnsi="Calibri" w:cs="Calibri"/>
                <w:color w:val="auto"/>
                <w:sz w:val="12"/>
                <w:szCs w:val="12"/>
              </w:rPr>
              <w:t>168.62</w:t>
            </w:r>
          </w:p>
        </w:tc>
      </w:tr>
      <w:tr>
        <w:tblPrEx>
          <w:tblInd w:w="0" w:type="dxa"/>
          <w:tblLayout w:type="fixed"/>
        </w:tblPrEx>
        <w:trPr>
          <w:trHeight w:val="159"/>
        </w:trPr>
        <w:tc>
          <w:tcPr>
            <w:tcW w:w="5080" w:type="dxa"/>
            <w:shd w:val="clear" w:color="auto" w:fill="CCEEFF"/>
            <w:vAlign w:val="bottom"/>
          </w:tcPr>
          <w:p>
            <w:pPr>
              <w:spacing w:after="0"/>
              <w:rPr>
                <w:color w:val="auto"/>
                <w:sz w:val="20"/>
                <w:szCs w:val="20"/>
              </w:rPr>
            </w:pPr>
            <w:r>
              <w:rPr>
                <w:rFonts w:ascii="Calibri" w:eastAsia="Calibri" w:hAnsi="Calibri" w:cs="Calibri"/>
                <w:color w:val="auto"/>
                <w:sz w:val="12"/>
                <w:szCs w:val="12"/>
              </w:rPr>
              <w:t>Granted in acquisitons</w:t>
            </w:r>
          </w:p>
        </w:tc>
        <w:tc>
          <w:tcPr>
            <w:tcW w:w="448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605</w:t>
            </w:r>
          </w:p>
        </w:tc>
        <w:tc>
          <w:tcPr>
            <w:tcW w:w="720" w:type="dxa"/>
            <w:shd w:val="clear" w:color="auto" w:fill="CCEEFF"/>
            <w:vAlign w:val="bottom"/>
          </w:tcPr>
          <w:p>
            <w:pPr>
              <w:spacing w:after="0"/>
              <w:rPr>
                <w:color w:val="auto"/>
                <w:sz w:val="13"/>
                <w:szCs w:val="13"/>
              </w:rPr>
            </w:pPr>
          </w:p>
        </w:tc>
        <w:tc>
          <w:tcPr>
            <w:tcW w:w="9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168.24</w:t>
            </w:r>
          </w:p>
        </w:tc>
      </w:tr>
      <w:tr>
        <w:tblPrEx>
          <w:tblInd w:w="0" w:type="dxa"/>
          <w:tblLayout w:type="fixed"/>
        </w:tblPrEx>
        <w:trPr>
          <w:trHeight w:val="147"/>
        </w:trPr>
        <w:tc>
          <w:tcPr>
            <w:tcW w:w="5080" w:type="dxa"/>
            <w:vAlign w:val="bottom"/>
          </w:tcPr>
          <w:p>
            <w:pPr>
              <w:spacing w:after="0" w:line="142" w:lineRule="exact"/>
              <w:rPr>
                <w:color w:val="auto"/>
                <w:sz w:val="20"/>
                <w:szCs w:val="20"/>
              </w:rPr>
            </w:pPr>
            <w:r>
              <w:rPr>
                <w:rFonts w:ascii="Calibri" w:eastAsia="Calibri" w:hAnsi="Calibri" w:cs="Calibri"/>
                <w:color w:val="auto"/>
                <w:sz w:val="12"/>
                <w:szCs w:val="12"/>
              </w:rPr>
              <w:t>Vested</w:t>
            </w:r>
          </w:p>
        </w:tc>
        <w:tc>
          <w:tcPr>
            <w:tcW w:w="448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(6,052)</w:t>
            </w:r>
          </w:p>
        </w:tc>
        <w:tc>
          <w:tcPr>
            <w:tcW w:w="720" w:type="dxa"/>
            <w:vAlign w:val="bottom"/>
          </w:tcPr>
          <w:p>
            <w:pPr>
              <w:spacing w:after="0"/>
              <w:rPr>
                <w:color w:val="auto"/>
                <w:sz w:val="12"/>
                <w:szCs w:val="12"/>
              </w:rPr>
            </w:pPr>
          </w:p>
        </w:tc>
        <w:tc>
          <w:tcPr>
            <w:tcW w:w="980" w:type="dxa"/>
            <w:vAlign w:val="bottom"/>
          </w:tcPr>
          <w:p>
            <w:pPr>
              <w:spacing w:after="0" w:line="142" w:lineRule="exact"/>
              <w:jc w:val="right"/>
              <w:rPr>
                <w:color w:val="auto"/>
                <w:sz w:val="20"/>
                <w:szCs w:val="20"/>
              </w:rPr>
            </w:pPr>
            <w:r>
              <w:rPr>
                <w:rFonts w:ascii="Calibri" w:eastAsia="Calibri" w:hAnsi="Calibri" w:cs="Calibri"/>
                <w:color w:val="auto"/>
                <w:sz w:val="12"/>
                <w:szCs w:val="12"/>
              </w:rPr>
              <w:t>128.28</w:t>
            </w:r>
          </w:p>
        </w:tc>
      </w:tr>
      <w:tr>
        <w:tblPrEx>
          <w:tblInd w:w="0" w:type="dxa"/>
          <w:tblLayout w:type="fixed"/>
        </w:tblPrEx>
        <w:trPr>
          <w:trHeight w:val="153"/>
        </w:trPr>
        <w:tc>
          <w:tcPr>
            <w:tcW w:w="508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Forfeited</w:t>
            </w:r>
          </w:p>
        </w:tc>
        <w:tc>
          <w:tcPr>
            <w:tcW w:w="448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(463)</w:t>
            </w:r>
          </w:p>
        </w:tc>
        <w:tc>
          <w:tcPr>
            <w:tcW w:w="720" w:type="dxa"/>
            <w:tcBorders>
              <w:bottom w:val="single" w:sz="8" w:space="0" w:color="auto"/>
            </w:tcBorders>
            <w:shd w:val="clear" w:color="auto" w:fill="CCEEFF"/>
            <w:vAlign w:val="bottom"/>
          </w:tcPr>
          <w:p>
            <w:pPr>
              <w:spacing w:after="0"/>
              <w:rPr>
                <w:color w:val="auto"/>
                <w:sz w:val="13"/>
                <w:szCs w:val="13"/>
              </w:rPr>
            </w:pPr>
          </w:p>
        </w:tc>
        <w:tc>
          <w:tcPr>
            <w:tcW w:w="98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152.79</w:t>
            </w:r>
          </w:p>
        </w:tc>
      </w:tr>
      <w:tr>
        <w:tblPrEx>
          <w:tblInd w:w="0" w:type="dxa"/>
          <w:tblLayout w:type="fixed"/>
        </w:tblPrEx>
        <w:trPr>
          <w:trHeight w:val="142"/>
        </w:trPr>
        <w:tc>
          <w:tcPr>
            <w:tcW w:w="50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Outstanding at December 31, 2024</w:t>
            </w:r>
          </w:p>
        </w:tc>
        <w:tc>
          <w:tcPr>
            <w:tcW w:w="448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10,387</w:t>
            </w:r>
          </w:p>
        </w:tc>
        <w:tc>
          <w:tcPr>
            <w:tcW w:w="720" w:type="dxa"/>
            <w:tcBorders>
              <w:bottom w:val="single" w:sz="8" w:space="0" w:color="auto"/>
            </w:tcBorders>
            <w:vAlign w:val="bottom"/>
          </w:tcPr>
          <w:p>
            <w:pPr>
              <w:spacing w:after="0" w:line="142" w:lineRule="exact"/>
              <w:ind w:right="544"/>
              <w:jc w:val="right"/>
              <w:rPr>
                <w:color w:val="auto"/>
                <w:sz w:val="20"/>
                <w:szCs w:val="20"/>
              </w:rPr>
            </w:pPr>
            <w:r>
              <w:rPr>
                <w:rFonts w:ascii="Calibri" w:eastAsia="Calibri" w:hAnsi="Calibri" w:cs="Calibri"/>
                <w:color w:val="auto"/>
                <w:sz w:val="12"/>
                <w:szCs w:val="12"/>
              </w:rPr>
              <w:t>$</w:t>
            </w:r>
          </w:p>
        </w:tc>
        <w:tc>
          <w:tcPr>
            <w:tcW w:w="9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159.52</w:t>
            </w:r>
          </w:p>
        </w:tc>
      </w:tr>
      <w:tr>
        <w:tblPrEx>
          <w:tblInd w:w="0" w:type="dxa"/>
          <w:tblLayout w:type="fixed"/>
        </w:tblPrEx>
        <w:trPr>
          <w:trHeight w:val="20"/>
        </w:trPr>
        <w:tc>
          <w:tcPr>
            <w:tcW w:w="5080" w:type="dxa"/>
            <w:tcBorders>
              <w:bottom w:val="single" w:sz="8" w:space="0" w:color="auto"/>
            </w:tcBorders>
            <w:vAlign w:val="bottom"/>
          </w:tcPr>
          <w:p>
            <w:pPr>
              <w:spacing w:after="0" w:line="20" w:lineRule="exact"/>
              <w:rPr>
                <w:color w:val="auto"/>
                <w:sz w:val="1"/>
                <w:szCs w:val="1"/>
              </w:rPr>
            </w:pPr>
          </w:p>
        </w:tc>
        <w:tc>
          <w:tcPr>
            <w:tcW w:w="4480" w:type="dxa"/>
            <w:tcBorders>
              <w:bottom w:val="single" w:sz="8" w:space="0" w:color="auto"/>
            </w:tcBorders>
            <w:vAlign w:val="bottom"/>
          </w:tcPr>
          <w:p>
            <w:pPr>
              <w:spacing w:after="0" w:line="20" w:lineRule="exact"/>
              <w:rPr>
                <w:color w:val="auto"/>
                <w:sz w:val="1"/>
                <w:szCs w:val="1"/>
              </w:rPr>
            </w:pPr>
          </w:p>
        </w:tc>
        <w:tc>
          <w:tcPr>
            <w:tcW w:w="720" w:type="dxa"/>
            <w:tcBorders>
              <w:bottom w:val="single" w:sz="8" w:space="0" w:color="auto"/>
            </w:tcBorders>
            <w:vAlign w:val="bottom"/>
          </w:tcPr>
          <w:p>
            <w:pPr>
              <w:spacing w:after="0" w:line="20" w:lineRule="exact"/>
              <w:rPr>
                <w:color w:val="auto"/>
                <w:sz w:val="1"/>
                <w:szCs w:val="1"/>
              </w:rPr>
            </w:pPr>
          </w:p>
        </w:tc>
        <w:tc>
          <w:tcPr>
            <w:tcW w:w="980" w:type="dxa"/>
            <w:tcBorders>
              <w:bottom w:val="single" w:sz="8" w:space="0" w:color="auto"/>
            </w:tcBorders>
            <w:vAlign w:val="bottom"/>
          </w:tcPr>
          <w:p>
            <w:pPr>
              <w:spacing w:after="0" w:line="20" w:lineRule="exact"/>
              <w:rPr>
                <w:color w:val="auto"/>
                <w:sz w:val="1"/>
                <w:szCs w:val="1"/>
              </w:rPr>
            </w:pPr>
          </w:p>
        </w:tc>
      </w:tr>
    </w:tbl>
    <w:p>
      <w:pPr>
        <w:spacing w:after="0" w:line="161"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fair market value of RSUs and performance shares (as applicable) vested was $1.1 billion in 2024, $1.0 billion in 2023 and $1.0 billion in 2022.</w:t>
      </w:r>
    </w:p>
    <w:p>
      <w:pPr>
        <w:spacing w:after="0" w:line="101" w:lineRule="exact"/>
        <w:rPr>
          <w:color w:val="auto"/>
          <w:sz w:val="20"/>
          <w:szCs w:val="20"/>
        </w:rPr>
      </w:pPr>
    </w:p>
    <w:p>
      <w:pPr>
        <w:spacing w:after="0" w:line="234" w:lineRule="auto"/>
        <w:ind w:right="280" w:firstLine="297"/>
        <w:rPr>
          <w:color w:val="auto"/>
          <w:sz w:val="20"/>
          <w:szCs w:val="20"/>
        </w:rPr>
      </w:pPr>
      <w:r>
        <w:rPr>
          <w:rFonts w:ascii="Calibri" w:eastAsia="Calibri" w:hAnsi="Calibri" w:cs="Calibri"/>
          <w:color w:val="auto"/>
          <w:sz w:val="12"/>
          <w:szCs w:val="12"/>
        </w:rPr>
        <w:t>In connecton with the ImmunoGen and Cerevel Therapeutcs acquisitons, AbbVie issued 0.6 million RSUs to holders of ImmunoGen and Cerevel Therapeutcs equity awards based on a conversion factor described in each of the transacton agreements. See Note 5 for additonal informaton regarding the ImmunoGen and Cerevel Therapeutcs acquisitons.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As of December 31, 2024, $655 million of unrecognized compensaton cost related to RSUs and performance shares is expected to be recognized as expense over approximately the next two years.</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Cash Dividends</w:t>
      </w:r>
    </w:p>
    <w:p>
      <w:pPr>
        <w:spacing w:after="0" w:line="97"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Cash dividends declared per common share totaled $6.29 in 2024, $5.99 in 2023 and $5.71 in 2022. The following table summarizes quarterly cash dividends declared during 2024, 2023 and 2022:</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1200"/>
        <w:gridCol w:w="1200"/>
        <w:gridCol w:w="1260"/>
        <w:gridCol w:w="100"/>
        <w:gridCol w:w="1200"/>
        <w:gridCol w:w="1220"/>
        <w:gridCol w:w="1280"/>
        <w:gridCol w:w="100"/>
        <w:gridCol w:w="1200"/>
        <w:gridCol w:w="1220"/>
        <w:gridCol w:w="1280"/>
      </w:tblGrid>
      <w:tr>
        <w:tblPrEx>
          <w:tblInd w:w="0" w:type="dxa"/>
          <w:tblLayout w:type="fixed"/>
        </w:tblPrEx>
        <w:trPr>
          <w:trHeight w:val="122"/>
        </w:trPr>
        <w:tc>
          <w:tcPr>
            <w:tcW w:w="1200" w:type="dxa"/>
            <w:vAlign w:val="bottom"/>
          </w:tcPr>
          <w:p>
            <w:pPr>
              <w:spacing w:after="0"/>
              <w:rPr>
                <w:color w:val="auto"/>
                <w:sz w:val="10"/>
                <w:szCs w:val="10"/>
              </w:rPr>
            </w:pPr>
          </w:p>
        </w:tc>
        <w:tc>
          <w:tcPr>
            <w:tcW w:w="1200" w:type="dxa"/>
            <w:vAlign w:val="bottom"/>
          </w:tcPr>
          <w:p>
            <w:pPr>
              <w:spacing w:after="0"/>
              <w:ind w:left="4"/>
              <w:jc w:val="center"/>
              <w:rPr>
                <w:color w:val="auto"/>
                <w:sz w:val="20"/>
                <w:szCs w:val="20"/>
              </w:rPr>
            </w:pPr>
            <w:r>
              <w:rPr>
                <w:rFonts w:ascii="Calibri" w:eastAsia="Calibri" w:hAnsi="Calibri" w:cs="Calibri"/>
                <w:b/>
                <w:bCs/>
                <w:color w:val="auto"/>
                <w:w w:val="88"/>
                <w:sz w:val="10"/>
                <w:szCs w:val="10"/>
              </w:rPr>
              <w:t>2024</w:t>
            </w:r>
          </w:p>
        </w:tc>
        <w:tc>
          <w:tcPr>
            <w:tcW w:w="126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1200" w:type="dxa"/>
            <w:vAlign w:val="bottom"/>
          </w:tcPr>
          <w:p>
            <w:pPr>
              <w:spacing w:after="0"/>
              <w:rPr>
                <w:color w:val="auto"/>
                <w:sz w:val="10"/>
                <w:szCs w:val="10"/>
              </w:rPr>
            </w:pPr>
          </w:p>
        </w:tc>
        <w:tc>
          <w:tcPr>
            <w:tcW w:w="1220" w:type="dxa"/>
            <w:vAlign w:val="bottom"/>
          </w:tcPr>
          <w:p>
            <w:pPr>
              <w:spacing w:after="0"/>
              <w:ind w:left="24"/>
              <w:jc w:val="center"/>
              <w:rPr>
                <w:color w:val="auto"/>
                <w:sz w:val="20"/>
                <w:szCs w:val="20"/>
              </w:rPr>
            </w:pPr>
            <w:r>
              <w:rPr>
                <w:rFonts w:ascii="Calibri" w:eastAsia="Calibri" w:hAnsi="Calibri" w:cs="Calibri"/>
                <w:b/>
                <w:bCs/>
                <w:color w:val="auto"/>
                <w:w w:val="88"/>
                <w:sz w:val="10"/>
                <w:szCs w:val="10"/>
              </w:rPr>
              <w:t>2023</w:t>
            </w:r>
          </w:p>
        </w:tc>
        <w:tc>
          <w:tcPr>
            <w:tcW w:w="1280" w:type="dxa"/>
            <w:vAlign w:val="bottom"/>
          </w:tcPr>
          <w:p>
            <w:pPr>
              <w:spacing w:after="0"/>
              <w:rPr>
                <w:color w:val="auto"/>
                <w:sz w:val="10"/>
                <w:szCs w:val="10"/>
              </w:rPr>
            </w:pPr>
          </w:p>
        </w:tc>
        <w:tc>
          <w:tcPr>
            <w:tcW w:w="100" w:type="dxa"/>
            <w:vAlign w:val="bottom"/>
          </w:tcPr>
          <w:p>
            <w:pPr>
              <w:spacing w:after="0"/>
              <w:rPr>
                <w:color w:val="auto"/>
                <w:sz w:val="10"/>
                <w:szCs w:val="10"/>
              </w:rPr>
            </w:pPr>
          </w:p>
        </w:tc>
        <w:tc>
          <w:tcPr>
            <w:tcW w:w="1200" w:type="dxa"/>
            <w:vAlign w:val="bottom"/>
          </w:tcPr>
          <w:p>
            <w:pPr>
              <w:spacing w:after="0"/>
              <w:rPr>
                <w:color w:val="auto"/>
                <w:sz w:val="10"/>
                <w:szCs w:val="10"/>
              </w:rPr>
            </w:pPr>
          </w:p>
        </w:tc>
        <w:tc>
          <w:tcPr>
            <w:tcW w:w="1220" w:type="dxa"/>
            <w:vAlign w:val="bottom"/>
          </w:tcPr>
          <w:p>
            <w:pPr>
              <w:spacing w:after="0"/>
              <w:ind w:left="4"/>
              <w:jc w:val="center"/>
              <w:rPr>
                <w:color w:val="auto"/>
                <w:sz w:val="20"/>
                <w:szCs w:val="20"/>
              </w:rPr>
            </w:pPr>
            <w:r>
              <w:rPr>
                <w:rFonts w:ascii="Calibri" w:eastAsia="Calibri" w:hAnsi="Calibri" w:cs="Calibri"/>
                <w:b/>
                <w:bCs/>
                <w:color w:val="auto"/>
                <w:w w:val="98"/>
                <w:sz w:val="10"/>
                <w:szCs w:val="10"/>
              </w:rPr>
              <w:t>2022</w:t>
            </w:r>
          </w:p>
        </w:tc>
        <w:tc>
          <w:tcPr>
            <w:tcW w:w="1280" w:type="dxa"/>
            <w:vAlign w:val="bottom"/>
          </w:tcPr>
          <w:p>
            <w:pPr>
              <w:spacing w:after="0"/>
              <w:rPr>
                <w:color w:val="auto"/>
                <w:sz w:val="10"/>
                <w:szCs w:val="10"/>
              </w:rPr>
            </w:pPr>
          </w:p>
        </w:tc>
      </w:tr>
      <w:tr>
        <w:tblPrEx>
          <w:tblInd w:w="0" w:type="dxa"/>
          <w:tblLayout w:type="fixed"/>
        </w:tblPrEx>
        <w:trPr>
          <w:trHeight w:val="32"/>
        </w:trPr>
        <w:tc>
          <w:tcPr>
            <w:tcW w:w="1200" w:type="dxa"/>
            <w:tcBorders>
              <w:bottom w:val="single" w:sz="8" w:space="0" w:color="auto"/>
            </w:tcBorders>
            <w:vAlign w:val="bottom"/>
          </w:tcPr>
          <w:p>
            <w:pPr>
              <w:spacing w:after="0"/>
              <w:rPr>
                <w:color w:val="auto"/>
                <w:sz w:val="2"/>
                <w:szCs w:val="2"/>
              </w:rPr>
            </w:pPr>
          </w:p>
        </w:tc>
        <w:tc>
          <w:tcPr>
            <w:tcW w:w="120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100" w:type="dxa"/>
            <w:vAlign w:val="bottom"/>
          </w:tcPr>
          <w:p>
            <w:pPr>
              <w:spacing w:after="0"/>
              <w:rPr>
                <w:color w:val="auto"/>
                <w:sz w:val="2"/>
                <w:szCs w:val="2"/>
              </w:rPr>
            </w:pPr>
          </w:p>
        </w:tc>
        <w:tc>
          <w:tcPr>
            <w:tcW w:w="120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1280" w:type="dxa"/>
            <w:tcBorders>
              <w:bottom w:val="single" w:sz="8" w:space="0" w:color="auto"/>
            </w:tcBorders>
            <w:vAlign w:val="bottom"/>
          </w:tcPr>
          <w:p>
            <w:pPr>
              <w:spacing w:after="0"/>
              <w:rPr>
                <w:color w:val="auto"/>
                <w:sz w:val="2"/>
                <w:szCs w:val="2"/>
              </w:rPr>
            </w:pPr>
          </w:p>
        </w:tc>
        <w:tc>
          <w:tcPr>
            <w:tcW w:w="100" w:type="dxa"/>
            <w:vAlign w:val="bottom"/>
          </w:tcPr>
          <w:p>
            <w:pPr>
              <w:spacing w:after="0"/>
              <w:rPr>
                <w:color w:val="auto"/>
                <w:sz w:val="2"/>
                <w:szCs w:val="2"/>
              </w:rPr>
            </w:pPr>
          </w:p>
        </w:tc>
        <w:tc>
          <w:tcPr>
            <w:tcW w:w="120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1280" w:type="dxa"/>
            <w:tcBorders>
              <w:bottom w:val="single" w:sz="8" w:space="0" w:color="auto"/>
            </w:tcBorders>
            <w:vAlign w:val="bottom"/>
          </w:tcPr>
          <w:p>
            <w:pPr>
              <w:spacing w:after="0"/>
              <w:rPr>
                <w:color w:val="auto"/>
                <w:sz w:val="2"/>
                <w:szCs w:val="2"/>
              </w:rPr>
            </w:pPr>
          </w:p>
        </w:tc>
      </w:tr>
      <w:tr>
        <w:tblPrEx>
          <w:tblInd w:w="0" w:type="dxa"/>
          <w:tblLayout w:type="fixed"/>
        </w:tblPrEx>
        <w:trPr>
          <w:trHeight w:val="101"/>
        </w:trPr>
        <w:tc>
          <w:tcPr>
            <w:tcW w:w="1200" w:type="dxa"/>
            <w:vAlign w:val="bottom"/>
          </w:tcPr>
          <w:p>
            <w:pPr>
              <w:spacing w:after="0" w:line="101" w:lineRule="exact"/>
              <w:ind w:right="22"/>
              <w:jc w:val="center"/>
              <w:rPr>
                <w:color w:val="auto"/>
                <w:sz w:val="20"/>
                <w:szCs w:val="20"/>
              </w:rPr>
            </w:pPr>
            <w:r>
              <w:rPr>
                <w:rFonts w:ascii="Calibri" w:eastAsia="Calibri" w:hAnsi="Calibri" w:cs="Calibri"/>
                <w:b/>
                <w:bCs/>
                <w:color w:val="auto"/>
                <w:w w:val="95"/>
                <w:sz w:val="10"/>
                <w:szCs w:val="10"/>
              </w:rPr>
              <w:t>Date Declared</w:t>
            </w:r>
          </w:p>
        </w:tc>
        <w:tc>
          <w:tcPr>
            <w:tcW w:w="1200" w:type="dxa"/>
            <w:vAlign w:val="bottom"/>
          </w:tcPr>
          <w:p>
            <w:pPr>
              <w:spacing w:after="0" w:line="101" w:lineRule="exact"/>
              <w:jc w:val="center"/>
              <w:rPr>
                <w:color w:val="auto"/>
                <w:sz w:val="20"/>
                <w:szCs w:val="20"/>
              </w:rPr>
            </w:pPr>
            <w:r>
              <w:rPr>
                <w:rFonts w:ascii="Calibri" w:eastAsia="Calibri" w:hAnsi="Calibri" w:cs="Calibri"/>
                <w:b/>
                <w:bCs/>
                <w:color w:val="auto"/>
                <w:w w:val="94"/>
                <w:sz w:val="10"/>
                <w:szCs w:val="10"/>
              </w:rPr>
              <w:t>Payment Date</w:t>
            </w:r>
          </w:p>
        </w:tc>
        <w:tc>
          <w:tcPr>
            <w:tcW w:w="1260" w:type="dxa"/>
            <w:vAlign w:val="bottom"/>
          </w:tcPr>
          <w:p>
            <w:pPr>
              <w:spacing w:after="0" w:line="101" w:lineRule="exact"/>
              <w:ind w:left="42"/>
              <w:jc w:val="center"/>
              <w:rPr>
                <w:color w:val="auto"/>
                <w:sz w:val="20"/>
                <w:szCs w:val="20"/>
              </w:rPr>
            </w:pPr>
            <w:r>
              <w:rPr>
                <w:rFonts w:ascii="Calibri" w:eastAsia="Calibri" w:hAnsi="Calibri" w:cs="Calibri"/>
                <w:b/>
                <w:bCs/>
                <w:color w:val="auto"/>
                <w:w w:val="95"/>
                <w:sz w:val="10"/>
                <w:szCs w:val="10"/>
              </w:rPr>
              <w:t>Dividend Per Share</w:t>
            </w:r>
          </w:p>
        </w:tc>
        <w:tc>
          <w:tcPr>
            <w:tcW w:w="100" w:type="dxa"/>
            <w:vAlign w:val="bottom"/>
          </w:tcPr>
          <w:p>
            <w:pPr>
              <w:spacing w:after="0"/>
              <w:rPr>
                <w:color w:val="auto"/>
                <w:sz w:val="8"/>
                <w:szCs w:val="8"/>
              </w:rPr>
            </w:pPr>
          </w:p>
        </w:tc>
        <w:tc>
          <w:tcPr>
            <w:tcW w:w="1200" w:type="dxa"/>
            <w:vAlign w:val="bottom"/>
          </w:tcPr>
          <w:p>
            <w:pPr>
              <w:spacing w:after="0" w:line="101" w:lineRule="exact"/>
              <w:jc w:val="center"/>
              <w:rPr>
                <w:color w:val="auto"/>
                <w:sz w:val="20"/>
                <w:szCs w:val="20"/>
              </w:rPr>
            </w:pPr>
            <w:r>
              <w:rPr>
                <w:rFonts w:ascii="Calibri" w:eastAsia="Calibri" w:hAnsi="Calibri" w:cs="Calibri"/>
                <w:b/>
                <w:bCs/>
                <w:color w:val="auto"/>
                <w:w w:val="95"/>
                <w:sz w:val="10"/>
                <w:szCs w:val="10"/>
              </w:rPr>
              <w:t>Date Declared</w:t>
            </w:r>
          </w:p>
        </w:tc>
        <w:tc>
          <w:tcPr>
            <w:tcW w:w="1220" w:type="dxa"/>
            <w:vAlign w:val="bottom"/>
          </w:tcPr>
          <w:p>
            <w:pPr>
              <w:spacing w:after="0" w:line="101" w:lineRule="exact"/>
              <w:ind w:left="4"/>
              <w:jc w:val="center"/>
              <w:rPr>
                <w:color w:val="auto"/>
                <w:sz w:val="20"/>
                <w:szCs w:val="20"/>
              </w:rPr>
            </w:pPr>
            <w:r>
              <w:rPr>
                <w:rFonts w:ascii="Calibri" w:eastAsia="Calibri" w:hAnsi="Calibri" w:cs="Calibri"/>
                <w:b/>
                <w:bCs/>
                <w:color w:val="auto"/>
                <w:w w:val="94"/>
                <w:sz w:val="10"/>
                <w:szCs w:val="10"/>
              </w:rPr>
              <w:t>Payment Date</w:t>
            </w:r>
          </w:p>
        </w:tc>
        <w:tc>
          <w:tcPr>
            <w:tcW w:w="1280" w:type="dxa"/>
            <w:vAlign w:val="bottom"/>
          </w:tcPr>
          <w:p>
            <w:pPr>
              <w:spacing w:after="0" w:line="101" w:lineRule="exact"/>
              <w:ind w:left="22"/>
              <w:jc w:val="center"/>
              <w:rPr>
                <w:color w:val="auto"/>
                <w:sz w:val="20"/>
                <w:szCs w:val="20"/>
              </w:rPr>
            </w:pPr>
            <w:r>
              <w:rPr>
                <w:rFonts w:ascii="Calibri" w:eastAsia="Calibri" w:hAnsi="Calibri" w:cs="Calibri"/>
                <w:b/>
                <w:bCs/>
                <w:color w:val="auto"/>
                <w:w w:val="95"/>
                <w:sz w:val="10"/>
                <w:szCs w:val="10"/>
              </w:rPr>
              <w:t>Dividend Per Share</w:t>
            </w:r>
          </w:p>
        </w:tc>
        <w:tc>
          <w:tcPr>
            <w:tcW w:w="100" w:type="dxa"/>
            <w:vAlign w:val="bottom"/>
          </w:tcPr>
          <w:p>
            <w:pPr>
              <w:spacing w:after="0"/>
              <w:rPr>
                <w:color w:val="auto"/>
                <w:sz w:val="8"/>
                <w:szCs w:val="8"/>
              </w:rPr>
            </w:pPr>
          </w:p>
        </w:tc>
        <w:tc>
          <w:tcPr>
            <w:tcW w:w="1200" w:type="dxa"/>
            <w:vAlign w:val="bottom"/>
          </w:tcPr>
          <w:p>
            <w:pPr>
              <w:spacing w:after="0" w:line="101" w:lineRule="exact"/>
              <w:jc w:val="center"/>
              <w:rPr>
                <w:color w:val="auto"/>
                <w:sz w:val="20"/>
                <w:szCs w:val="20"/>
              </w:rPr>
            </w:pPr>
            <w:r>
              <w:rPr>
                <w:rFonts w:ascii="Calibri" w:eastAsia="Calibri" w:hAnsi="Calibri" w:cs="Calibri"/>
                <w:b/>
                <w:bCs/>
                <w:color w:val="auto"/>
                <w:w w:val="95"/>
                <w:sz w:val="10"/>
                <w:szCs w:val="10"/>
              </w:rPr>
              <w:t>Date Declared</w:t>
            </w:r>
          </w:p>
        </w:tc>
        <w:tc>
          <w:tcPr>
            <w:tcW w:w="1220" w:type="dxa"/>
            <w:vAlign w:val="bottom"/>
          </w:tcPr>
          <w:p>
            <w:pPr>
              <w:spacing w:after="0" w:line="101" w:lineRule="exact"/>
              <w:ind w:left="4"/>
              <w:jc w:val="center"/>
              <w:rPr>
                <w:color w:val="auto"/>
                <w:sz w:val="20"/>
                <w:szCs w:val="20"/>
              </w:rPr>
            </w:pPr>
            <w:r>
              <w:rPr>
                <w:rFonts w:ascii="Calibri" w:eastAsia="Calibri" w:hAnsi="Calibri" w:cs="Calibri"/>
                <w:b/>
                <w:bCs/>
                <w:color w:val="auto"/>
                <w:w w:val="94"/>
                <w:sz w:val="10"/>
                <w:szCs w:val="10"/>
              </w:rPr>
              <w:t>Payment Date</w:t>
            </w:r>
          </w:p>
        </w:tc>
        <w:tc>
          <w:tcPr>
            <w:tcW w:w="1280" w:type="dxa"/>
            <w:vAlign w:val="bottom"/>
          </w:tcPr>
          <w:p>
            <w:pPr>
              <w:spacing w:after="0" w:line="101" w:lineRule="exact"/>
              <w:ind w:left="22"/>
              <w:jc w:val="center"/>
              <w:rPr>
                <w:color w:val="auto"/>
                <w:sz w:val="20"/>
                <w:szCs w:val="20"/>
              </w:rPr>
            </w:pPr>
            <w:r>
              <w:rPr>
                <w:rFonts w:ascii="Calibri" w:eastAsia="Calibri" w:hAnsi="Calibri" w:cs="Calibri"/>
                <w:b/>
                <w:bCs/>
                <w:color w:val="auto"/>
                <w:w w:val="95"/>
                <w:sz w:val="10"/>
                <w:szCs w:val="10"/>
              </w:rPr>
              <w:t>Dividend Per Share</w:t>
            </w:r>
          </w:p>
        </w:tc>
      </w:tr>
      <w:tr>
        <w:tblPrEx>
          <w:tblInd w:w="0" w:type="dxa"/>
          <w:tblLayout w:type="fixed"/>
        </w:tblPrEx>
        <w:trPr>
          <w:trHeight w:val="23"/>
        </w:trPr>
        <w:tc>
          <w:tcPr>
            <w:tcW w:w="1200" w:type="dxa"/>
            <w:tcBorders>
              <w:bottom w:val="single" w:sz="8" w:space="0" w:color="auto"/>
            </w:tcBorders>
            <w:vAlign w:val="bottom"/>
          </w:tcPr>
          <w:p>
            <w:pPr>
              <w:spacing w:after="0"/>
              <w:rPr>
                <w:color w:val="auto"/>
                <w:sz w:val="2"/>
                <w:szCs w:val="2"/>
              </w:rPr>
            </w:pPr>
          </w:p>
        </w:tc>
        <w:tc>
          <w:tcPr>
            <w:tcW w:w="1200" w:type="dxa"/>
            <w:tcBorders>
              <w:bottom w:val="single" w:sz="8" w:space="0" w:color="auto"/>
            </w:tcBorders>
            <w:vAlign w:val="bottom"/>
          </w:tcPr>
          <w:p>
            <w:pPr>
              <w:spacing w:after="0"/>
              <w:rPr>
                <w:color w:val="auto"/>
                <w:sz w:val="2"/>
                <w:szCs w:val="2"/>
              </w:rPr>
            </w:pPr>
          </w:p>
        </w:tc>
        <w:tc>
          <w:tcPr>
            <w:tcW w:w="126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120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1280" w:type="dxa"/>
            <w:tcBorders>
              <w:bottom w:val="single" w:sz="8" w:space="0" w:color="auto"/>
            </w:tcBorders>
            <w:vAlign w:val="bottom"/>
          </w:tcPr>
          <w:p>
            <w:pPr>
              <w:spacing w:after="0"/>
              <w:rPr>
                <w:color w:val="auto"/>
                <w:sz w:val="2"/>
                <w:szCs w:val="2"/>
              </w:rPr>
            </w:pPr>
          </w:p>
        </w:tc>
        <w:tc>
          <w:tcPr>
            <w:tcW w:w="100" w:type="dxa"/>
            <w:tcBorders>
              <w:bottom w:val="single" w:sz="8" w:space="0" w:color="auto"/>
            </w:tcBorders>
            <w:vAlign w:val="bottom"/>
          </w:tcPr>
          <w:p>
            <w:pPr>
              <w:spacing w:after="0"/>
              <w:rPr>
                <w:color w:val="auto"/>
                <w:sz w:val="2"/>
                <w:szCs w:val="2"/>
              </w:rPr>
            </w:pPr>
          </w:p>
        </w:tc>
        <w:tc>
          <w:tcPr>
            <w:tcW w:w="1200" w:type="dxa"/>
            <w:tcBorders>
              <w:bottom w:val="single" w:sz="8" w:space="0" w:color="auto"/>
            </w:tcBorders>
            <w:vAlign w:val="bottom"/>
          </w:tcPr>
          <w:p>
            <w:pPr>
              <w:spacing w:after="0"/>
              <w:rPr>
                <w:color w:val="auto"/>
                <w:sz w:val="2"/>
                <w:szCs w:val="2"/>
              </w:rPr>
            </w:pPr>
          </w:p>
        </w:tc>
        <w:tc>
          <w:tcPr>
            <w:tcW w:w="1220" w:type="dxa"/>
            <w:tcBorders>
              <w:bottom w:val="single" w:sz="8" w:space="0" w:color="auto"/>
            </w:tcBorders>
            <w:vAlign w:val="bottom"/>
          </w:tcPr>
          <w:p>
            <w:pPr>
              <w:spacing w:after="0"/>
              <w:rPr>
                <w:color w:val="auto"/>
                <w:sz w:val="2"/>
                <w:szCs w:val="2"/>
              </w:rPr>
            </w:pPr>
          </w:p>
        </w:tc>
        <w:tc>
          <w:tcPr>
            <w:tcW w:w="12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1200" w:type="dxa"/>
            <w:shd w:val="clear" w:color="auto" w:fill="CCEEFF"/>
            <w:vAlign w:val="bottom"/>
          </w:tcPr>
          <w:p>
            <w:pPr>
              <w:spacing w:after="0" w:line="142" w:lineRule="exact"/>
              <w:ind w:right="2"/>
              <w:jc w:val="center"/>
              <w:rPr>
                <w:color w:val="auto"/>
                <w:sz w:val="20"/>
                <w:szCs w:val="20"/>
              </w:rPr>
            </w:pPr>
            <w:r>
              <w:rPr>
                <w:rFonts w:ascii="Calibri" w:eastAsia="Calibri" w:hAnsi="Calibri" w:cs="Calibri"/>
                <w:color w:val="auto"/>
                <w:sz w:val="12"/>
                <w:szCs w:val="12"/>
              </w:rPr>
              <w:t>10/30/24</w:t>
            </w:r>
          </w:p>
        </w:tc>
        <w:tc>
          <w:tcPr>
            <w:tcW w:w="1200" w:type="dxa"/>
            <w:shd w:val="clear" w:color="auto" w:fill="CCEEFF"/>
            <w:vAlign w:val="bottom"/>
          </w:tcPr>
          <w:p>
            <w:pPr>
              <w:spacing w:after="0" w:line="142" w:lineRule="exact"/>
              <w:jc w:val="center"/>
              <w:rPr>
                <w:color w:val="auto"/>
                <w:sz w:val="20"/>
                <w:szCs w:val="20"/>
              </w:rPr>
            </w:pPr>
            <w:r>
              <w:rPr>
                <w:rFonts w:ascii="Calibri" w:eastAsia="Calibri" w:hAnsi="Calibri" w:cs="Calibri"/>
                <w:color w:val="auto"/>
                <w:w w:val="96"/>
                <w:sz w:val="12"/>
                <w:szCs w:val="12"/>
              </w:rPr>
              <w:t>02/14/25</w:t>
            </w:r>
          </w:p>
        </w:tc>
        <w:tc>
          <w:tcPr>
            <w:tcW w:w="1260" w:type="dxa"/>
            <w:shd w:val="clear" w:color="auto" w:fill="CCEEFF"/>
            <w:vAlign w:val="bottom"/>
          </w:tcPr>
          <w:p>
            <w:pPr>
              <w:spacing w:after="0" w:line="142" w:lineRule="exact"/>
              <w:ind w:left="22"/>
              <w:jc w:val="center"/>
              <w:rPr>
                <w:color w:val="auto"/>
                <w:sz w:val="20"/>
                <w:szCs w:val="20"/>
              </w:rPr>
            </w:pPr>
            <w:r>
              <w:rPr>
                <w:rFonts w:ascii="Calibri" w:eastAsia="Calibri" w:hAnsi="Calibri" w:cs="Calibri"/>
                <w:color w:val="auto"/>
                <w:w w:val="94"/>
                <w:sz w:val="12"/>
                <w:szCs w:val="12"/>
              </w:rPr>
              <w:t>$1.64</w:t>
            </w:r>
          </w:p>
        </w:tc>
        <w:tc>
          <w:tcPr>
            <w:tcW w:w="100" w:type="dxa"/>
            <w:shd w:val="clear" w:color="auto" w:fill="CCEEFF"/>
            <w:vAlign w:val="bottom"/>
          </w:tcPr>
          <w:p>
            <w:pPr>
              <w:spacing w:after="0"/>
              <w:rPr>
                <w:color w:val="auto"/>
                <w:sz w:val="12"/>
                <w:szCs w:val="12"/>
              </w:rPr>
            </w:pPr>
          </w:p>
        </w:tc>
        <w:tc>
          <w:tcPr>
            <w:tcW w:w="1200" w:type="dxa"/>
            <w:shd w:val="clear" w:color="auto" w:fill="CCEEFF"/>
            <w:vAlign w:val="bottom"/>
          </w:tcPr>
          <w:p>
            <w:pPr>
              <w:spacing w:after="0" w:line="142" w:lineRule="exact"/>
              <w:jc w:val="center"/>
              <w:rPr>
                <w:color w:val="auto"/>
                <w:sz w:val="20"/>
                <w:szCs w:val="20"/>
              </w:rPr>
            </w:pPr>
            <w:r>
              <w:rPr>
                <w:rFonts w:ascii="Calibri" w:eastAsia="Calibri" w:hAnsi="Calibri" w:cs="Calibri"/>
                <w:color w:val="auto"/>
                <w:w w:val="96"/>
                <w:sz w:val="12"/>
                <w:szCs w:val="12"/>
              </w:rPr>
              <w:t>10/26/23</w:t>
            </w:r>
          </w:p>
        </w:tc>
        <w:tc>
          <w:tcPr>
            <w:tcW w:w="1220" w:type="dxa"/>
            <w:shd w:val="clear" w:color="auto" w:fill="CCEEFF"/>
            <w:vAlign w:val="bottom"/>
          </w:tcPr>
          <w:p>
            <w:pPr>
              <w:spacing w:after="0" w:line="142" w:lineRule="exact"/>
              <w:ind w:left="4"/>
              <w:jc w:val="center"/>
              <w:rPr>
                <w:color w:val="auto"/>
                <w:sz w:val="20"/>
                <w:szCs w:val="20"/>
              </w:rPr>
            </w:pPr>
            <w:r>
              <w:rPr>
                <w:rFonts w:ascii="Calibri" w:eastAsia="Calibri" w:hAnsi="Calibri" w:cs="Calibri"/>
                <w:color w:val="auto"/>
                <w:w w:val="96"/>
                <w:sz w:val="12"/>
                <w:szCs w:val="12"/>
              </w:rPr>
              <w:t>02/15/24</w:t>
            </w:r>
          </w:p>
        </w:tc>
        <w:tc>
          <w:tcPr>
            <w:tcW w:w="1280" w:type="dxa"/>
            <w:shd w:val="clear" w:color="auto" w:fill="CCEEFF"/>
            <w:vAlign w:val="bottom"/>
          </w:tcPr>
          <w:p>
            <w:pPr>
              <w:spacing w:after="0" w:line="142" w:lineRule="exact"/>
              <w:ind w:left="42"/>
              <w:jc w:val="center"/>
              <w:rPr>
                <w:color w:val="auto"/>
                <w:sz w:val="20"/>
                <w:szCs w:val="20"/>
              </w:rPr>
            </w:pPr>
            <w:r>
              <w:rPr>
                <w:rFonts w:ascii="Calibri" w:eastAsia="Calibri" w:hAnsi="Calibri" w:cs="Calibri"/>
                <w:color w:val="auto"/>
                <w:w w:val="94"/>
                <w:sz w:val="12"/>
                <w:szCs w:val="12"/>
              </w:rPr>
              <w:t>$1.55</w:t>
            </w:r>
          </w:p>
        </w:tc>
        <w:tc>
          <w:tcPr>
            <w:tcW w:w="100" w:type="dxa"/>
            <w:shd w:val="clear" w:color="auto" w:fill="CCEEFF"/>
            <w:vAlign w:val="bottom"/>
          </w:tcPr>
          <w:p>
            <w:pPr>
              <w:spacing w:after="0"/>
              <w:rPr>
                <w:color w:val="auto"/>
                <w:sz w:val="12"/>
                <w:szCs w:val="12"/>
              </w:rPr>
            </w:pPr>
          </w:p>
        </w:tc>
        <w:tc>
          <w:tcPr>
            <w:tcW w:w="1200" w:type="dxa"/>
            <w:shd w:val="clear" w:color="auto" w:fill="CCEEFF"/>
            <w:vAlign w:val="bottom"/>
          </w:tcPr>
          <w:p>
            <w:pPr>
              <w:spacing w:after="0" w:line="142" w:lineRule="exact"/>
              <w:jc w:val="center"/>
              <w:rPr>
                <w:color w:val="auto"/>
                <w:sz w:val="20"/>
                <w:szCs w:val="20"/>
              </w:rPr>
            </w:pPr>
            <w:r>
              <w:rPr>
                <w:rFonts w:ascii="Calibri" w:eastAsia="Calibri" w:hAnsi="Calibri" w:cs="Calibri"/>
                <w:color w:val="auto"/>
                <w:w w:val="96"/>
                <w:sz w:val="12"/>
                <w:szCs w:val="12"/>
              </w:rPr>
              <w:t>10/28/22</w:t>
            </w:r>
          </w:p>
        </w:tc>
        <w:tc>
          <w:tcPr>
            <w:tcW w:w="1220" w:type="dxa"/>
            <w:shd w:val="clear" w:color="auto" w:fill="CCEEFF"/>
            <w:vAlign w:val="bottom"/>
          </w:tcPr>
          <w:p>
            <w:pPr>
              <w:spacing w:after="0" w:line="142" w:lineRule="exact"/>
              <w:ind w:left="4"/>
              <w:jc w:val="center"/>
              <w:rPr>
                <w:color w:val="auto"/>
                <w:sz w:val="20"/>
                <w:szCs w:val="20"/>
              </w:rPr>
            </w:pPr>
            <w:r>
              <w:rPr>
                <w:rFonts w:ascii="Calibri" w:eastAsia="Calibri" w:hAnsi="Calibri" w:cs="Calibri"/>
                <w:color w:val="auto"/>
                <w:w w:val="96"/>
                <w:sz w:val="12"/>
                <w:szCs w:val="12"/>
              </w:rPr>
              <w:t>02/15/23</w:t>
            </w:r>
          </w:p>
        </w:tc>
        <w:tc>
          <w:tcPr>
            <w:tcW w:w="1280" w:type="dxa"/>
            <w:shd w:val="clear" w:color="auto" w:fill="CCEEFF"/>
            <w:vAlign w:val="bottom"/>
          </w:tcPr>
          <w:p>
            <w:pPr>
              <w:spacing w:after="0" w:line="142" w:lineRule="exact"/>
              <w:ind w:left="42"/>
              <w:jc w:val="center"/>
              <w:rPr>
                <w:color w:val="auto"/>
                <w:sz w:val="20"/>
                <w:szCs w:val="20"/>
              </w:rPr>
            </w:pPr>
            <w:r>
              <w:rPr>
                <w:rFonts w:ascii="Calibri" w:eastAsia="Calibri" w:hAnsi="Calibri" w:cs="Calibri"/>
                <w:color w:val="auto"/>
                <w:w w:val="94"/>
                <w:sz w:val="12"/>
                <w:szCs w:val="12"/>
              </w:rPr>
              <w:t>$1.48</w:t>
            </w:r>
          </w:p>
        </w:tc>
      </w:tr>
      <w:tr>
        <w:tblPrEx>
          <w:tblInd w:w="0" w:type="dxa"/>
          <w:tblLayout w:type="fixed"/>
        </w:tblPrEx>
        <w:trPr>
          <w:trHeight w:val="147"/>
        </w:trPr>
        <w:tc>
          <w:tcPr>
            <w:tcW w:w="1200" w:type="dxa"/>
            <w:vAlign w:val="bottom"/>
          </w:tcPr>
          <w:p>
            <w:pPr>
              <w:spacing w:after="0" w:line="142" w:lineRule="exact"/>
              <w:ind w:right="2"/>
              <w:jc w:val="center"/>
              <w:rPr>
                <w:color w:val="auto"/>
                <w:sz w:val="20"/>
                <w:szCs w:val="20"/>
              </w:rPr>
            </w:pPr>
            <w:r>
              <w:rPr>
                <w:rFonts w:ascii="Calibri" w:eastAsia="Calibri" w:hAnsi="Calibri" w:cs="Calibri"/>
                <w:color w:val="auto"/>
                <w:sz w:val="12"/>
                <w:szCs w:val="12"/>
              </w:rPr>
              <w:t>09/06/24</w:t>
            </w:r>
          </w:p>
        </w:tc>
        <w:tc>
          <w:tcPr>
            <w:tcW w:w="1200" w:type="dxa"/>
            <w:vAlign w:val="bottom"/>
          </w:tcPr>
          <w:p>
            <w:pPr>
              <w:spacing w:after="0" w:line="142" w:lineRule="exact"/>
              <w:jc w:val="center"/>
              <w:rPr>
                <w:color w:val="auto"/>
                <w:sz w:val="20"/>
                <w:szCs w:val="20"/>
              </w:rPr>
            </w:pPr>
            <w:r>
              <w:rPr>
                <w:rFonts w:ascii="Calibri" w:eastAsia="Calibri" w:hAnsi="Calibri" w:cs="Calibri"/>
                <w:color w:val="auto"/>
                <w:w w:val="96"/>
                <w:sz w:val="12"/>
                <w:szCs w:val="12"/>
              </w:rPr>
              <w:t>11/15/24</w:t>
            </w:r>
          </w:p>
        </w:tc>
        <w:tc>
          <w:tcPr>
            <w:tcW w:w="1260" w:type="dxa"/>
            <w:vAlign w:val="bottom"/>
          </w:tcPr>
          <w:p>
            <w:pPr>
              <w:spacing w:after="0" w:line="142" w:lineRule="exact"/>
              <w:ind w:left="22"/>
              <w:jc w:val="center"/>
              <w:rPr>
                <w:color w:val="auto"/>
                <w:sz w:val="20"/>
                <w:szCs w:val="20"/>
              </w:rPr>
            </w:pPr>
            <w:r>
              <w:rPr>
                <w:rFonts w:ascii="Calibri" w:eastAsia="Calibri" w:hAnsi="Calibri" w:cs="Calibri"/>
                <w:color w:val="auto"/>
                <w:w w:val="94"/>
                <w:sz w:val="12"/>
                <w:szCs w:val="12"/>
              </w:rPr>
              <w:t>$1.55</w:t>
            </w:r>
          </w:p>
        </w:tc>
        <w:tc>
          <w:tcPr>
            <w:tcW w:w="100" w:type="dxa"/>
            <w:vAlign w:val="bottom"/>
          </w:tcPr>
          <w:p>
            <w:pPr>
              <w:spacing w:after="0"/>
              <w:rPr>
                <w:color w:val="auto"/>
                <w:sz w:val="12"/>
                <w:szCs w:val="12"/>
              </w:rPr>
            </w:pPr>
          </w:p>
        </w:tc>
        <w:tc>
          <w:tcPr>
            <w:tcW w:w="1200" w:type="dxa"/>
            <w:vAlign w:val="bottom"/>
          </w:tcPr>
          <w:p>
            <w:pPr>
              <w:spacing w:after="0" w:line="142" w:lineRule="exact"/>
              <w:jc w:val="center"/>
              <w:rPr>
                <w:color w:val="auto"/>
                <w:sz w:val="20"/>
                <w:szCs w:val="20"/>
              </w:rPr>
            </w:pPr>
            <w:r>
              <w:rPr>
                <w:rFonts w:ascii="Calibri" w:eastAsia="Calibri" w:hAnsi="Calibri" w:cs="Calibri"/>
                <w:color w:val="auto"/>
                <w:w w:val="96"/>
                <w:sz w:val="12"/>
                <w:szCs w:val="12"/>
              </w:rPr>
              <w:t>09/08/23</w:t>
            </w:r>
          </w:p>
        </w:tc>
        <w:tc>
          <w:tcPr>
            <w:tcW w:w="1220" w:type="dxa"/>
            <w:vAlign w:val="bottom"/>
          </w:tcPr>
          <w:p>
            <w:pPr>
              <w:spacing w:after="0" w:line="142" w:lineRule="exact"/>
              <w:ind w:left="4"/>
              <w:jc w:val="center"/>
              <w:rPr>
                <w:color w:val="auto"/>
                <w:sz w:val="20"/>
                <w:szCs w:val="20"/>
              </w:rPr>
            </w:pPr>
            <w:r>
              <w:rPr>
                <w:rFonts w:ascii="Calibri" w:eastAsia="Calibri" w:hAnsi="Calibri" w:cs="Calibri"/>
                <w:color w:val="auto"/>
                <w:w w:val="96"/>
                <w:sz w:val="12"/>
                <w:szCs w:val="12"/>
              </w:rPr>
              <w:t>11/15/23</w:t>
            </w:r>
          </w:p>
        </w:tc>
        <w:tc>
          <w:tcPr>
            <w:tcW w:w="1280" w:type="dxa"/>
            <w:vAlign w:val="bottom"/>
          </w:tcPr>
          <w:p>
            <w:pPr>
              <w:spacing w:after="0" w:line="142" w:lineRule="exact"/>
              <w:ind w:left="42"/>
              <w:jc w:val="center"/>
              <w:rPr>
                <w:color w:val="auto"/>
                <w:sz w:val="20"/>
                <w:szCs w:val="20"/>
              </w:rPr>
            </w:pPr>
            <w:r>
              <w:rPr>
                <w:rFonts w:ascii="Calibri" w:eastAsia="Calibri" w:hAnsi="Calibri" w:cs="Calibri"/>
                <w:color w:val="auto"/>
                <w:w w:val="94"/>
                <w:sz w:val="12"/>
                <w:szCs w:val="12"/>
              </w:rPr>
              <w:t>$1.48</w:t>
            </w:r>
          </w:p>
        </w:tc>
        <w:tc>
          <w:tcPr>
            <w:tcW w:w="100" w:type="dxa"/>
            <w:vAlign w:val="bottom"/>
          </w:tcPr>
          <w:p>
            <w:pPr>
              <w:spacing w:after="0"/>
              <w:rPr>
                <w:color w:val="auto"/>
                <w:sz w:val="12"/>
                <w:szCs w:val="12"/>
              </w:rPr>
            </w:pPr>
          </w:p>
        </w:tc>
        <w:tc>
          <w:tcPr>
            <w:tcW w:w="1200" w:type="dxa"/>
            <w:vAlign w:val="bottom"/>
          </w:tcPr>
          <w:p>
            <w:pPr>
              <w:spacing w:after="0" w:line="142" w:lineRule="exact"/>
              <w:jc w:val="center"/>
              <w:rPr>
                <w:color w:val="auto"/>
                <w:sz w:val="20"/>
                <w:szCs w:val="20"/>
              </w:rPr>
            </w:pPr>
            <w:r>
              <w:rPr>
                <w:rFonts w:ascii="Calibri" w:eastAsia="Calibri" w:hAnsi="Calibri" w:cs="Calibri"/>
                <w:color w:val="auto"/>
                <w:w w:val="96"/>
                <w:sz w:val="12"/>
                <w:szCs w:val="12"/>
              </w:rPr>
              <w:t>09/09/22</w:t>
            </w:r>
          </w:p>
        </w:tc>
        <w:tc>
          <w:tcPr>
            <w:tcW w:w="1220" w:type="dxa"/>
            <w:vAlign w:val="bottom"/>
          </w:tcPr>
          <w:p>
            <w:pPr>
              <w:spacing w:after="0" w:line="142" w:lineRule="exact"/>
              <w:ind w:left="4"/>
              <w:jc w:val="center"/>
              <w:rPr>
                <w:color w:val="auto"/>
                <w:sz w:val="20"/>
                <w:szCs w:val="20"/>
              </w:rPr>
            </w:pPr>
            <w:r>
              <w:rPr>
                <w:rFonts w:ascii="Calibri" w:eastAsia="Calibri" w:hAnsi="Calibri" w:cs="Calibri"/>
                <w:color w:val="auto"/>
                <w:w w:val="96"/>
                <w:sz w:val="12"/>
                <w:szCs w:val="12"/>
              </w:rPr>
              <w:t>11/15/22</w:t>
            </w:r>
          </w:p>
        </w:tc>
        <w:tc>
          <w:tcPr>
            <w:tcW w:w="1280" w:type="dxa"/>
            <w:vAlign w:val="bottom"/>
          </w:tcPr>
          <w:p>
            <w:pPr>
              <w:spacing w:after="0" w:line="142" w:lineRule="exact"/>
              <w:ind w:left="42"/>
              <w:jc w:val="center"/>
              <w:rPr>
                <w:color w:val="auto"/>
                <w:sz w:val="20"/>
                <w:szCs w:val="20"/>
              </w:rPr>
            </w:pPr>
            <w:r>
              <w:rPr>
                <w:rFonts w:ascii="Calibri" w:eastAsia="Calibri" w:hAnsi="Calibri" w:cs="Calibri"/>
                <w:color w:val="auto"/>
                <w:w w:val="94"/>
                <w:sz w:val="12"/>
                <w:szCs w:val="12"/>
              </w:rPr>
              <w:t>$1.41</w:t>
            </w:r>
          </w:p>
        </w:tc>
      </w:tr>
      <w:tr>
        <w:tblPrEx>
          <w:tblInd w:w="0" w:type="dxa"/>
          <w:tblLayout w:type="fixed"/>
        </w:tblPrEx>
        <w:trPr>
          <w:trHeight w:val="159"/>
        </w:trPr>
        <w:tc>
          <w:tcPr>
            <w:tcW w:w="1200" w:type="dxa"/>
            <w:shd w:val="clear" w:color="auto" w:fill="CCEEFF"/>
            <w:vAlign w:val="bottom"/>
          </w:tcPr>
          <w:p>
            <w:pPr>
              <w:spacing w:after="0"/>
              <w:ind w:right="2"/>
              <w:jc w:val="center"/>
              <w:rPr>
                <w:color w:val="auto"/>
                <w:sz w:val="20"/>
                <w:szCs w:val="20"/>
              </w:rPr>
            </w:pPr>
            <w:r>
              <w:rPr>
                <w:rFonts w:ascii="Calibri" w:eastAsia="Calibri" w:hAnsi="Calibri" w:cs="Calibri"/>
                <w:color w:val="auto"/>
                <w:sz w:val="12"/>
                <w:szCs w:val="12"/>
              </w:rPr>
              <w:t>06/21/24</w:t>
            </w:r>
          </w:p>
        </w:tc>
        <w:tc>
          <w:tcPr>
            <w:tcW w:w="1200" w:type="dxa"/>
            <w:shd w:val="clear" w:color="auto" w:fill="CCEEFF"/>
            <w:vAlign w:val="bottom"/>
          </w:tcPr>
          <w:p>
            <w:pPr>
              <w:spacing w:after="0"/>
              <w:jc w:val="center"/>
              <w:rPr>
                <w:color w:val="auto"/>
                <w:sz w:val="20"/>
                <w:szCs w:val="20"/>
              </w:rPr>
            </w:pPr>
            <w:r>
              <w:rPr>
                <w:rFonts w:ascii="Calibri" w:eastAsia="Calibri" w:hAnsi="Calibri" w:cs="Calibri"/>
                <w:color w:val="auto"/>
                <w:w w:val="96"/>
                <w:sz w:val="12"/>
                <w:szCs w:val="12"/>
              </w:rPr>
              <w:t>08/15/24</w:t>
            </w:r>
          </w:p>
        </w:tc>
        <w:tc>
          <w:tcPr>
            <w:tcW w:w="1260" w:type="dxa"/>
            <w:shd w:val="clear" w:color="auto" w:fill="CCEEFF"/>
            <w:vAlign w:val="bottom"/>
          </w:tcPr>
          <w:p>
            <w:pPr>
              <w:spacing w:after="0"/>
              <w:ind w:left="22"/>
              <w:jc w:val="center"/>
              <w:rPr>
                <w:color w:val="auto"/>
                <w:sz w:val="20"/>
                <w:szCs w:val="20"/>
              </w:rPr>
            </w:pPr>
            <w:r>
              <w:rPr>
                <w:rFonts w:ascii="Calibri" w:eastAsia="Calibri" w:hAnsi="Calibri" w:cs="Calibri"/>
                <w:color w:val="auto"/>
                <w:w w:val="94"/>
                <w:sz w:val="12"/>
                <w:szCs w:val="12"/>
              </w:rPr>
              <w:t>$1.55</w:t>
            </w:r>
          </w:p>
        </w:tc>
        <w:tc>
          <w:tcPr>
            <w:tcW w:w="100" w:type="dxa"/>
            <w:shd w:val="clear" w:color="auto" w:fill="CCEEFF"/>
            <w:vAlign w:val="bottom"/>
          </w:tcPr>
          <w:p>
            <w:pPr>
              <w:spacing w:after="0"/>
              <w:rPr>
                <w:color w:val="auto"/>
                <w:sz w:val="13"/>
                <w:szCs w:val="13"/>
              </w:rPr>
            </w:pPr>
          </w:p>
        </w:tc>
        <w:tc>
          <w:tcPr>
            <w:tcW w:w="1200" w:type="dxa"/>
            <w:shd w:val="clear" w:color="auto" w:fill="CCEEFF"/>
            <w:vAlign w:val="bottom"/>
          </w:tcPr>
          <w:p>
            <w:pPr>
              <w:spacing w:after="0"/>
              <w:jc w:val="center"/>
              <w:rPr>
                <w:color w:val="auto"/>
                <w:sz w:val="20"/>
                <w:szCs w:val="20"/>
              </w:rPr>
            </w:pPr>
            <w:r>
              <w:rPr>
                <w:rFonts w:ascii="Calibri" w:eastAsia="Calibri" w:hAnsi="Calibri" w:cs="Calibri"/>
                <w:color w:val="auto"/>
                <w:w w:val="96"/>
                <w:sz w:val="12"/>
                <w:szCs w:val="12"/>
              </w:rPr>
              <w:t>06/22/23</w:t>
            </w:r>
          </w:p>
        </w:tc>
        <w:tc>
          <w:tcPr>
            <w:tcW w:w="1220" w:type="dxa"/>
            <w:shd w:val="clear" w:color="auto" w:fill="CCEEFF"/>
            <w:vAlign w:val="bottom"/>
          </w:tcPr>
          <w:p>
            <w:pPr>
              <w:spacing w:after="0"/>
              <w:ind w:left="4"/>
              <w:jc w:val="center"/>
              <w:rPr>
                <w:color w:val="auto"/>
                <w:sz w:val="20"/>
                <w:szCs w:val="20"/>
              </w:rPr>
            </w:pPr>
            <w:r>
              <w:rPr>
                <w:rFonts w:ascii="Calibri" w:eastAsia="Calibri" w:hAnsi="Calibri" w:cs="Calibri"/>
                <w:color w:val="auto"/>
                <w:w w:val="96"/>
                <w:sz w:val="12"/>
                <w:szCs w:val="12"/>
              </w:rPr>
              <w:t>08/15/23</w:t>
            </w:r>
          </w:p>
        </w:tc>
        <w:tc>
          <w:tcPr>
            <w:tcW w:w="1280" w:type="dxa"/>
            <w:shd w:val="clear" w:color="auto" w:fill="CCEEFF"/>
            <w:vAlign w:val="bottom"/>
          </w:tcPr>
          <w:p>
            <w:pPr>
              <w:spacing w:after="0"/>
              <w:ind w:left="42"/>
              <w:jc w:val="center"/>
              <w:rPr>
                <w:color w:val="auto"/>
                <w:sz w:val="20"/>
                <w:szCs w:val="20"/>
              </w:rPr>
            </w:pPr>
            <w:r>
              <w:rPr>
                <w:rFonts w:ascii="Calibri" w:eastAsia="Calibri" w:hAnsi="Calibri" w:cs="Calibri"/>
                <w:color w:val="auto"/>
                <w:w w:val="94"/>
                <w:sz w:val="12"/>
                <w:szCs w:val="12"/>
              </w:rPr>
              <w:t>$1.48</w:t>
            </w:r>
          </w:p>
        </w:tc>
        <w:tc>
          <w:tcPr>
            <w:tcW w:w="100" w:type="dxa"/>
            <w:shd w:val="clear" w:color="auto" w:fill="CCEEFF"/>
            <w:vAlign w:val="bottom"/>
          </w:tcPr>
          <w:p>
            <w:pPr>
              <w:spacing w:after="0"/>
              <w:rPr>
                <w:color w:val="auto"/>
                <w:sz w:val="13"/>
                <w:szCs w:val="13"/>
              </w:rPr>
            </w:pPr>
          </w:p>
        </w:tc>
        <w:tc>
          <w:tcPr>
            <w:tcW w:w="1200" w:type="dxa"/>
            <w:shd w:val="clear" w:color="auto" w:fill="CCEEFF"/>
            <w:vAlign w:val="bottom"/>
          </w:tcPr>
          <w:p>
            <w:pPr>
              <w:spacing w:after="0"/>
              <w:jc w:val="center"/>
              <w:rPr>
                <w:color w:val="auto"/>
                <w:sz w:val="20"/>
                <w:szCs w:val="20"/>
              </w:rPr>
            </w:pPr>
            <w:r>
              <w:rPr>
                <w:rFonts w:ascii="Calibri" w:eastAsia="Calibri" w:hAnsi="Calibri" w:cs="Calibri"/>
                <w:color w:val="auto"/>
                <w:w w:val="96"/>
                <w:sz w:val="12"/>
                <w:szCs w:val="12"/>
              </w:rPr>
              <w:t>06/23/22</w:t>
            </w:r>
          </w:p>
        </w:tc>
        <w:tc>
          <w:tcPr>
            <w:tcW w:w="1220" w:type="dxa"/>
            <w:shd w:val="clear" w:color="auto" w:fill="CCEEFF"/>
            <w:vAlign w:val="bottom"/>
          </w:tcPr>
          <w:p>
            <w:pPr>
              <w:spacing w:after="0"/>
              <w:ind w:left="4"/>
              <w:jc w:val="center"/>
              <w:rPr>
                <w:color w:val="auto"/>
                <w:sz w:val="20"/>
                <w:szCs w:val="20"/>
              </w:rPr>
            </w:pPr>
            <w:r>
              <w:rPr>
                <w:rFonts w:ascii="Calibri" w:eastAsia="Calibri" w:hAnsi="Calibri" w:cs="Calibri"/>
                <w:color w:val="auto"/>
                <w:w w:val="96"/>
                <w:sz w:val="12"/>
                <w:szCs w:val="12"/>
              </w:rPr>
              <w:t>08/15/22</w:t>
            </w:r>
          </w:p>
        </w:tc>
        <w:tc>
          <w:tcPr>
            <w:tcW w:w="1280" w:type="dxa"/>
            <w:shd w:val="clear" w:color="auto" w:fill="CCEEFF"/>
            <w:vAlign w:val="bottom"/>
          </w:tcPr>
          <w:p>
            <w:pPr>
              <w:spacing w:after="0"/>
              <w:ind w:left="42"/>
              <w:jc w:val="center"/>
              <w:rPr>
                <w:color w:val="auto"/>
                <w:sz w:val="20"/>
                <w:szCs w:val="20"/>
              </w:rPr>
            </w:pPr>
            <w:r>
              <w:rPr>
                <w:rFonts w:ascii="Calibri" w:eastAsia="Calibri" w:hAnsi="Calibri" w:cs="Calibri"/>
                <w:color w:val="auto"/>
                <w:w w:val="94"/>
                <w:sz w:val="12"/>
                <w:szCs w:val="12"/>
              </w:rPr>
              <w:t>$1.41</w:t>
            </w:r>
          </w:p>
        </w:tc>
      </w:tr>
      <w:tr>
        <w:tblPrEx>
          <w:tblInd w:w="0" w:type="dxa"/>
          <w:tblLayout w:type="fixed"/>
        </w:tblPrEx>
        <w:trPr>
          <w:trHeight w:val="147"/>
        </w:trPr>
        <w:tc>
          <w:tcPr>
            <w:tcW w:w="1200" w:type="dxa"/>
            <w:tcBorders>
              <w:bottom w:val="single" w:sz="8" w:space="0" w:color="auto"/>
            </w:tcBorders>
            <w:vAlign w:val="bottom"/>
          </w:tcPr>
          <w:p>
            <w:pPr>
              <w:spacing w:after="0" w:line="142" w:lineRule="exact"/>
              <w:ind w:right="2"/>
              <w:jc w:val="center"/>
              <w:rPr>
                <w:color w:val="auto"/>
                <w:sz w:val="20"/>
                <w:szCs w:val="20"/>
              </w:rPr>
            </w:pPr>
            <w:r>
              <w:rPr>
                <w:rFonts w:ascii="Calibri" w:eastAsia="Calibri" w:hAnsi="Calibri" w:cs="Calibri"/>
                <w:color w:val="auto"/>
                <w:sz w:val="12"/>
                <w:szCs w:val="12"/>
              </w:rPr>
              <w:t>02/15/24</w:t>
            </w:r>
          </w:p>
        </w:tc>
        <w:tc>
          <w:tcPr>
            <w:tcW w:w="1200" w:type="dxa"/>
            <w:tcBorders>
              <w:bottom w:val="single" w:sz="8" w:space="0" w:color="auto"/>
            </w:tcBorders>
            <w:vAlign w:val="bottom"/>
          </w:tcPr>
          <w:p>
            <w:pPr>
              <w:spacing w:after="0" w:line="142" w:lineRule="exact"/>
              <w:jc w:val="center"/>
              <w:rPr>
                <w:color w:val="auto"/>
                <w:sz w:val="20"/>
                <w:szCs w:val="20"/>
              </w:rPr>
            </w:pPr>
            <w:r>
              <w:rPr>
                <w:rFonts w:ascii="Calibri" w:eastAsia="Calibri" w:hAnsi="Calibri" w:cs="Calibri"/>
                <w:color w:val="auto"/>
                <w:w w:val="96"/>
                <w:sz w:val="12"/>
                <w:szCs w:val="12"/>
              </w:rPr>
              <w:t>05/15/24</w:t>
            </w:r>
          </w:p>
        </w:tc>
        <w:tc>
          <w:tcPr>
            <w:tcW w:w="1260" w:type="dxa"/>
            <w:tcBorders>
              <w:bottom w:val="single" w:sz="8" w:space="0" w:color="auto"/>
            </w:tcBorders>
            <w:vAlign w:val="bottom"/>
          </w:tcPr>
          <w:p>
            <w:pPr>
              <w:spacing w:after="0" w:line="142" w:lineRule="exact"/>
              <w:ind w:left="22"/>
              <w:jc w:val="center"/>
              <w:rPr>
                <w:color w:val="auto"/>
                <w:sz w:val="20"/>
                <w:szCs w:val="20"/>
              </w:rPr>
            </w:pPr>
            <w:r>
              <w:rPr>
                <w:rFonts w:ascii="Calibri" w:eastAsia="Calibri" w:hAnsi="Calibri" w:cs="Calibri"/>
                <w:color w:val="auto"/>
                <w:w w:val="94"/>
                <w:sz w:val="12"/>
                <w:szCs w:val="12"/>
              </w:rPr>
              <w:t>$1.55</w:t>
            </w:r>
          </w:p>
        </w:tc>
        <w:tc>
          <w:tcPr>
            <w:tcW w:w="100" w:type="dxa"/>
            <w:tcBorders>
              <w:bottom w:val="single" w:sz="8" w:space="0" w:color="auto"/>
            </w:tcBorders>
            <w:vAlign w:val="bottom"/>
          </w:tcPr>
          <w:p>
            <w:pPr>
              <w:spacing w:after="0"/>
              <w:rPr>
                <w:color w:val="auto"/>
                <w:sz w:val="12"/>
                <w:szCs w:val="12"/>
              </w:rPr>
            </w:pPr>
          </w:p>
        </w:tc>
        <w:tc>
          <w:tcPr>
            <w:tcW w:w="1200" w:type="dxa"/>
            <w:tcBorders>
              <w:bottom w:val="single" w:sz="8" w:space="0" w:color="auto"/>
            </w:tcBorders>
            <w:vAlign w:val="bottom"/>
          </w:tcPr>
          <w:p>
            <w:pPr>
              <w:spacing w:after="0" w:line="142" w:lineRule="exact"/>
              <w:jc w:val="center"/>
              <w:rPr>
                <w:color w:val="auto"/>
                <w:sz w:val="20"/>
                <w:szCs w:val="20"/>
              </w:rPr>
            </w:pPr>
            <w:r>
              <w:rPr>
                <w:rFonts w:ascii="Calibri" w:eastAsia="Calibri" w:hAnsi="Calibri" w:cs="Calibri"/>
                <w:color w:val="auto"/>
                <w:w w:val="96"/>
                <w:sz w:val="12"/>
                <w:szCs w:val="12"/>
              </w:rPr>
              <w:t>02/16/23</w:t>
            </w:r>
          </w:p>
        </w:tc>
        <w:tc>
          <w:tcPr>
            <w:tcW w:w="1220" w:type="dxa"/>
            <w:tcBorders>
              <w:bottom w:val="single" w:sz="8" w:space="0" w:color="auto"/>
            </w:tcBorders>
            <w:vAlign w:val="bottom"/>
          </w:tcPr>
          <w:p>
            <w:pPr>
              <w:spacing w:after="0" w:line="142" w:lineRule="exact"/>
              <w:ind w:left="4"/>
              <w:jc w:val="center"/>
              <w:rPr>
                <w:color w:val="auto"/>
                <w:sz w:val="20"/>
                <w:szCs w:val="20"/>
              </w:rPr>
            </w:pPr>
            <w:r>
              <w:rPr>
                <w:rFonts w:ascii="Calibri" w:eastAsia="Calibri" w:hAnsi="Calibri" w:cs="Calibri"/>
                <w:color w:val="auto"/>
                <w:w w:val="96"/>
                <w:sz w:val="12"/>
                <w:szCs w:val="12"/>
              </w:rPr>
              <w:t>05/15/23</w:t>
            </w:r>
          </w:p>
        </w:tc>
        <w:tc>
          <w:tcPr>
            <w:tcW w:w="1280" w:type="dxa"/>
            <w:tcBorders>
              <w:bottom w:val="single" w:sz="8" w:space="0" w:color="auto"/>
            </w:tcBorders>
            <w:vAlign w:val="bottom"/>
          </w:tcPr>
          <w:p>
            <w:pPr>
              <w:spacing w:after="0" w:line="142" w:lineRule="exact"/>
              <w:ind w:left="42"/>
              <w:jc w:val="center"/>
              <w:rPr>
                <w:color w:val="auto"/>
                <w:sz w:val="20"/>
                <w:szCs w:val="20"/>
              </w:rPr>
            </w:pPr>
            <w:r>
              <w:rPr>
                <w:rFonts w:ascii="Calibri" w:eastAsia="Calibri" w:hAnsi="Calibri" w:cs="Calibri"/>
                <w:color w:val="auto"/>
                <w:w w:val="94"/>
                <w:sz w:val="12"/>
                <w:szCs w:val="12"/>
              </w:rPr>
              <w:t>$1.48</w:t>
            </w:r>
          </w:p>
        </w:tc>
        <w:tc>
          <w:tcPr>
            <w:tcW w:w="100" w:type="dxa"/>
            <w:tcBorders>
              <w:bottom w:val="single" w:sz="8" w:space="0" w:color="auto"/>
            </w:tcBorders>
            <w:vAlign w:val="bottom"/>
          </w:tcPr>
          <w:p>
            <w:pPr>
              <w:spacing w:after="0"/>
              <w:rPr>
                <w:color w:val="auto"/>
                <w:sz w:val="12"/>
                <w:szCs w:val="12"/>
              </w:rPr>
            </w:pPr>
          </w:p>
        </w:tc>
        <w:tc>
          <w:tcPr>
            <w:tcW w:w="1200" w:type="dxa"/>
            <w:tcBorders>
              <w:bottom w:val="single" w:sz="8" w:space="0" w:color="auto"/>
            </w:tcBorders>
            <w:vAlign w:val="bottom"/>
          </w:tcPr>
          <w:p>
            <w:pPr>
              <w:spacing w:after="0" w:line="142" w:lineRule="exact"/>
              <w:jc w:val="center"/>
              <w:rPr>
                <w:color w:val="auto"/>
                <w:sz w:val="20"/>
                <w:szCs w:val="20"/>
              </w:rPr>
            </w:pPr>
            <w:r>
              <w:rPr>
                <w:rFonts w:ascii="Calibri" w:eastAsia="Calibri" w:hAnsi="Calibri" w:cs="Calibri"/>
                <w:color w:val="auto"/>
                <w:w w:val="96"/>
                <w:sz w:val="12"/>
                <w:szCs w:val="12"/>
              </w:rPr>
              <w:t>02/17/22</w:t>
            </w:r>
          </w:p>
        </w:tc>
        <w:tc>
          <w:tcPr>
            <w:tcW w:w="1220" w:type="dxa"/>
            <w:tcBorders>
              <w:bottom w:val="single" w:sz="8" w:space="0" w:color="auto"/>
            </w:tcBorders>
            <w:vAlign w:val="bottom"/>
          </w:tcPr>
          <w:p>
            <w:pPr>
              <w:spacing w:after="0" w:line="142" w:lineRule="exact"/>
              <w:ind w:left="4"/>
              <w:jc w:val="center"/>
              <w:rPr>
                <w:color w:val="auto"/>
                <w:sz w:val="20"/>
                <w:szCs w:val="20"/>
              </w:rPr>
            </w:pPr>
            <w:r>
              <w:rPr>
                <w:rFonts w:ascii="Calibri" w:eastAsia="Calibri" w:hAnsi="Calibri" w:cs="Calibri"/>
                <w:color w:val="auto"/>
                <w:w w:val="96"/>
                <w:sz w:val="12"/>
                <w:szCs w:val="12"/>
              </w:rPr>
              <w:t>05/16/22</w:t>
            </w:r>
          </w:p>
        </w:tc>
        <w:tc>
          <w:tcPr>
            <w:tcW w:w="1280" w:type="dxa"/>
            <w:tcBorders>
              <w:bottom w:val="single" w:sz="8" w:space="0" w:color="auto"/>
            </w:tcBorders>
            <w:vAlign w:val="bottom"/>
          </w:tcPr>
          <w:p>
            <w:pPr>
              <w:spacing w:after="0" w:line="142" w:lineRule="exact"/>
              <w:ind w:left="42"/>
              <w:jc w:val="center"/>
              <w:rPr>
                <w:color w:val="auto"/>
                <w:sz w:val="20"/>
                <w:szCs w:val="20"/>
              </w:rPr>
            </w:pPr>
            <w:r>
              <w:rPr>
                <w:rFonts w:ascii="Calibri" w:eastAsia="Calibri" w:hAnsi="Calibri" w:cs="Calibri"/>
                <w:color w:val="auto"/>
                <w:w w:val="94"/>
                <w:sz w:val="12"/>
                <w:szCs w:val="12"/>
              </w:rPr>
              <w:t>$1.41</w:t>
            </w:r>
          </w:p>
        </w:tc>
      </w:tr>
    </w:tbl>
    <w:p>
      <w:pPr>
        <w:spacing w:after="0" w:line="161"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Stock Repurchase Program</w:t>
      </w:r>
    </w:p>
    <w:p>
      <w:pPr>
        <w:spacing w:after="0" w:line="101" w:lineRule="exact"/>
        <w:rPr>
          <w:color w:val="auto"/>
          <w:sz w:val="20"/>
          <w:szCs w:val="20"/>
        </w:rPr>
      </w:pPr>
    </w:p>
    <w:p>
      <w:pPr>
        <w:spacing w:after="0" w:line="234" w:lineRule="auto"/>
        <w:ind w:right="40" w:firstLine="297"/>
        <w:jc w:val="both"/>
        <w:rPr>
          <w:color w:val="auto"/>
          <w:sz w:val="20"/>
          <w:szCs w:val="20"/>
        </w:rPr>
      </w:pPr>
      <w:r>
        <w:rPr>
          <w:rFonts w:ascii="Calibri" w:eastAsia="Calibri" w:hAnsi="Calibri" w:cs="Calibri"/>
          <w:color w:val="auto"/>
          <w:sz w:val="12"/>
          <w:szCs w:val="12"/>
        </w:rPr>
        <w:t>The company's stock repurchase authorizaton permits purchases of AbbVie shares from tme to tme in open-market or private transactons at management’s discreton. The program has no tme limit and can be discontnued at any tme. Shares repurchased under this program are recorded at acquisiton cost, including related expenses and are available for general corporate purposes.</w:t>
      </w:r>
    </w:p>
    <w:p>
      <w:pPr>
        <w:spacing w:after="0" w:line="92" w:lineRule="exact"/>
        <w:rPr>
          <w:color w:val="auto"/>
          <w:sz w:val="20"/>
          <w:szCs w:val="20"/>
        </w:rPr>
      </w:pPr>
    </w:p>
    <w:p>
      <w:pPr>
        <w:spacing w:after="0" w:line="234" w:lineRule="auto"/>
        <w:ind w:right="20" w:firstLine="297"/>
        <w:jc w:val="both"/>
        <w:rPr>
          <w:color w:val="auto"/>
          <w:sz w:val="20"/>
          <w:szCs w:val="20"/>
        </w:rPr>
      </w:pPr>
      <w:r>
        <w:rPr>
          <w:rFonts w:ascii="Calibri" w:eastAsia="Calibri" w:hAnsi="Calibri" w:cs="Calibri"/>
          <w:color w:val="auto"/>
          <w:sz w:val="12"/>
          <w:szCs w:val="12"/>
        </w:rPr>
        <w:t>On February 16, 2023, AbbVie's board of directors authorized a $5.0 billion increase to the existng stock repurchase authorizaton. AbbVie repurchased 7 million shares for $1.3 billion in 2024, 10 million shares for $1.6 billion in 2023 and 8 million shares for $1.1 billion in 2022. AbbVie's remaining stock repurchase authorizaton was $3.5 billion as of December 31, 2024.</w:t>
      </w:r>
    </w:p>
    <w:p>
      <w:pPr>
        <w:spacing w:after="0" w:line="20" w:lineRule="exact"/>
        <w:rPr>
          <w:color w:val="auto"/>
          <w:sz w:val="20"/>
          <w:szCs w:val="20"/>
        </w:rPr>
      </w:pPr>
      <w:r>
        <w:rPr>
          <w:color w:val="auto"/>
          <w:sz w:val="20"/>
          <w:szCs w:val="20"/>
        </w:rPr>
        <w:drawing>
          <wp:anchor simplePos="0" relativeHeight="251886592" behindDoc="1" locked="0" layoutInCell="0" allowOverlap="1">
            <wp:simplePos x="0" y="0"/>
            <wp:positionH relativeFrom="column">
              <wp:posOffset>6475730</wp:posOffset>
            </wp:positionH>
            <wp:positionV relativeFrom="paragraph">
              <wp:posOffset>250825</wp:posOffset>
            </wp:positionV>
            <wp:extent cx="400050" cy="7429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0"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90</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87616" behindDoc="1" locked="0" layoutInCell="0" allowOverlap="1">
            <wp:simplePos x="0" y="0"/>
            <wp:positionH relativeFrom="column">
              <wp:posOffset>7154545</wp:posOffset>
            </wp:positionH>
            <wp:positionV relativeFrom="paragraph">
              <wp:posOffset>-23495</wp:posOffset>
            </wp:positionV>
            <wp:extent cx="31115" cy="3683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88640" behindDoc="1" locked="0" layoutInCell="0" allowOverlap="1">
            <wp:simplePos x="0" y="0"/>
            <wp:positionH relativeFrom="column">
              <wp:posOffset>-17145</wp:posOffset>
            </wp:positionH>
            <wp:positionV relativeFrom="paragraph">
              <wp:posOffset>-23495</wp:posOffset>
            </wp:positionV>
            <wp:extent cx="31115" cy="3683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92" w:name="page93"/>
    <w:bookmarkEnd w:id="92"/>
    <w:p>
      <w:pPr>
        <w:spacing w:after="0"/>
        <w:rPr>
          <w:color w:val="auto"/>
          <w:sz w:val="20"/>
          <w:szCs w:val="20"/>
        </w:rPr>
      </w:pPr>
      <w:r>
        <w:rPr>
          <w:rFonts w:ascii="Calibri" w:eastAsia="Calibri" w:hAnsi="Calibri" w:cs="Calibri"/>
          <w:b/>
          <w:bCs/>
          <w:color w:val="444867"/>
          <w:sz w:val="12"/>
          <w:szCs w:val="12"/>
        </w:rPr>
        <w:t>Accumulated Other Comprehensive Loss</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The following table summarizes the changes in each component of accumulated other comprehensive loss, net of tax, for 2024, 2023 and 2022:</w:t>
      </w:r>
    </w:p>
    <w:p>
      <w:pPr>
        <w:spacing w:after="0" w:line="3" w:lineRule="exact"/>
        <w:rPr>
          <w:color w:val="auto"/>
          <w:sz w:val="20"/>
          <w:szCs w:val="20"/>
        </w:rPr>
      </w:pPr>
    </w:p>
    <w:tbl>
      <w:tblPr>
        <w:tblInd w:w="0" w:type="dxa"/>
        <w:tblLayout w:type="fixed"/>
        <w:tblCellMar>
          <w:top w:w="0" w:type="dxa"/>
          <w:left w:w="0" w:type="dxa"/>
          <w:bottom w:w="0" w:type="dxa"/>
          <w:right w:w="0" w:type="dxa"/>
        </w:tblCellMar>
      </w:tblPr>
      <w:tblGrid>
        <w:gridCol w:w="4560"/>
        <w:gridCol w:w="1160"/>
        <w:gridCol w:w="980"/>
        <w:gridCol w:w="260"/>
        <w:gridCol w:w="900"/>
        <w:gridCol w:w="140"/>
        <w:gridCol w:w="1020"/>
        <w:gridCol w:w="160"/>
        <w:gridCol w:w="1000"/>
        <w:gridCol w:w="300"/>
        <w:gridCol w:w="820"/>
        <w:gridCol w:w="20"/>
      </w:tblGrid>
      <w:tr>
        <w:tblPrEx>
          <w:tblInd w:w="0" w:type="dxa"/>
          <w:tblLayout w:type="fixed"/>
        </w:tblPrEx>
        <w:trPr>
          <w:trHeight w:val="122"/>
        </w:trPr>
        <w:tc>
          <w:tcPr>
            <w:tcW w:w="4560" w:type="dxa"/>
            <w:vAlign w:val="bottom"/>
          </w:tcPr>
          <w:p>
            <w:pPr>
              <w:spacing w:after="0"/>
              <w:rPr>
                <w:color w:val="auto"/>
                <w:sz w:val="10"/>
                <w:szCs w:val="10"/>
              </w:rPr>
            </w:pPr>
          </w:p>
        </w:tc>
        <w:tc>
          <w:tcPr>
            <w:tcW w:w="1160" w:type="dxa"/>
            <w:vAlign w:val="bottom"/>
          </w:tcPr>
          <w:p>
            <w:pPr>
              <w:spacing w:after="0"/>
              <w:rPr>
                <w:color w:val="auto"/>
                <w:sz w:val="10"/>
                <w:szCs w:val="10"/>
              </w:rPr>
            </w:pPr>
          </w:p>
        </w:tc>
        <w:tc>
          <w:tcPr>
            <w:tcW w:w="980" w:type="dxa"/>
            <w:vAlign w:val="bottom"/>
          </w:tcPr>
          <w:p>
            <w:pPr>
              <w:spacing w:after="0"/>
              <w:rPr>
                <w:color w:val="auto"/>
                <w:sz w:val="10"/>
                <w:szCs w:val="10"/>
              </w:rPr>
            </w:pPr>
          </w:p>
        </w:tc>
        <w:tc>
          <w:tcPr>
            <w:tcW w:w="260" w:type="dxa"/>
            <w:vAlign w:val="bottom"/>
          </w:tcPr>
          <w:p>
            <w:pPr>
              <w:spacing w:after="0"/>
              <w:rPr>
                <w:color w:val="auto"/>
                <w:sz w:val="10"/>
                <w:szCs w:val="10"/>
              </w:rPr>
            </w:pPr>
          </w:p>
        </w:tc>
        <w:tc>
          <w:tcPr>
            <w:tcW w:w="900" w:type="dxa"/>
            <w:vAlign w:val="bottom"/>
          </w:tcPr>
          <w:p>
            <w:pPr>
              <w:spacing w:after="0"/>
              <w:rPr>
                <w:color w:val="auto"/>
                <w:sz w:val="10"/>
                <w:szCs w:val="10"/>
              </w:rPr>
            </w:pPr>
          </w:p>
        </w:tc>
        <w:tc>
          <w:tcPr>
            <w:tcW w:w="140" w:type="dxa"/>
            <w:vAlign w:val="bottom"/>
          </w:tcPr>
          <w:p>
            <w:pPr>
              <w:spacing w:after="0"/>
              <w:rPr>
                <w:color w:val="auto"/>
                <w:sz w:val="10"/>
                <w:szCs w:val="10"/>
              </w:rPr>
            </w:pPr>
          </w:p>
        </w:tc>
        <w:tc>
          <w:tcPr>
            <w:tcW w:w="1020" w:type="dxa"/>
            <w:vAlign w:val="bottom"/>
          </w:tcPr>
          <w:p>
            <w:pPr>
              <w:spacing w:after="0"/>
              <w:ind w:right="82"/>
              <w:jc w:val="center"/>
              <w:rPr>
                <w:color w:val="auto"/>
                <w:sz w:val="20"/>
                <w:szCs w:val="20"/>
              </w:rPr>
            </w:pPr>
            <w:r>
              <w:rPr>
                <w:rFonts w:ascii="Calibri" w:eastAsia="Calibri" w:hAnsi="Calibri" w:cs="Calibri"/>
                <w:b/>
                <w:bCs/>
                <w:color w:val="auto"/>
                <w:w w:val="97"/>
                <w:sz w:val="10"/>
                <w:szCs w:val="10"/>
              </w:rPr>
              <w:t>Pension</w:t>
            </w:r>
          </w:p>
        </w:tc>
        <w:tc>
          <w:tcPr>
            <w:tcW w:w="160" w:type="dxa"/>
            <w:vAlign w:val="bottom"/>
          </w:tcPr>
          <w:p>
            <w:pPr>
              <w:spacing w:after="0"/>
              <w:rPr>
                <w:color w:val="auto"/>
                <w:sz w:val="10"/>
                <w:szCs w:val="10"/>
              </w:rPr>
            </w:pPr>
          </w:p>
        </w:tc>
        <w:tc>
          <w:tcPr>
            <w:tcW w:w="1000" w:type="dxa"/>
            <w:vAlign w:val="bottom"/>
          </w:tcPr>
          <w:p>
            <w:pPr>
              <w:spacing w:after="0"/>
              <w:rPr>
                <w:color w:val="auto"/>
                <w:sz w:val="10"/>
                <w:szCs w:val="10"/>
              </w:rPr>
            </w:pPr>
          </w:p>
        </w:tc>
        <w:tc>
          <w:tcPr>
            <w:tcW w:w="300" w:type="dxa"/>
            <w:vAlign w:val="bottom"/>
          </w:tcPr>
          <w:p>
            <w:pPr>
              <w:spacing w:after="0"/>
              <w:rPr>
                <w:color w:val="auto"/>
                <w:sz w:val="10"/>
                <w:szCs w:val="10"/>
              </w:rPr>
            </w:pPr>
          </w:p>
        </w:tc>
        <w:tc>
          <w:tcPr>
            <w:tcW w:w="82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99"/>
        </w:trPr>
        <w:tc>
          <w:tcPr>
            <w:tcW w:w="4560" w:type="dxa"/>
            <w:vMerge w:val="restart"/>
            <w:vAlign w:val="bottom"/>
          </w:tcPr>
          <w:p>
            <w:pPr>
              <w:spacing w:after="0"/>
              <w:rPr>
                <w:color w:val="auto"/>
                <w:sz w:val="20"/>
                <w:szCs w:val="20"/>
              </w:rPr>
            </w:pPr>
            <w:r>
              <w:rPr>
                <w:rFonts w:ascii="Calibri" w:eastAsia="Calibri" w:hAnsi="Calibri" w:cs="Calibri"/>
                <w:b/>
                <w:bCs/>
                <w:color w:val="auto"/>
                <w:sz w:val="10"/>
                <w:szCs w:val="10"/>
              </w:rPr>
              <w:t>(in millions) (brackets denote losses)</w:t>
            </w:r>
          </w:p>
        </w:tc>
        <w:tc>
          <w:tcPr>
            <w:tcW w:w="1160" w:type="dxa"/>
            <w:vAlign w:val="bottom"/>
          </w:tcPr>
          <w:p>
            <w:pPr>
              <w:spacing w:after="0"/>
              <w:rPr>
                <w:color w:val="auto"/>
                <w:sz w:val="8"/>
                <w:szCs w:val="8"/>
              </w:rPr>
            </w:pPr>
          </w:p>
        </w:tc>
        <w:tc>
          <w:tcPr>
            <w:tcW w:w="980" w:type="dxa"/>
            <w:vAlign w:val="bottom"/>
          </w:tcPr>
          <w:p>
            <w:pPr>
              <w:spacing w:after="0" w:line="99" w:lineRule="exact"/>
              <w:ind w:right="201"/>
              <w:jc w:val="right"/>
              <w:rPr>
                <w:color w:val="auto"/>
                <w:sz w:val="20"/>
                <w:szCs w:val="20"/>
              </w:rPr>
            </w:pPr>
            <w:r>
              <w:rPr>
                <w:rFonts w:ascii="Calibri" w:eastAsia="Calibri" w:hAnsi="Calibri" w:cs="Calibri"/>
                <w:b/>
                <w:bCs/>
                <w:color w:val="auto"/>
                <w:sz w:val="10"/>
                <w:szCs w:val="10"/>
              </w:rPr>
              <w:t>Foreign currency</w:t>
            </w:r>
          </w:p>
        </w:tc>
        <w:tc>
          <w:tcPr>
            <w:tcW w:w="1160" w:type="dxa"/>
            <w:gridSpan w:val="2"/>
            <w:vAlign w:val="bottom"/>
          </w:tcPr>
          <w:p>
            <w:pPr>
              <w:spacing w:after="0" w:line="99" w:lineRule="exact"/>
              <w:ind w:right="41"/>
              <w:jc w:val="right"/>
              <w:rPr>
                <w:color w:val="auto"/>
                <w:sz w:val="20"/>
                <w:szCs w:val="20"/>
              </w:rPr>
            </w:pPr>
            <w:r>
              <w:rPr>
                <w:rFonts w:ascii="Calibri" w:eastAsia="Calibri" w:hAnsi="Calibri" w:cs="Calibri"/>
                <w:b/>
                <w:bCs/>
                <w:color w:val="auto"/>
                <w:sz w:val="10"/>
                <w:szCs w:val="10"/>
              </w:rPr>
              <w:t>Net investment hedging</w:t>
            </w:r>
          </w:p>
        </w:tc>
        <w:tc>
          <w:tcPr>
            <w:tcW w:w="140" w:type="dxa"/>
            <w:vAlign w:val="bottom"/>
          </w:tcPr>
          <w:p>
            <w:pPr>
              <w:spacing w:after="0"/>
              <w:rPr>
                <w:color w:val="auto"/>
                <w:sz w:val="8"/>
                <w:szCs w:val="8"/>
              </w:rPr>
            </w:pPr>
          </w:p>
        </w:tc>
        <w:tc>
          <w:tcPr>
            <w:tcW w:w="1020" w:type="dxa"/>
            <w:vAlign w:val="bottom"/>
          </w:tcPr>
          <w:p>
            <w:pPr>
              <w:spacing w:after="0" w:line="99" w:lineRule="exact"/>
              <w:ind w:right="82"/>
              <w:jc w:val="center"/>
              <w:rPr>
                <w:color w:val="auto"/>
                <w:sz w:val="20"/>
                <w:szCs w:val="20"/>
              </w:rPr>
            </w:pPr>
            <w:r>
              <w:rPr>
                <w:rFonts w:ascii="Calibri" w:eastAsia="Calibri" w:hAnsi="Calibri" w:cs="Calibri"/>
                <w:b/>
                <w:bCs/>
                <w:color w:val="auto"/>
                <w:w w:val="95"/>
                <w:sz w:val="10"/>
                <w:szCs w:val="10"/>
              </w:rPr>
              <w:t>and post-employment</w:t>
            </w:r>
          </w:p>
        </w:tc>
        <w:tc>
          <w:tcPr>
            <w:tcW w:w="160" w:type="dxa"/>
            <w:vAlign w:val="bottom"/>
          </w:tcPr>
          <w:p>
            <w:pPr>
              <w:spacing w:after="0"/>
              <w:rPr>
                <w:color w:val="auto"/>
                <w:sz w:val="8"/>
                <w:szCs w:val="8"/>
              </w:rPr>
            </w:pPr>
          </w:p>
        </w:tc>
        <w:tc>
          <w:tcPr>
            <w:tcW w:w="1000" w:type="dxa"/>
            <w:vAlign w:val="bottom"/>
          </w:tcPr>
          <w:p>
            <w:pPr>
              <w:spacing w:after="0" w:line="99" w:lineRule="exact"/>
              <w:ind w:right="162"/>
              <w:jc w:val="right"/>
              <w:rPr>
                <w:color w:val="auto"/>
                <w:sz w:val="20"/>
                <w:szCs w:val="20"/>
              </w:rPr>
            </w:pPr>
            <w:r>
              <w:rPr>
                <w:rFonts w:ascii="Calibri" w:eastAsia="Calibri" w:hAnsi="Calibri" w:cs="Calibri"/>
                <w:b/>
                <w:bCs/>
                <w:color w:val="auto"/>
                <w:sz w:val="10"/>
                <w:szCs w:val="10"/>
              </w:rPr>
              <w:t>Cash fow hedging</w:t>
            </w:r>
          </w:p>
        </w:tc>
        <w:tc>
          <w:tcPr>
            <w:tcW w:w="300" w:type="dxa"/>
            <w:vAlign w:val="bottom"/>
          </w:tcPr>
          <w:p>
            <w:pPr>
              <w:spacing w:after="0"/>
              <w:rPr>
                <w:color w:val="auto"/>
                <w:sz w:val="8"/>
                <w:szCs w:val="8"/>
              </w:rPr>
            </w:pPr>
          </w:p>
        </w:tc>
        <w:tc>
          <w:tcPr>
            <w:tcW w:w="820" w:type="dxa"/>
            <w:vMerge w:val="restart"/>
            <w:vAlign w:val="bottom"/>
          </w:tcPr>
          <w:p>
            <w:pPr>
              <w:spacing w:after="0"/>
              <w:ind w:right="381"/>
              <w:jc w:val="right"/>
              <w:rPr>
                <w:color w:val="auto"/>
                <w:sz w:val="20"/>
                <w:szCs w:val="20"/>
              </w:rPr>
            </w:pPr>
            <w:r>
              <w:rPr>
                <w:rFonts w:ascii="Calibri" w:eastAsia="Calibri" w:hAnsi="Calibri" w:cs="Calibri"/>
                <w:b/>
                <w:bCs/>
                <w:color w:val="auto"/>
                <w:sz w:val="10"/>
                <w:szCs w:val="10"/>
              </w:rPr>
              <w:t>Total</w:t>
            </w:r>
          </w:p>
        </w:tc>
        <w:tc>
          <w:tcPr>
            <w:tcW w:w="1" w:type="dxa"/>
            <w:vAlign w:val="bottom"/>
          </w:tcPr>
          <w:p>
            <w:pPr>
              <w:spacing w:after="0"/>
              <w:rPr>
                <w:color w:val="auto"/>
                <w:sz w:val="1"/>
                <w:szCs w:val="1"/>
              </w:rPr>
            </w:pPr>
          </w:p>
        </w:tc>
      </w:tr>
      <w:tr>
        <w:tblPrEx>
          <w:tblInd w:w="0" w:type="dxa"/>
          <w:tblLayout w:type="fixed"/>
        </w:tblPrEx>
        <w:trPr>
          <w:trHeight w:val="112"/>
        </w:trPr>
        <w:tc>
          <w:tcPr>
            <w:tcW w:w="4560" w:type="dxa"/>
            <w:vMerge/>
            <w:vAlign w:val="bottom"/>
          </w:tcPr>
          <w:p>
            <w:pPr>
              <w:spacing w:after="0"/>
              <w:rPr>
                <w:color w:val="auto"/>
                <w:sz w:val="9"/>
                <w:szCs w:val="9"/>
              </w:rPr>
            </w:pPr>
          </w:p>
        </w:tc>
        <w:tc>
          <w:tcPr>
            <w:tcW w:w="2140" w:type="dxa"/>
            <w:gridSpan w:val="2"/>
            <w:vAlign w:val="bottom"/>
          </w:tcPr>
          <w:p>
            <w:pPr>
              <w:spacing w:after="0" w:line="112" w:lineRule="exact"/>
              <w:ind w:right="41"/>
              <w:jc w:val="right"/>
              <w:rPr>
                <w:color w:val="auto"/>
                <w:sz w:val="20"/>
                <w:szCs w:val="20"/>
              </w:rPr>
            </w:pPr>
            <w:r>
              <w:rPr>
                <w:rFonts w:ascii="Calibri" w:eastAsia="Calibri" w:hAnsi="Calibri" w:cs="Calibri"/>
                <w:b/>
                <w:bCs/>
                <w:color w:val="auto"/>
                <w:sz w:val="10"/>
                <w:szCs w:val="10"/>
              </w:rPr>
              <w:t>translaton adjustments</w:t>
            </w:r>
          </w:p>
        </w:tc>
        <w:tc>
          <w:tcPr>
            <w:tcW w:w="260" w:type="dxa"/>
            <w:vAlign w:val="bottom"/>
          </w:tcPr>
          <w:p>
            <w:pPr>
              <w:spacing w:after="0"/>
              <w:rPr>
                <w:color w:val="auto"/>
                <w:sz w:val="9"/>
                <w:szCs w:val="9"/>
              </w:rPr>
            </w:pPr>
          </w:p>
        </w:tc>
        <w:tc>
          <w:tcPr>
            <w:tcW w:w="900" w:type="dxa"/>
            <w:vAlign w:val="bottom"/>
          </w:tcPr>
          <w:p>
            <w:pPr>
              <w:spacing w:after="0" w:line="112" w:lineRule="exact"/>
              <w:ind w:right="341"/>
              <w:jc w:val="right"/>
              <w:rPr>
                <w:color w:val="auto"/>
                <w:sz w:val="20"/>
                <w:szCs w:val="20"/>
              </w:rPr>
            </w:pPr>
            <w:r>
              <w:rPr>
                <w:rFonts w:ascii="Calibri" w:eastAsia="Calibri" w:hAnsi="Calibri" w:cs="Calibri"/>
                <w:b/>
                <w:bCs/>
                <w:color w:val="auto"/>
                <w:sz w:val="10"/>
                <w:szCs w:val="10"/>
              </w:rPr>
              <w:t>actvites</w:t>
            </w:r>
          </w:p>
        </w:tc>
        <w:tc>
          <w:tcPr>
            <w:tcW w:w="140" w:type="dxa"/>
            <w:vAlign w:val="bottom"/>
          </w:tcPr>
          <w:p>
            <w:pPr>
              <w:spacing w:after="0"/>
              <w:rPr>
                <w:color w:val="auto"/>
                <w:sz w:val="9"/>
                <w:szCs w:val="9"/>
              </w:rPr>
            </w:pPr>
          </w:p>
        </w:tc>
        <w:tc>
          <w:tcPr>
            <w:tcW w:w="1020" w:type="dxa"/>
            <w:vAlign w:val="bottom"/>
          </w:tcPr>
          <w:p>
            <w:pPr>
              <w:spacing w:after="0" w:line="112" w:lineRule="exact"/>
              <w:ind w:right="82"/>
              <w:jc w:val="center"/>
              <w:rPr>
                <w:color w:val="auto"/>
                <w:sz w:val="20"/>
                <w:szCs w:val="20"/>
              </w:rPr>
            </w:pPr>
            <w:r>
              <w:rPr>
                <w:rFonts w:ascii="Calibri" w:eastAsia="Calibri" w:hAnsi="Calibri" w:cs="Calibri"/>
                <w:b/>
                <w:bCs/>
                <w:color w:val="auto"/>
                <w:sz w:val="10"/>
                <w:szCs w:val="10"/>
              </w:rPr>
              <w:t>benefts</w:t>
            </w:r>
          </w:p>
        </w:tc>
        <w:tc>
          <w:tcPr>
            <w:tcW w:w="160" w:type="dxa"/>
            <w:vAlign w:val="bottom"/>
          </w:tcPr>
          <w:p>
            <w:pPr>
              <w:spacing w:after="0"/>
              <w:rPr>
                <w:color w:val="auto"/>
                <w:sz w:val="9"/>
                <w:szCs w:val="9"/>
              </w:rPr>
            </w:pPr>
          </w:p>
        </w:tc>
        <w:tc>
          <w:tcPr>
            <w:tcW w:w="1000" w:type="dxa"/>
            <w:vAlign w:val="bottom"/>
          </w:tcPr>
          <w:p>
            <w:pPr>
              <w:spacing w:after="0" w:line="112" w:lineRule="exact"/>
              <w:ind w:right="342"/>
              <w:jc w:val="right"/>
              <w:rPr>
                <w:color w:val="auto"/>
                <w:sz w:val="20"/>
                <w:szCs w:val="20"/>
              </w:rPr>
            </w:pPr>
            <w:r>
              <w:rPr>
                <w:rFonts w:ascii="Calibri" w:eastAsia="Calibri" w:hAnsi="Calibri" w:cs="Calibri"/>
                <w:b/>
                <w:bCs/>
                <w:color w:val="auto"/>
                <w:sz w:val="10"/>
                <w:szCs w:val="10"/>
              </w:rPr>
              <w:t>actvites</w:t>
            </w:r>
          </w:p>
        </w:tc>
        <w:tc>
          <w:tcPr>
            <w:tcW w:w="300" w:type="dxa"/>
            <w:vAlign w:val="bottom"/>
          </w:tcPr>
          <w:p>
            <w:pPr>
              <w:spacing w:after="0"/>
              <w:rPr>
                <w:color w:val="auto"/>
                <w:sz w:val="9"/>
                <w:szCs w:val="9"/>
              </w:rPr>
            </w:pPr>
          </w:p>
        </w:tc>
        <w:tc>
          <w:tcPr>
            <w:tcW w:w="820" w:type="dxa"/>
            <w:vMerge/>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23"/>
        </w:trPr>
        <w:tc>
          <w:tcPr>
            <w:tcW w:w="456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98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900" w:type="dxa"/>
            <w:tcBorders>
              <w:bottom w:val="single" w:sz="8" w:space="0" w:color="auto"/>
            </w:tcBorders>
            <w:vAlign w:val="bottom"/>
          </w:tcPr>
          <w:p>
            <w:pPr>
              <w:spacing w:after="0"/>
              <w:rPr>
                <w:color w:val="auto"/>
                <w:sz w:val="2"/>
                <w:szCs w:val="2"/>
              </w:rPr>
            </w:pPr>
          </w:p>
        </w:tc>
        <w:tc>
          <w:tcPr>
            <w:tcW w:w="140" w:type="dxa"/>
            <w:tcBorders>
              <w:bottom w:val="single" w:sz="8" w:space="0" w:color="auto"/>
            </w:tcBorders>
            <w:vAlign w:val="bottom"/>
          </w:tcPr>
          <w:p>
            <w:pPr>
              <w:spacing w:after="0"/>
              <w:rPr>
                <w:color w:val="auto"/>
                <w:sz w:val="2"/>
                <w:szCs w:val="2"/>
              </w:rPr>
            </w:pPr>
          </w:p>
        </w:tc>
        <w:tc>
          <w:tcPr>
            <w:tcW w:w="1020" w:type="dxa"/>
            <w:tcBorders>
              <w:bottom w:val="single" w:sz="8" w:space="0" w:color="auto"/>
            </w:tcBorders>
            <w:vAlign w:val="bottom"/>
          </w:tcPr>
          <w:p>
            <w:pPr>
              <w:spacing w:after="0"/>
              <w:rPr>
                <w:color w:val="auto"/>
                <w:sz w:val="2"/>
                <w:szCs w:val="2"/>
              </w:rPr>
            </w:pPr>
          </w:p>
        </w:tc>
        <w:tc>
          <w:tcPr>
            <w:tcW w:w="160" w:type="dxa"/>
            <w:tcBorders>
              <w:bottom w:val="single" w:sz="8" w:space="0" w:color="auto"/>
            </w:tcBorders>
            <w:vAlign w:val="bottom"/>
          </w:tcPr>
          <w:p>
            <w:pPr>
              <w:spacing w:after="0"/>
              <w:rPr>
                <w:color w:val="auto"/>
                <w:sz w:val="2"/>
                <w:szCs w:val="2"/>
              </w:rPr>
            </w:pPr>
          </w:p>
        </w:tc>
        <w:tc>
          <w:tcPr>
            <w:tcW w:w="1000" w:type="dxa"/>
            <w:tcBorders>
              <w:bottom w:val="single" w:sz="8" w:space="0" w:color="auto"/>
            </w:tcBorders>
            <w:vAlign w:val="bottom"/>
          </w:tcPr>
          <w:p>
            <w:pPr>
              <w:spacing w:after="0"/>
              <w:rPr>
                <w:color w:val="auto"/>
                <w:sz w:val="2"/>
                <w:szCs w:val="2"/>
              </w:rPr>
            </w:pPr>
          </w:p>
        </w:tc>
        <w:tc>
          <w:tcPr>
            <w:tcW w:w="300" w:type="dxa"/>
            <w:tcBorders>
              <w:bottom w:val="single" w:sz="8" w:space="0" w:color="auto"/>
            </w:tcBorders>
            <w:vAlign w:val="bottom"/>
          </w:tcPr>
          <w:p>
            <w:pPr>
              <w:spacing w:after="0"/>
              <w:rPr>
                <w:color w:val="auto"/>
                <w:sz w:val="2"/>
                <w:szCs w:val="2"/>
              </w:rPr>
            </w:pPr>
          </w:p>
        </w:tc>
        <w:tc>
          <w:tcPr>
            <w:tcW w:w="820" w:type="dxa"/>
            <w:tcBorders>
              <w:bottom w:val="single" w:sz="8" w:space="0" w:color="auto"/>
            </w:tcBorders>
            <w:vAlign w:val="bottom"/>
          </w:tcPr>
          <w:p>
            <w:pPr>
              <w:spacing w:after="0"/>
              <w:rPr>
                <w:color w:val="auto"/>
                <w:sz w:val="2"/>
                <w:szCs w:val="2"/>
              </w:rPr>
            </w:pPr>
          </w:p>
        </w:tc>
        <w:tc>
          <w:tcPr>
            <w:tcW w:w="1" w:type="dxa"/>
            <w:vAlign w:val="bottom"/>
          </w:tcPr>
          <w:p>
            <w:pPr>
              <w:spacing w:after="0"/>
              <w:rPr>
                <w:color w:val="auto"/>
                <w:sz w:val="1"/>
                <w:szCs w:val="1"/>
              </w:rPr>
            </w:pPr>
          </w:p>
        </w:tc>
      </w:tr>
      <w:tr>
        <w:tblPrEx>
          <w:tblInd w:w="0" w:type="dxa"/>
          <w:tblLayout w:type="fixed"/>
        </w:tblPrEx>
        <w:trPr>
          <w:trHeight w:val="136"/>
        </w:trPr>
        <w:tc>
          <w:tcPr>
            <w:tcW w:w="4560" w:type="dxa"/>
            <w:tcBorders>
              <w:bottom w:val="single" w:sz="8" w:space="0" w:color="auto"/>
            </w:tcBorders>
            <w:shd w:val="clear" w:color="auto" w:fill="CCEEFF"/>
            <w:vAlign w:val="bottom"/>
          </w:tcPr>
          <w:p>
            <w:pPr>
              <w:spacing w:after="0" w:line="137" w:lineRule="exact"/>
              <w:rPr>
                <w:color w:val="auto"/>
                <w:sz w:val="20"/>
                <w:szCs w:val="20"/>
              </w:rPr>
            </w:pPr>
            <w:r>
              <w:rPr>
                <w:rFonts w:ascii="Calibri" w:eastAsia="Calibri" w:hAnsi="Calibri" w:cs="Calibri"/>
                <w:color w:val="auto"/>
                <w:sz w:val="12"/>
                <w:szCs w:val="12"/>
              </w:rPr>
              <w:t>Balance as of December 31, 2021</w:t>
            </w:r>
          </w:p>
        </w:tc>
        <w:tc>
          <w:tcPr>
            <w:tcW w:w="1160" w:type="dxa"/>
            <w:tcBorders>
              <w:bottom w:val="single" w:sz="8" w:space="0" w:color="auto"/>
            </w:tcBorders>
            <w:shd w:val="clear" w:color="auto" w:fill="CCEEFF"/>
            <w:vAlign w:val="bottom"/>
          </w:tcPr>
          <w:p>
            <w:pPr>
              <w:spacing w:after="0" w:line="137" w:lineRule="exact"/>
              <w:ind w:right="4"/>
              <w:jc w:val="right"/>
              <w:rPr>
                <w:color w:val="auto"/>
                <w:sz w:val="20"/>
                <w:szCs w:val="20"/>
              </w:rPr>
            </w:pPr>
            <w:r>
              <w:rPr>
                <w:rFonts w:ascii="Calibri" w:eastAsia="Calibri" w:hAnsi="Calibri" w:cs="Calibri"/>
                <w:color w:val="auto"/>
                <w:sz w:val="12"/>
                <w:szCs w:val="12"/>
              </w:rPr>
              <w:t>$</w:t>
            </w:r>
          </w:p>
        </w:tc>
        <w:tc>
          <w:tcPr>
            <w:tcW w:w="980" w:type="dxa"/>
            <w:tcBorders>
              <w:bottom w:val="single" w:sz="8" w:space="0" w:color="auto"/>
            </w:tcBorders>
            <w:shd w:val="clear" w:color="auto" w:fill="CCEEFF"/>
            <w:vAlign w:val="bottom"/>
          </w:tcPr>
          <w:p>
            <w:pPr>
              <w:spacing w:after="0" w:line="137" w:lineRule="exact"/>
              <w:ind w:right="1"/>
              <w:jc w:val="right"/>
              <w:rPr>
                <w:color w:val="auto"/>
                <w:sz w:val="20"/>
                <w:szCs w:val="20"/>
              </w:rPr>
            </w:pPr>
            <w:r>
              <w:rPr>
                <w:rFonts w:ascii="Calibri" w:eastAsia="Calibri" w:hAnsi="Calibri" w:cs="Calibri"/>
                <w:color w:val="auto"/>
                <w:sz w:val="12"/>
                <w:szCs w:val="12"/>
              </w:rPr>
              <w:t>(570)</w:t>
            </w:r>
          </w:p>
        </w:tc>
        <w:tc>
          <w:tcPr>
            <w:tcW w:w="260" w:type="dxa"/>
            <w:tcBorders>
              <w:bottom w:val="single" w:sz="8" w:space="0" w:color="auto"/>
            </w:tcBorders>
            <w:shd w:val="clear" w:color="auto" w:fill="CCEEFF"/>
            <w:vAlign w:val="bottom"/>
          </w:tcPr>
          <w:p>
            <w:pPr>
              <w:spacing w:after="0" w:line="137" w:lineRule="exact"/>
              <w:ind w:right="84"/>
              <w:jc w:val="right"/>
              <w:rPr>
                <w:color w:val="auto"/>
                <w:sz w:val="20"/>
                <w:szCs w:val="20"/>
              </w:rPr>
            </w:pPr>
            <w:r>
              <w:rPr>
                <w:rFonts w:ascii="Calibri" w:eastAsia="Calibri" w:hAnsi="Calibri" w:cs="Calibri"/>
                <w:color w:val="auto"/>
                <w:sz w:val="12"/>
                <w:szCs w:val="12"/>
              </w:rPr>
              <w:t>$</w:t>
            </w:r>
          </w:p>
        </w:tc>
        <w:tc>
          <w:tcPr>
            <w:tcW w:w="900" w:type="dxa"/>
            <w:tcBorders>
              <w:bottom w:val="single" w:sz="8" w:space="0" w:color="auto"/>
            </w:tcBorders>
            <w:shd w:val="clear" w:color="auto" w:fill="CCEEFF"/>
            <w:vAlign w:val="bottom"/>
          </w:tcPr>
          <w:p>
            <w:pPr>
              <w:spacing w:after="0" w:line="137" w:lineRule="exact"/>
              <w:ind w:right="1"/>
              <w:jc w:val="right"/>
              <w:rPr>
                <w:color w:val="auto"/>
                <w:sz w:val="20"/>
                <w:szCs w:val="20"/>
              </w:rPr>
            </w:pPr>
            <w:r>
              <w:rPr>
                <w:rFonts w:ascii="Calibri" w:eastAsia="Calibri" w:hAnsi="Calibri" w:cs="Calibri"/>
                <w:color w:val="auto"/>
                <w:sz w:val="12"/>
                <w:szCs w:val="12"/>
              </w:rPr>
              <w:t>(91)</w:t>
            </w:r>
          </w:p>
        </w:tc>
        <w:tc>
          <w:tcPr>
            <w:tcW w:w="14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w:t>
            </w:r>
          </w:p>
        </w:tc>
        <w:tc>
          <w:tcPr>
            <w:tcW w:w="1020" w:type="dxa"/>
            <w:tcBorders>
              <w:bottom w:val="single" w:sz="8" w:space="0" w:color="auto"/>
            </w:tcBorders>
            <w:shd w:val="clear" w:color="auto" w:fill="CCEEFF"/>
            <w:vAlign w:val="bottom"/>
          </w:tcPr>
          <w:p>
            <w:pPr>
              <w:spacing w:after="0" w:line="137" w:lineRule="exact"/>
              <w:ind w:right="2"/>
              <w:jc w:val="right"/>
              <w:rPr>
                <w:color w:val="auto"/>
                <w:sz w:val="20"/>
                <w:szCs w:val="20"/>
              </w:rPr>
            </w:pPr>
            <w:r>
              <w:rPr>
                <w:rFonts w:ascii="Calibri" w:eastAsia="Calibri" w:hAnsi="Calibri" w:cs="Calibri"/>
                <w:color w:val="auto"/>
                <w:sz w:val="12"/>
                <w:szCs w:val="12"/>
              </w:rPr>
              <w:t>(2,546)</w:t>
            </w:r>
          </w:p>
        </w:tc>
        <w:tc>
          <w:tcPr>
            <w:tcW w:w="16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w:t>
            </w:r>
          </w:p>
        </w:tc>
        <w:tc>
          <w:tcPr>
            <w:tcW w:w="1000" w:type="dxa"/>
            <w:tcBorders>
              <w:bottom w:val="single" w:sz="8" w:space="0" w:color="auto"/>
            </w:tcBorders>
            <w:shd w:val="clear" w:color="auto" w:fill="CCEEFF"/>
            <w:vAlign w:val="bottom"/>
          </w:tcPr>
          <w:p>
            <w:pPr>
              <w:spacing w:after="0" w:line="137" w:lineRule="exact"/>
              <w:ind w:right="22"/>
              <w:jc w:val="right"/>
              <w:rPr>
                <w:color w:val="auto"/>
                <w:sz w:val="20"/>
                <w:szCs w:val="20"/>
              </w:rPr>
            </w:pPr>
            <w:r>
              <w:rPr>
                <w:rFonts w:ascii="Calibri" w:eastAsia="Calibri" w:hAnsi="Calibri" w:cs="Calibri"/>
                <w:color w:val="auto"/>
                <w:sz w:val="12"/>
                <w:szCs w:val="12"/>
              </w:rPr>
              <w:t>308</w:t>
            </w:r>
          </w:p>
        </w:tc>
        <w:tc>
          <w:tcPr>
            <w:tcW w:w="300" w:type="dxa"/>
            <w:tcBorders>
              <w:bottom w:val="single" w:sz="8" w:space="0" w:color="auto"/>
            </w:tcBorders>
            <w:shd w:val="clear" w:color="auto" w:fill="CCEEFF"/>
            <w:vAlign w:val="bottom"/>
          </w:tcPr>
          <w:p>
            <w:pPr>
              <w:spacing w:after="0" w:line="137" w:lineRule="exact"/>
              <w:ind w:right="120"/>
              <w:jc w:val="right"/>
              <w:rPr>
                <w:color w:val="auto"/>
                <w:sz w:val="20"/>
                <w:szCs w:val="20"/>
              </w:rPr>
            </w:pPr>
            <w:r>
              <w:rPr>
                <w:rFonts w:ascii="Calibri" w:eastAsia="Calibri" w:hAnsi="Calibri" w:cs="Calibri"/>
                <w:color w:val="auto"/>
                <w:sz w:val="12"/>
                <w:szCs w:val="12"/>
              </w:rPr>
              <w:t>$</w:t>
            </w:r>
          </w:p>
        </w:tc>
        <w:tc>
          <w:tcPr>
            <w:tcW w:w="820" w:type="dxa"/>
            <w:tcBorders>
              <w:bottom w:val="single" w:sz="8" w:space="0" w:color="auto"/>
            </w:tcBorders>
            <w:shd w:val="clear" w:color="auto" w:fill="CCEEFF"/>
            <w:vAlign w:val="bottom"/>
          </w:tcPr>
          <w:p>
            <w:pPr>
              <w:spacing w:after="0" w:line="137" w:lineRule="exact"/>
              <w:jc w:val="right"/>
              <w:rPr>
                <w:color w:val="auto"/>
                <w:sz w:val="20"/>
                <w:szCs w:val="20"/>
              </w:rPr>
            </w:pPr>
            <w:r>
              <w:rPr>
                <w:rFonts w:ascii="Calibri" w:eastAsia="Calibri" w:hAnsi="Calibri" w:cs="Calibri"/>
                <w:color w:val="auto"/>
                <w:sz w:val="12"/>
                <w:szCs w:val="12"/>
              </w:rPr>
              <w:t>(2,899)</w:t>
            </w:r>
          </w:p>
        </w:tc>
        <w:tc>
          <w:tcPr>
            <w:tcW w:w="1" w:type="dxa"/>
            <w:vAlign w:val="bottom"/>
          </w:tcPr>
          <w:p>
            <w:pPr>
              <w:spacing w:after="0"/>
              <w:rPr>
                <w:color w:val="auto"/>
                <w:sz w:val="1"/>
                <w:szCs w:val="1"/>
              </w:rPr>
            </w:pPr>
          </w:p>
        </w:tc>
      </w:tr>
      <w:tr>
        <w:tblPrEx>
          <w:tblInd w:w="0" w:type="dxa"/>
          <w:tblLayout w:type="fixed"/>
        </w:tblPrEx>
        <w:trPr>
          <w:trHeight w:val="142"/>
        </w:trPr>
        <w:tc>
          <w:tcPr>
            <w:tcW w:w="4560" w:type="dxa"/>
            <w:vAlign w:val="bottom"/>
          </w:tcPr>
          <w:p>
            <w:pPr>
              <w:spacing w:after="0" w:line="142" w:lineRule="exact"/>
              <w:rPr>
                <w:color w:val="auto"/>
                <w:sz w:val="20"/>
                <w:szCs w:val="20"/>
              </w:rPr>
            </w:pPr>
            <w:r>
              <w:rPr>
                <w:rFonts w:ascii="Calibri" w:eastAsia="Calibri" w:hAnsi="Calibri" w:cs="Calibri"/>
                <w:color w:val="auto"/>
                <w:sz w:val="12"/>
                <w:szCs w:val="12"/>
              </w:rPr>
              <w:t>Other comprehensive income (loss) before reclassifcatons</w:t>
            </w:r>
          </w:p>
        </w:tc>
        <w:tc>
          <w:tcPr>
            <w:tcW w:w="1160" w:type="dxa"/>
            <w:vAlign w:val="bottom"/>
          </w:tcPr>
          <w:p>
            <w:pPr>
              <w:spacing w:after="0"/>
              <w:rPr>
                <w:color w:val="auto"/>
                <w:sz w:val="12"/>
                <w:szCs w:val="12"/>
              </w:rPr>
            </w:pPr>
          </w:p>
        </w:tc>
        <w:tc>
          <w:tcPr>
            <w:tcW w:w="9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(943)</w:t>
            </w:r>
          </w:p>
        </w:tc>
        <w:tc>
          <w:tcPr>
            <w:tcW w:w="260" w:type="dxa"/>
            <w:vAlign w:val="bottom"/>
          </w:tcPr>
          <w:p>
            <w:pPr>
              <w:spacing w:after="0"/>
              <w:rPr>
                <w:color w:val="auto"/>
                <w:sz w:val="12"/>
                <w:szCs w:val="12"/>
              </w:rPr>
            </w:pPr>
          </w:p>
        </w:tc>
        <w:tc>
          <w:tcPr>
            <w:tcW w:w="90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629</w:t>
            </w:r>
          </w:p>
        </w:tc>
        <w:tc>
          <w:tcPr>
            <w:tcW w:w="140" w:type="dxa"/>
            <w:vAlign w:val="bottom"/>
          </w:tcPr>
          <w:p>
            <w:pPr>
              <w:spacing w:after="0"/>
              <w:rPr>
                <w:color w:val="auto"/>
                <w:sz w:val="12"/>
                <w:szCs w:val="12"/>
              </w:rPr>
            </w:pPr>
          </w:p>
        </w:tc>
        <w:tc>
          <w:tcPr>
            <w:tcW w:w="102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915</w:t>
            </w:r>
          </w:p>
        </w:tc>
        <w:tc>
          <w:tcPr>
            <w:tcW w:w="160" w:type="dxa"/>
            <w:vAlign w:val="bottom"/>
          </w:tcPr>
          <w:p>
            <w:pPr>
              <w:spacing w:after="0"/>
              <w:rPr>
                <w:color w:val="auto"/>
                <w:sz w:val="12"/>
                <w:szCs w:val="12"/>
              </w:rPr>
            </w:pPr>
          </w:p>
        </w:tc>
        <w:tc>
          <w:tcPr>
            <w:tcW w:w="100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91</w:t>
            </w:r>
          </w:p>
        </w:tc>
        <w:tc>
          <w:tcPr>
            <w:tcW w:w="300" w:type="dxa"/>
            <w:vAlign w:val="bottom"/>
          </w:tcPr>
          <w:p>
            <w:pPr>
              <w:spacing w:after="0"/>
              <w:rPr>
                <w:color w:val="auto"/>
                <w:sz w:val="12"/>
                <w:szCs w:val="12"/>
              </w:rPr>
            </w:pPr>
          </w:p>
        </w:tc>
        <w:tc>
          <w:tcPr>
            <w:tcW w:w="820" w:type="dxa"/>
            <w:vAlign w:val="bottom"/>
          </w:tcPr>
          <w:p>
            <w:pPr>
              <w:spacing w:after="0" w:line="142" w:lineRule="exact"/>
              <w:jc w:val="right"/>
              <w:rPr>
                <w:color w:val="auto"/>
                <w:sz w:val="20"/>
                <w:szCs w:val="20"/>
              </w:rPr>
            </w:pPr>
            <w:r>
              <w:rPr>
                <w:rFonts w:ascii="Calibri" w:eastAsia="Calibri" w:hAnsi="Calibri" w:cs="Calibri"/>
                <w:color w:val="auto"/>
                <w:sz w:val="12"/>
                <w:szCs w:val="12"/>
              </w:rPr>
              <w:t>692</w:t>
            </w:r>
          </w:p>
        </w:tc>
        <w:tc>
          <w:tcPr>
            <w:tcW w:w="1" w:type="dxa"/>
            <w:vAlign w:val="bottom"/>
          </w:tcPr>
          <w:p>
            <w:pPr>
              <w:spacing w:after="0"/>
              <w:rPr>
                <w:color w:val="auto"/>
                <w:sz w:val="1"/>
                <w:szCs w:val="1"/>
              </w:rPr>
            </w:pPr>
          </w:p>
        </w:tc>
      </w:tr>
      <w:tr>
        <w:tblPrEx>
          <w:tblInd w:w="0" w:type="dxa"/>
          <w:tblLayout w:type="fixed"/>
        </w:tblPrEx>
        <w:trPr>
          <w:trHeight w:val="153"/>
        </w:trPr>
        <w:tc>
          <w:tcPr>
            <w:tcW w:w="45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Net losses (gains) reclassifed from accumulated other comprehensive loss</w:t>
            </w:r>
          </w:p>
        </w:tc>
        <w:tc>
          <w:tcPr>
            <w:tcW w:w="1160" w:type="dxa"/>
            <w:tcBorders>
              <w:bottom w:val="single" w:sz="8" w:space="0" w:color="auto"/>
            </w:tcBorders>
            <w:shd w:val="clear" w:color="auto" w:fill="CCEEFF"/>
            <w:vAlign w:val="bottom"/>
          </w:tcPr>
          <w:p>
            <w:pPr>
              <w:spacing w:after="0"/>
              <w:rPr>
                <w:color w:val="auto"/>
                <w:sz w:val="13"/>
                <w:szCs w:val="13"/>
              </w:rPr>
            </w:pPr>
          </w:p>
        </w:tc>
        <w:tc>
          <w:tcPr>
            <w:tcW w:w="98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w:t>
            </w:r>
          </w:p>
        </w:tc>
        <w:tc>
          <w:tcPr>
            <w:tcW w:w="260" w:type="dxa"/>
            <w:tcBorders>
              <w:bottom w:val="single" w:sz="8" w:space="0" w:color="auto"/>
            </w:tcBorders>
            <w:shd w:val="clear" w:color="auto" w:fill="CCEEFF"/>
            <w:vAlign w:val="bottom"/>
          </w:tcPr>
          <w:p>
            <w:pPr>
              <w:spacing w:after="0"/>
              <w:rPr>
                <w:color w:val="auto"/>
                <w:sz w:val="13"/>
                <w:szCs w:val="13"/>
              </w:rPr>
            </w:pPr>
          </w:p>
        </w:tc>
        <w:tc>
          <w:tcPr>
            <w:tcW w:w="90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(74)</w:t>
            </w:r>
          </w:p>
        </w:tc>
        <w:tc>
          <w:tcPr>
            <w:tcW w:w="140" w:type="dxa"/>
            <w:tcBorders>
              <w:bottom w:val="single" w:sz="8" w:space="0" w:color="auto"/>
            </w:tcBorders>
            <w:shd w:val="clear" w:color="auto" w:fill="CCEEFF"/>
            <w:vAlign w:val="bottom"/>
          </w:tcPr>
          <w:p>
            <w:pPr>
              <w:spacing w:after="0"/>
              <w:rPr>
                <w:color w:val="auto"/>
                <w:sz w:val="13"/>
                <w:szCs w:val="13"/>
              </w:rPr>
            </w:pPr>
          </w:p>
        </w:tc>
        <w:tc>
          <w:tcPr>
            <w:tcW w:w="1020" w:type="dxa"/>
            <w:tcBorders>
              <w:bottom w:val="single" w:sz="8" w:space="0" w:color="auto"/>
            </w:tcBorders>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173</w:t>
            </w:r>
          </w:p>
        </w:tc>
        <w:tc>
          <w:tcPr>
            <w:tcW w:w="160" w:type="dxa"/>
            <w:tcBorders>
              <w:bottom w:val="single" w:sz="8" w:space="0" w:color="auto"/>
            </w:tcBorders>
            <w:shd w:val="clear" w:color="auto" w:fill="CCEEFF"/>
            <w:vAlign w:val="bottom"/>
          </w:tcPr>
          <w:p>
            <w:pPr>
              <w:spacing w:after="0"/>
              <w:rPr>
                <w:color w:val="auto"/>
                <w:sz w:val="13"/>
                <w:szCs w:val="13"/>
              </w:rPr>
            </w:pPr>
          </w:p>
        </w:tc>
        <w:tc>
          <w:tcPr>
            <w:tcW w:w="100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(91)</w:t>
            </w:r>
          </w:p>
        </w:tc>
        <w:tc>
          <w:tcPr>
            <w:tcW w:w="300" w:type="dxa"/>
            <w:tcBorders>
              <w:bottom w:val="single" w:sz="8" w:space="0" w:color="auto"/>
            </w:tcBorders>
            <w:shd w:val="clear" w:color="auto" w:fill="CCEEFF"/>
            <w:vAlign w:val="bottom"/>
          </w:tcPr>
          <w:p>
            <w:pPr>
              <w:spacing w:after="0"/>
              <w:rPr>
                <w:color w:val="auto"/>
                <w:sz w:val="13"/>
                <w:szCs w:val="13"/>
              </w:rPr>
            </w:pPr>
          </w:p>
        </w:tc>
        <w:tc>
          <w:tcPr>
            <w:tcW w:w="8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8</w:t>
            </w:r>
          </w:p>
        </w:tc>
        <w:tc>
          <w:tcPr>
            <w:tcW w:w="1" w:type="dxa"/>
            <w:vAlign w:val="bottom"/>
          </w:tcPr>
          <w:p>
            <w:pPr>
              <w:spacing w:after="0"/>
              <w:rPr>
                <w:color w:val="auto"/>
                <w:sz w:val="1"/>
                <w:szCs w:val="1"/>
              </w:rPr>
            </w:pPr>
          </w:p>
        </w:tc>
      </w:tr>
      <w:tr>
        <w:tblPrEx>
          <w:tblInd w:w="0" w:type="dxa"/>
          <w:tblLayout w:type="fixed"/>
        </w:tblPrEx>
        <w:trPr>
          <w:trHeight w:val="142"/>
        </w:trPr>
        <w:tc>
          <w:tcPr>
            <w:tcW w:w="4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Net current-period other comprehensive income (loss)</w:t>
            </w:r>
          </w:p>
        </w:tc>
        <w:tc>
          <w:tcPr>
            <w:tcW w:w="116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(943)</w:t>
            </w:r>
          </w:p>
        </w:tc>
        <w:tc>
          <w:tcPr>
            <w:tcW w:w="260" w:type="dxa"/>
            <w:tcBorders>
              <w:bottom w:val="single" w:sz="8" w:space="0" w:color="auto"/>
            </w:tcBorders>
            <w:vAlign w:val="bottom"/>
          </w:tcPr>
          <w:p>
            <w:pPr>
              <w:spacing w:after="0"/>
              <w:rPr>
                <w:color w:val="auto"/>
                <w:sz w:val="12"/>
                <w:szCs w:val="12"/>
              </w:rPr>
            </w:pPr>
          </w:p>
        </w:tc>
        <w:tc>
          <w:tcPr>
            <w:tcW w:w="90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555</w:t>
            </w:r>
          </w:p>
        </w:tc>
        <w:tc>
          <w:tcPr>
            <w:tcW w:w="140" w:type="dxa"/>
            <w:tcBorders>
              <w:bottom w:val="single" w:sz="8" w:space="0" w:color="auto"/>
            </w:tcBorders>
            <w:vAlign w:val="bottom"/>
          </w:tcPr>
          <w:p>
            <w:pPr>
              <w:spacing w:after="0"/>
              <w:rPr>
                <w:color w:val="auto"/>
                <w:sz w:val="12"/>
                <w:szCs w:val="12"/>
              </w:rPr>
            </w:pPr>
          </w:p>
        </w:tc>
        <w:tc>
          <w:tcPr>
            <w:tcW w:w="102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1,088</w:t>
            </w:r>
          </w:p>
        </w:tc>
        <w:tc>
          <w:tcPr>
            <w:tcW w:w="16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w:t>
            </w:r>
          </w:p>
        </w:tc>
        <w:tc>
          <w:tcPr>
            <w:tcW w:w="300" w:type="dxa"/>
            <w:tcBorders>
              <w:bottom w:val="single" w:sz="8" w:space="0" w:color="auto"/>
            </w:tcBorders>
            <w:vAlign w:val="bottom"/>
          </w:tcPr>
          <w:p>
            <w:pPr>
              <w:spacing w:after="0"/>
              <w:rPr>
                <w:color w:val="auto"/>
                <w:sz w:val="12"/>
                <w:szCs w:val="12"/>
              </w:rPr>
            </w:pPr>
          </w:p>
        </w:tc>
        <w:tc>
          <w:tcPr>
            <w:tcW w:w="8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700</w:t>
            </w:r>
          </w:p>
        </w:tc>
        <w:tc>
          <w:tcPr>
            <w:tcW w:w="1" w:type="dxa"/>
            <w:vAlign w:val="bottom"/>
          </w:tcPr>
          <w:p>
            <w:pPr>
              <w:spacing w:after="0"/>
              <w:rPr>
                <w:color w:val="auto"/>
                <w:sz w:val="1"/>
                <w:szCs w:val="1"/>
              </w:rPr>
            </w:pPr>
          </w:p>
        </w:tc>
      </w:tr>
      <w:tr>
        <w:tblPrEx>
          <w:tblInd w:w="0" w:type="dxa"/>
          <w:tblLayout w:type="fixed"/>
        </w:tblPrEx>
        <w:trPr>
          <w:trHeight w:val="142"/>
        </w:trPr>
        <w:tc>
          <w:tcPr>
            <w:tcW w:w="45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Balance as of December 31, 2022</w:t>
            </w:r>
          </w:p>
        </w:tc>
        <w:tc>
          <w:tcPr>
            <w:tcW w:w="1160" w:type="dxa"/>
            <w:tcBorders>
              <w:bottom w:val="single" w:sz="8" w:space="0" w:color="auto"/>
            </w:tcBorders>
            <w:shd w:val="clear" w:color="auto" w:fill="CCEEFF"/>
            <w:vAlign w:val="bottom"/>
          </w:tcPr>
          <w:p>
            <w:pPr>
              <w:spacing w:after="0"/>
              <w:rPr>
                <w:color w:val="auto"/>
                <w:sz w:val="12"/>
                <w:szCs w:val="12"/>
              </w:rPr>
            </w:pPr>
          </w:p>
        </w:tc>
        <w:tc>
          <w:tcPr>
            <w:tcW w:w="98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(1,513)</w:t>
            </w:r>
          </w:p>
        </w:tc>
        <w:tc>
          <w:tcPr>
            <w:tcW w:w="260" w:type="dxa"/>
            <w:tcBorders>
              <w:bottom w:val="single" w:sz="8" w:space="0" w:color="auto"/>
            </w:tcBorders>
            <w:shd w:val="clear" w:color="auto" w:fill="CCEEFF"/>
            <w:vAlign w:val="bottom"/>
          </w:tcPr>
          <w:p>
            <w:pPr>
              <w:spacing w:after="0"/>
              <w:rPr>
                <w:color w:val="auto"/>
                <w:sz w:val="12"/>
                <w:szCs w:val="12"/>
              </w:rPr>
            </w:pPr>
          </w:p>
        </w:tc>
        <w:tc>
          <w:tcPr>
            <w:tcW w:w="900" w:type="dxa"/>
            <w:tcBorders>
              <w:bottom w:val="single" w:sz="8" w:space="0" w:color="auto"/>
            </w:tcBorders>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464</w:t>
            </w:r>
          </w:p>
        </w:tc>
        <w:tc>
          <w:tcPr>
            <w:tcW w:w="140" w:type="dxa"/>
            <w:tcBorders>
              <w:bottom w:val="single" w:sz="8" w:space="0" w:color="auto"/>
            </w:tcBorders>
            <w:shd w:val="clear" w:color="auto" w:fill="CCEEFF"/>
            <w:vAlign w:val="bottom"/>
          </w:tcPr>
          <w:p>
            <w:pPr>
              <w:spacing w:after="0"/>
              <w:rPr>
                <w:color w:val="auto"/>
                <w:sz w:val="12"/>
                <w:szCs w:val="12"/>
              </w:rPr>
            </w:pPr>
          </w:p>
        </w:tc>
        <w:tc>
          <w:tcPr>
            <w:tcW w:w="102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(1,458)</w:t>
            </w:r>
          </w:p>
        </w:tc>
        <w:tc>
          <w:tcPr>
            <w:tcW w:w="160" w:type="dxa"/>
            <w:tcBorders>
              <w:bottom w:val="single" w:sz="8" w:space="0" w:color="auto"/>
            </w:tcBorders>
            <w:shd w:val="clear" w:color="auto" w:fill="CCEEFF"/>
            <w:vAlign w:val="bottom"/>
          </w:tcPr>
          <w:p>
            <w:pPr>
              <w:spacing w:after="0"/>
              <w:rPr>
                <w:color w:val="auto"/>
                <w:sz w:val="12"/>
                <w:szCs w:val="12"/>
              </w:rPr>
            </w:pPr>
          </w:p>
        </w:tc>
        <w:tc>
          <w:tcPr>
            <w:tcW w:w="1000" w:type="dxa"/>
            <w:tcBorders>
              <w:bottom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308</w:t>
            </w:r>
          </w:p>
        </w:tc>
        <w:tc>
          <w:tcPr>
            <w:tcW w:w="300" w:type="dxa"/>
            <w:tcBorders>
              <w:bottom w:val="single" w:sz="8" w:space="0" w:color="auto"/>
            </w:tcBorders>
            <w:shd w:val="clear" w:color="auto" w:fill="CCEEFF"/>
            <w:vAlign w:val="bottom"/>
          </w:tcPr>
          <w:p>
            <w:pPr>
              <w:spacing w:after="0"/>
              <w:rPr>
                <w:color w:val="auto"/>
                <w:sz w:val="12"/>
                <w:szCs w:val="12"/>
              </w:rPr>
            </w:pPr>
          </w:p>
        </w:tc>
        <w:tc>
          <w:tcPr>
            <w:tcW w:w="8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(2,199)</w:t>
            </w:r>
          </w:p>
        </w:tc>
        <w:tc>
          <w:tcPr>
            <w:tcW w:w="1" w:type="dxa"/>
            <w:vAlign w:val="bottom"/>
          </w:tcPr>
          <w:p>
            <w:pPr>
              <w:spacing w:after="0"/>
              <w:rPr>
                <w:color w:val="auto"/>
                <w:sz w:val="1"/>
                <w:szCs w:val="1"/>
              </w:rPr>
            </w:pPr>
          </w:p>
        </w:tc>
      </w:tr>
      <w:tr>
        <w:tblPrEx>
          <w:tblInd w:w="0" w:type="dxa"/>
          <w:tblLayout w:type="fixed"/>
        </w:tblPrEx>
        <w:trPr>
          <w:trHeight w:val="142"/>
        </w:trPr>
        <w:tc>
          <w:tcPr>
            <w:tcW w:w="4560" w:type="dxa"/>
            <w:vAlign w:val="bottom"/>
          </w:tcPr>
          <w:p>
            <w:pPr>
              <w:spacing w:after="0" w:line="142" w:lineRule="exact"/>
              <w:rPr>
                <w:color w:val="auto"/>
                <w:sz w:val="20"/>
                <w:szCs w:val="20"/>
              </w:rPr>
            </w:pPr>
            <w:r>
              <w:rPr>
                <w:rFonts w:ascii="Calibri" w:eastAsia="Calibri" w:hAnsi="Calibri" w:cs="Calibri"/>
                <w:color w:val="auto"/>
                <w:sz w:val="12"/>
                <w:szCs w:val="12"/>
              </w:rPr>
              <w:t>Other comprehensive income (loss) before reclassifcatons</w:t>
            </w:r>
          </w:p>
        </w:tc>
        <w:tc>
          <w:tcPr>
            <w:tcW w:w="1160" w:type="dxa"/>
            <w:vAlign w:val="bottom"/>
          </w:tcPr>
          <w:p>
            <w:pPr>
              <w:spacing w:after="0"/>
              <w:rPr>
                <w:color w:val="auto"/>
                <w:sz w:val="12"/>
                <w:szCs w:val="12"/>
              </w:rPr>
            </w:pPr>
          </w:p>
        </w:tc>
        <w:tc>
          <w:tcPr>
            <w:tcW w:w="98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407</w:t>
            </w:r>
          </w:p>
        </w:tc>
        <w:tc>
          <w:tcPr>
            <w:tcW w:w="260" w:type="dxa"/>
            <w:vAlign w:val="bottom"/>
          </w:tcPr>
          <w:p>
            <w:pPr>
              <w:spacing w:after="0"/>
              <w:rPr>
                <w:color w:val="auto"/>
                <w:sz w:val="12"/>
                <w:szCs w:val="12"/>
              </w:rPr>
            </w:pPr>
          </w:p>
        </w:tc>
        <w:tc>
          <w:tcPr>
            <w:tcW w:w="9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(311)</w:t>
            </w:r>
          </w:p>
        </w:tc>
        <w:tc>
          <w:tcPr>
            <w:tcW w:w="140" w:type="dxa"/>
            <w:vAlign w:val="bottom"/>
          </w:tcPr>
          <w:p>
            <w:pPr>
              <w:spacing w:after="0"/>
              <w:rPr>
                <w:color w:val="auto"/>
                <w:sz w:val="12"/>
                <w:szCs w:val="12"/>
              </w:rPr>
            </w:pPr>
          </w:p>
        </w:tc>
        <w:tc>
          <w:tcPr>
            <w:tcW w:w="102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(23)</w:t>
            </w:r>
          </w:p>
        </w:tc>
        <w:tc>
          <w:tcPr>
            <w:tcW w:w="160" w:type="dxa"/>
            <w:vAlign w:val="bottom"/>
          </w:tcPr>
          <w:p>
            <w:pPr>
              <w:spacing w:after="0"/>
              <w:rPr>
                <w:color w:val="auto"/>
                <w:sz w:val="12"/>
                <w:szCs w:val="12"/>
              </w:rPr>
            </w:pPr>
          </w:p>
        </w:tc>
        <w:tc>
          <w:tcPr>
            <w:tcW w:w="1000" w:type="dxa"/>
            <w:vAlign w:val="bottom"/>
          </w:tcPr>
          <w:p>
            <w:pPr>
              <w:spacing w:after="0" w:line="142" w:lineRule="exact"/>
              <w:ind w:right="2"/>
              <w:jc w:val="right"/>
              <w:rPr>
                <w:color w:val="auto"/>
                <w:sz w:val="20"/>
                <w:szCs w:val="20"/>
              </w:rPr>
            </w:pPr>
            <w:r>
              <w:rPr>
                <w:rFonts w:ascii="Calibri" w:eastAsia="Calibri" w:hAnsi="Calibri" w:cs="Calibri"/>
                <w:color w:val="auto"/>
                <w:sz w:val="12"/>
                <w:szCs w:val="12"/>
              </w:rPr>
              <w:t>(10)</w:t>
            </w:r>
          </w:p>
        </w:tc>
        <w:tc>
          <w:tcPr>
            <w:tcW w:w="300" w:type="dxa"/>
            <w:vAlign w:val="bottom"/>
          </w:tcPr>
          <w:p>
            <w:pPr>
              <w:spacing w:after="0"/>
              <w:rPr>
                <w:color w:val="auto"/>
                <w:sz w:val="12"/>
                <w:szCs w:val="12"/>
              </w:rPr>
            </w:pPr>
          </w:p>
        </w:tc>
        <w:tc>
          <w:tcPr>
            <w:tcW w:w="820" w:type="dxa"/>
            <w:vAlign w:val="bottom"/>
          </w:tcPr>
          <w:p>
            <w:pPr>
              <w:spacing w:after="0" w:line="142" w:lineRule="exact"/>
              <w:jc w:val="right"/>
              <w:rPr>
                <w:color w:val="auto"/>
                <w:sz w:val="20"/>
                <w:szCs w:val="20"/>
              </w:rPr>
            </w:pPr>
            <w:r>
              <w:rPr>
                <w:rFonts w:ascii="Calibri" w:eastAsia="Calibri" w:hAnsi="Calibri" w:cs="Calibri"/>
                <w:color w:val="auto"/>
                <w:sz w:val="12"/>
                <w:szCs w:val="12"/>
              </w:rPr>
              <w:t>63</w:t>
            </w:r>
          </w:p>
        </w:tc>
        <w:tc>
          <w:tcPr>
            <w:tcW w:w="1" w:type="dxa"/>
            <w:vAlign w:val="bottom"/>
          </w:tcPr>
          <w:p>
            <w:pPr>
              <w:spacing w:after="0"/>
              <w:rPr>
                <w:color w:val="auto"/>
                <w:sz w:val="1"/>
                <w:szCs w:val="1"/>
              </w:rPr>
            </w:pPr>
          </w:p>
        </w:tc>
      </w:tr>
      <w:tr>
        <w:tblPrEx>
          <w:tblInd w:w="0" w:type="dxa"/>
          <w:tblLayout w:type="fixed"/>
        </w:tblPrEx>
        <w:trPr>
          <w:trHeight w:val="153"/>
        </w:trPr>
        <w:tc>
          <w:tcPr>
            <w:tcW w:w="45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Net gains reclassifed from accumulated other comprehensive loss</w:t>
            </w:r>
          </w:p>
        </w:tc>
        <w:tc>
          <w:tcPr>
            <w:tcW w:w="1160" w:type="dxa"/>
            <w:tcBorders>
              <w:bottom w:val="single" w:sz="8" w:space="0" w:color="auto"/>
            </w:tcBorders>
            <w:shd w:val="clear" w:color="auto" w:fill="CCEEFF"/>
            <w:vAlign w:val="bottom"/>
          </w:tcPr>
          <w:p>
            <w:pPr>
              <w:spacing w:after="0"/>
              <w:rPr>
                <w:color w:val="auto"/>
                <w:sz w:val="13"/>
                <w:szCs w:val="13"/>
              </w:rPr>
            </w:pPr>
          </w:p>
        </w:tc>
        <w:tc>
          <w:tcPr>
            <w:tcW w:w="98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w:t>
            </w:r>
          </w:p>
        </w:tc>
        <w:tc>
          <w:tcPr>
            <w:tcW w:w="260" w:type="dxa"/>
            <w:tcBorders>
              <w:bottom w:val="single" w:sz="8" w:space="0" w:color="auto"/>
            </w:tcBorders>
            <w:shd w:val="clear" w:color="auto" w:fill="CCEEFF"/>
            <w:vAlign w:val="bottom"/>
          </w:tcPr>
          <w:p>
            <w:pPr>
              <w:spacing w:after="0"/>
              <w:rPr>
                <w:color w:val="auto"/>
                <w:sz w:val="13"/>
                <w:szCs w:val="13"/>
              </w:rPr>
            </w:pPr>
          </w:p>
        </w:tc>
        <w:tc>
          <w:tcPr>
            <w:tcW w:w="90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(88)</w:t>
            </w:r>
          </w:p>
        </w:tc>
        <w:tc>
          <w:tcPr>
            <w:tcW w:w="140" w:type="dxa"/>
            <w:tcBorders>
              <w:bottom w:val="single" w:sz="8" w:space="0" w:color="auto"/>
            </w:tcBorders>
            <w:shd w:val="clear" w:color="auto" w:fill="CCEEFF"/>
            <w:vAlign w:val="bottom"/>
          </w:tcPr>
          <w:p>
            <w:pPr>
              <w:spacing w:after="0"/>
              <w:rPr>
                <w:color w:val="auto"/>
                <w:sz w:val="13"/>
                <w:szCs w:val="13"/>
              </w:rPr>
            </w:pPr>
          </w:p>
        </w:tc>
        <w:tc>
          <w:tcPr>
            <w:tcW w:w="102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(7)</w:t>
            </w:r>
          </w:p>
        </w:tc>
        <w:tc>
          <w:tcPr>
            <w:tcW w:w="160" w:type="dxa"/>
            <w:tcBorders>
              <w:bottom w:val="single" w:sz="8" w:space="0" w:color="auto"/>
            </w:tcBorders>
            <w:shd w:val="clear" w:color="auto" w:fill="CCEEFF"/>
            <w:vAlign w:val="bottom"/>
          </w:tcPr>
          <w:p>
            <w:pPr>
              <w:spacing w:after="0"/>
              <w:rPr>
                <w:color w:val="auto"/>
                <w:sz w:val="13"/>
                <w:szCs w:val="13"/>
              </w:rPr>
            </w:pPr>
          </w:p>
        </w:tc>
        <w:tc>
          <w:tcPr>
            <w:tcW w:w="100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(74)</w:t>
            </w:r>
          </w:p>
        </w:tc>
        <w:tc>
          <w:tcPr>
            <w:tcW w:w="300" w:type="dxa"/>
            <w:tcBorders>
              <w:bottom w:val="single" w:sz="8" w:space="0" w:color="auto"/>
            </w:tcBorders>
            <w:shd w:val="clear" w:color="auto" w:fill="CCEEFF"/>
            <w:vAlign w:val="bottom"/>
          </w:tcPr>
          <w:p>
            <w:pPr>
              <w:spacing w:after="0"/>
              <w:rPr>
                <w:color w:val="auto"/>
                <w:sz w:val="13"/>
                <w:szCs w:val="13"/>
              </w:rPr>
            </w:pPr>
          </w:p>
        </w:tc>
        <w:tc>
          <w:tcPr>
            <w:tcW w:w="8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(169)</w:t>
            </w:r>
          </w:p>
        </w:tc>
        <w:tc>
          <w:tcPr>
            <w:tcW w:w="1" w:type="dxa"/>
            <w:vAlign w:val="bottom"/>
          </w:tcPr>
          <w:p>
            <w:pPr>
              <w:spacing w:after="0"/>
              <w:rPr>
                <w:color w:val="auto"/>
                <w:sz w:val="1"/>
                <w:szCs w:val="1"/>
              </w:rPr>
            </w:pPr>
          </w:p>
        </w:tc>
      </w:tr>
      <w:tr>
        <w:tblPrEx>
          <w:tblInd w:w="0" w:type="dxa"/>
          <w:tblLayout w:type="fixed"/>
        </w:tblPrEx>
        <w:trPr>
          <w:trHeight w:val="142"/>
        </w:trPr>
        <w:tc>
          <w:tcPr>
            <w:tcW w:w="4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Net current-period other comprehensive income (loss)</w:t>
            </w:r>
          </w:p>
        </w:tc>
        <w:tc>
          <w:tcPr>
            <w:tcW w:w="116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ind w:right="41"/>
              <w:jc w:val="right"/>
              <w:rPr>
                <w:color w:val="auto"/>
                <w:sz w:val="20"/>
                <w:szCs w:val="20"/>
              </w:rPr>
            </w:pPr>
            <w:r>
              <w:rPr>
                <w:rFonts w:ascii="Calibri" w:eastAsia="Calibri" w:hAnsi="Calibri" w:cs="Calibri"/>
                <w:color w:val="auto"/>
                <w:sz w:val="12"/>
                <w:szCs w:val="12"/>
              </w:rPr>
              <w:t>407</w:t>
            </w:r>
          </w:p>
        </w:tc>
        <w:tc>
          <w:tcPr>
            <w:tcW w:w="260" w:type="dxa"/>
            <w:tcBorders>
              <w:bottom w:val="single" w:sz="8" w:space="0" w:color="auto"/>
            </w:tcBorders>
            <w:vAlign w:val="bottom"/>
          </w:tcPr>
          <w:p>
            <w:pPr>
              <w:spacing w:after="0"/>
              <w:rPr>
                <w:color w:val="auto"/>
                <w:sz w:val="12"/>
                <w:szCs w:val="12"/>
              </w:rPr>
            </w:pPr>
          </w:p>
        </w:tc>
        <w:tc>
          <w:tcPr>
            <w:tcW w:w="90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(399)</w:t>
            </w:r>
          </w:p>
        </w:tc>
        <w:tc>
          <w:tcPr>
            <w:tcW w:w="140" w:type="dxa"/>
            <w:tcBorders>
              <w:bottom w:val="single" w:sz="8" w:space="0" w:color="auto"/>
            </w:tcBorders>
            <w:vAlign w:val="bottom"/>
          </w:tcPr>
          <w:p>
            <w:pPr>
              <w:spacing w:after="0"/>
              <w:rPr>
                <w:color w:val="auto"/>
                <w:sz w:val="12"/>
                <w:szCs w:val="12"/>
              </w:rPr>
            </w:pPr>
          </w:p>
        </w:tc>
        <w:tc>
          <w:tcPr>
            <w:tcW w:w="102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(30)</w:t>
            </w:r>
          </w:p>
        </w:tc>
        <w:tc>
          <w:tcPr>
            <w:tcW w:w="16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(84)</w:t>
            </w:r>
          </w:p>
        </w:tc>
        <w:tc>
          <w:tcPr>
            <w:tcW w:w="300" w:type="dxa"/>
            <w:tcBorders>
              <w:bottom w:val="single" w:sz="8" w:space="0" w:color="auto"/>
            </w:tcBorders>
            <w:vAlign w:val="bottom"/>
          </w:tcPr>
          <w:p>
            <w:pPr>
              <w:spacing w:after="0"/>
              <w:rPr>
                <w:color w:val="auto"/>
                <w:sz w:val="12"/>
                <w:szCs w:val="12"/>
              </w:rPr>
            </w:pPr>
          </w:p>
        </w:tc>
        <w:tc>
          <w:tcPr>
            <w:tcW w:w="8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(106)</w:t>
            </w:r>
          </w:p>
        </w:tc>
        <w:tc>
          <w:tcPr>
            <w:tcW w:w="1" w:type="dxa"/>
            <w:vAlign w:val="bottom"/>
          </w:tcPr>
          <w:p>
            <w:pPr>
              <w:spacing w:after="0"/>
              <w:rPr>
                <w:color w:val="auto"/>
                <w:sz w:val="1"/>
                <w:szCs w:val="1"/>
              </w:rPr>
            </w:pPr>
          </w:p>
        </w:tc>
      </w:tr>
      <w:tr>
        <w:tblPrEx>
          <w:tblInd w:w="0" w:type="dxa"/>
          <w:tblLayout w:type="fixed"/>
        </w:tblPrEx>
        <w:trPr>
          <w:trHeight w:val="142"/>
        </w:trPr>
        <w:tc>
          <w:tcPr>
            <w:tcW w:w="45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Balance as of December 31, 2023</w:t>
            </w:r>
          </w:p>
        </w:tc>
        <w:tc>
          <w:tcPr>
            <w:tcW w:w="1160" w:type="dxa"/>
            <w:tcBorders>
              <w:bottom w:val="single" w:sz="8" w:space="0" w:color="auto"/>
            </w:tcBorders>
            <w:shd w:val="clear" w:color="auto" w:fill="CCEEFF"/>
            <w:vAlign w:val="bottom"/>
          </w:tcPr>
          <w:p>
            <w:pPr>
              <w:spacing w:after="0"/>
              <w:rPr>
                <w:color w:val="auto"/>
                <w:sz w:val="12"/>
                <w:szCs w:val="12"/>
              </w:rPr>
            </w:pPr>
          </w:p>
        </w:tc>
        <w:tc>
          <w:tcPr>
            <w:tcW w:w="98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(1,106)</w:t>
            </w:r>
          </w:p>
        </w:tc>
        <w:tc>
          <w:tcPr>
            <w:tcW w:w="260" w:type="dxa"/>
            <w:tcBorders>
              <w:bottom w:val="single" w:sz="8" w:space="0" w:color="auto"/>
            </w:tcBorders>
            <w:shd w:val="clear" w:color="auto" w:fill="CCEEFF"/>
            <w:vAlign w:val="bottom"/>
          </w:tcPr>
          <w:p>
            <w:pPr>
              <w:spacing w:after="0"/>
              <w:rPr>
                <w:color w:val="auto"/>
                <w:sz w:val="12"/>
                <w:szCs w:val="12"/>
              </w:rPr>
            </w:pPr>
          </w:p>
        </w:tc>
        <w:tc>
          <w:tcPr>
            <w:tcW w:w="900" w:type="dxa"/>
            <w:tcBorders>
              <w:bottom w:val="single" w:sz="8" w:space="0" w:color="auto"/>
            </w:tcBorders>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65</w:t>
            </w:r>
          </w:p>
        </w:tc>
        <w:tc>
          <w:tcPr>
            <w:tcW w:w="140" w:type="dxa"/>
            <w:tcBorders>
              <w:bottom w:val="single" w:sz="8" w:space="0" w:color="auto"/>
            </w:tcBorders>
            <w:shd w:val="clear" w:color="auto" w:fill="CCEEFF"/>
            <w:vAlign w:val="bottom"/>
          </w:tcPr>
          <w:p>
            <w:pPr>
              <w:spacing w:after="0"/>
              <w:rPr>
                <w:color w:val="auto"/>
                <w:sz w:val="12"/>
                <w:szCs w:val="12"/>
              </w:rPr>
            </w:pPr>
          </w:p>
        </w:tc>
        <w:tc>
          <w:tcPr>
            <w:tcW w:w="102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(1,488)</w:t>
            </w:r>
          </w:p>
        </w:tc>
        <w:tc>
          <w:tcPr>
            <w:tcW w:w="160" w:type="dxa"/>
            <w:tcBorders>
              <w:bottom w:val="single" w:sz="8" w:space="0" w:color="auto"/>
            </w:tcBorders>
            <w:shd w:val="clear" w:color="auto" w:fill="CCEEFF"/>
            <w:vAlign w:val="bottom"/>
          </w:tcPr>
          <w:p>
            <w:pPr>
              <w:spacing w:after="0"/>
              <w:rPr>
                <w:color w:val="auto"/>
                <w:sz w:val="12"/>
                <w:szCs w:val="12"/>
              </w:rPr>
            </w:pPr>
          </w:p>
        </w:tc>
        <w:tc>
          <w:tcPr>
            <w:tcW w:w="1000" w:type="dxa"/>
            <w:tcBorders>
              <w:bottom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224</w:t>
            </w:r>
          </w:p>
        </w:tc>
        <w:tc>
          <w:tcPr>
            <w:tcW w:w="300" w:type="dxa"/>
            <w:tcBorders>
              <w:bottom w:val="single" w:sz="8" w:space="0" w:color="auto"/>
            </w:tcBorders>
            <w:shd w:val="clear" w:color="auto" w:fill="CCEEFF"/>
            <w:vAlign w:val="bottom"/>
          </w:tcPr>
          <w:p>
            <w:pPr>
              <w:spacing w:after="0"/>
              <w:rPr>
                <w:color w:val="auto"/>
                <w:sz w:val="12"/>
                <w:szCs w:val="12"/>
              </w:rPr>
            </w:pPr>
          </w:p>
        </w:tc>
        <w:tc>
          <w:tcPr>
            <w:tcW w:w="8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(2,305)</w:t>
            </w:r>
          </w:p>
        </w:tc>
        <w:tc>
          <w:tcPr>
            <w:tcW w:w="1" w:type="dxa"/>
            <w:vAlign w:val="bottom"/>
          </w:tcPr>
          <w:p>
            <w:pPr>
              <w:spacing w:after="0"/>
              <w:rPr>
                <w:color w:val="auto"/>
                <w:sz w:val="1"/>
                <w:szCs w:val="1"/>
              </w:rPr>
            </w:pPr>
          </w:p>
        </w:tc>
      </w:tr>
      <w:tr>
        <w:tblPrEx>
          <w:tblInd w:w="0" w:type="dxa"/>
          <w:tblLayout w:type="fixed"/>
        </w:tblPrEx>
        <w:trPr>
          <w:trHeight w:val="142"/>
        </w:trPr>
        <w:tc>
          <w:tcPr>
            <w:tcW w:w="4560" w:type="dxa"/>
            <w:vAlign w:val="bottom"/>
          </w:tcPr>
          <w:p>
            <w:pPr>
              <w:spacing w:after="0" w:line="142" w:lineRule="exact"/>
              <w:rPr>
                <w:color w:val="auto"/>
                <w:sz w:val="20"/>
                <w:szCs w:val="20"/>
              </w:rPr>
            </w:pPr>
            <w:r>
              <w:rPr>
                <w:rFonts w:ascii="Calibri" w:eastAsia="Calibri" w:hAnsi="Calibri" w:cs="Calibri"/>
                <w:color w:val="auto"/>
                <w:sz w:val="12"/>
                <w:szCs w:val="12"/>
              </w:rPr>
              <w:t>Other comprehensive income (loss) before reclassifcatons</w:t>
            </w:r>
          </w:p>
        </w:tc>
        <w:tc>
          <w:tcPr>
            <w:tcW w:w="1160" w:type="dxa"/>
            <w:vAlign w:val="bottom"/>
          </w:tcPr>
          <w:p>
            <w:pPr>
              <w:spacing w:after="0"/>
              <w:rPr>
                <w:color w:val="auto"/>
                <w:sz w:val="12"/>
                <w:szCs w:val="12"/>
              </w:rPr>
            </w:pPr>
          </w:p>
        </w:tc>
        <w:tc>
          <w:tcPr>
            <w:tcW w:w="98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(1,008)</w:t>
            </w:r>
          </w:p>
        </w:tc>
        <w:tc>
          <w:tcPr>
            <w:tcW w:w="260" w:type="dxa"/>
            <w:vAlign w:val="bottom"/>
          </w:tcPr>
          <w:p>
            <w:pPr>
              <w:spacing w:after="0"/>
              <w:rPr>
                <w:color w:val="auto"/>
                <w:sz w:val="12"/>
                <w:szCs w:val="12"/>
              </w:rPr>
            </w:pPr>
          </w:p>
        </w:tc>
        <w:tc>
          <w:tcPr>
            <w:tcW w:w="90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580</w:t>
            </w:r>
          </w:p>
        </w:tc>
        <w:tc>
          <w:tcPr>
            <w:tcW w:w="140" w:type="dxa"/>
            <w:vAlign w:val="bottom"/>
          </w:tcPr>
          <w:p>
            <w:pPr>
              <w:spacing w:after="0"/>
              <w:rPr>
                <w:color w:val="auto"/>
                <w:sz w:val="12"/>
                <w:szCs w:val="12"/>
              </w:rPr>
            </w:pPr>
          </w:p>
        </w:tc>
        <w:tc>
          <w:tcPr>
            <w:tcW w:w="102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799</w:t>
            </w:r>
          </w:p>
        </w:tc>
        <w:tc>
          <w:tcPr>
            <w:tcW w:w="160" w:type="dxa"/>
            <w:vAlign w:val="bottom"/>
          </w:tcPr>
          <w:p>
            <w:pPr>
              <w:spacing w:after="0"/>
              <w:rPr>
                <w:color w:val="auto"/>
                <w:sz w:val="12"/>
                <w:szCs w:val="12"/>
              </w:rPr>
            </w:pPr>
          </w:p>
        </w:tc>
        <w:tc>
          <w:tcPr>
            <w:tcW w:w="100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155</w:t>
            </w:r>
          </w:p>
        </w:tc>
        <w:tc>
          <w:tcPr>
            <w:tcW w:w="300" w:type="dxa"/>
            <w:vAlign w:val="bottom"/>
          </w:tcPr>
          <w:p>
            <w:pPr>
              <w:spacing w:after="0"/>
              <w:rPr>
                <w:color w:val="auto"/>
                <w:sz w:val="12"/>
                <w:szCs w:val="12"/>
              </w:rPr>
            </w:pPr>
          </w:p>
        </w:tc>
        <w:tc>
          <w:tcPr>
            <w:tcW w:w="820" w:type="dxa"/>
            <w:vAlign w:val="bottom"/>
          </w:tcPr>
          <w:p>
            <w:pPr>
              <w:spacing w:after="0" w:line="142" w:lineRule="exact"/>
              <w:jc w:val="right"/>
              <w:rPr>
                <w:color w:val="auto"/>
                <w:sz w:val="20"/>
                <w:szCs w:val="20"/>
              </w:rPr>
            </w:pPr>
            <w:r>
              <w:rPr>
                <w:rFonts w:ascii="Calibri" w:eastAsia="Calibri" w:hAnsi="Calibri" w:cs="Calibri"/>
                <w:color w:val="auto"/>
                <w:sz w:val="12"/>
                <w:szCs w:val="12"/>
              </w:rPr>
              <w:t>526</w:t>
            </w:r>
          </w:p>
        </w:tc>
        <w:tc>
          <w:tcPr>
            <w:tcW w:w="1" w:type="dxa"/>
            <w:vAlign w:val="bottom"/>
          </w:tcPr>
          <w:p>
            <w:pPr>
              <w:spacing w:after="0"/>
              <w:rPr>
                <w:color w:val="auto"/>
                <w:sz w:val="1"/>
                <w:szCs w:val="1"/>
              </w:rPr>
            </w:pPr>
          </w:p>
        </w:tc>
      </w:tr>
      <w:tr>
        <w:tblPrEx>
          <w:tblInd w:w="0" w:type="dxa"/>
          <w:tblLayout w:type="fixed"/>
        </w:tblPrEx>
        <w:trPr>
          <w:trHeight w:val="153"/>
        </w:trPr>
        <w:tc>
          <w:tcPr>
            <w:tcW w:w="45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Net losses (gains) reclassifed from accumulated other comprehensive loss</w:t>
            </w:r>
          </w:p>
        </w:tc>
        <w:tc>
          <w:tcPr>
            <w:tcW w:w="1160" w:type="dxa"/>
            <w:tcBorders>
              <w:bottom w:val="single" w:sz="8" w:space="0" w:color="auto"/>
            </w:tcBorders>
            <w:shd w:val="clear" w:color="auto" w:fill="CCEEFF"/>
            <w:vAlign w:val="bottom"/>
          </w:tcPr>
          <w:p>
            <w:pPr>
              <w:spacing w:after="0"/>
              <w:rPr>
                <w:color w:val="auto"/>
                <w:sz w:val="13"/>
                <w:szCs w:val="13"/>
              </w:rPr>
            </w:pPr>
          </w:p>
        </w:tc>
        <w:tc>
          <w:tcPr>
            <w:tcW w:w="98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w:t>
            </w:r>
          </w:p>
        </w:tc>
        <w:tc>
          <w:tcPr>
            <w:tcW w:w="260" w:type="dxa"/>
            <w:tcBorders>
              <w:bottom w:val="single" w:sz="8" w:space="0" w:color="auto"/>
            </w:tcBorders>
            <w:shd w:val="clear" w:color="auto" w:fill="CCEEFF"/>
            <w:vAlign w:val="bottom"/>
          </w:tcPr>
          <w:p>
            <w:pPr>
              <w:spacing w:after="0"/>
              <w:rPr>
                <w:color w:val="auto"/>
                <w:sz w:val="13"/>
                <w:szCs w:val="13"/>
              </w:rPr>
            </w:pPr>
          </w:p>
        </w:tc>
        <w:tc>
          <w:tcPr>
            <w:tcW w:w="90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(96)</w:t>
            </w:r>
          </w:p>
        </w:tc>
        <w:tc>
          <w:tcPr>
            <w:tcW w:w="140" w:type="dxa"/>
            <w:tcBorders>
              <w:bottom w:val="single" w:sz="8" w:space="0" w:color="auto"/>
            </w:tcBorders>
            <w:shd w:val="clear" w:color="auto" w:fill="CCEEFF"/>
            <w:vAlign w:val="bottom"/>
          </w:tcPr>
          <w:p>
            <w:pPr>
              <w:spacing w:after="0"/>
              <w:rPr>
                <w:color w:val="auto"/>
                <w:sz w:val="13"/>
                <w:szCs w:val="13"/>
              </w:rPr>
            </w:pPr>
          </w:p>
        </w:tc>
        <w:tc>
          <w:tcPr>
            <w:tcW w:w="1020" w:type="dxa"/>
            <w:tcBorders>
              <w:bottom w:val="single" w:sz="8" w:space="0" w:color="auto"/>
            </w:tcBorders>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25</w:t>
            </w:r>
          </w:p>
        </w:tc>
        <w:tc>
          <w:tcPr>
            <w:tcW w:w="160" w:type="dxa"/>
            <w:tcBorders>
              <w:bottom w:val="single" w:sz="8" w:space="0" w:color="auto"/>
            </w:tcBorders>
            <w:shd w:val="clear" w:color="auto" w:fill="CCEEFF"/>
            <w:vAlign w:val="bottom"/>
          </w:tcPr>
          <w:p>
            <w:pPr>
              <w:spacing w:after="0"/>
              <w:rPr>
                <w:color w:val="auto"/>
                <w:sz w:val="13"/>
                <w:szCs w:val="13"/>
              </w:rPr>
            </w:pPr>
          </w:p>
        </w:tc>
        <w:tc>
          <w:tcPr>
            <w:tcW w:w="1000" w:type="dxa"/>
            <w:tcBorders>
              <w:bottom w:val="single" w:sz="8" w:space="0" w:color="auto"/>
            </w:tcBorders>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(75)</w:t>
            </w:r>
          </w:p>
        </w:tc>
        <w:tc>
          <w:tcPr>
            <w:tcW w:w="300" w:type="dxa"/>
            <w:tcBorders>
              <w:bottom w:val="single" w:sz="8" w:space="0" w:color="auto"/>
            </w:tcBorders>
            <w:shd w:val="clear" w:color="auto" w:fill="CCEEFF"/>
            <w:vAlign w:val="bottom"/>
          </w:tcPr>
          <w:p>
            <w:pPr>
              <w:spacing w:after="0"/>
              <w:rPr>
                <w:color w:val="auto"/>
                <w:sz w:val="13"/>
                <w:szCs w:val="13"/>
              </w:rPr>
            </w:pPr>
          </w:p>
        </w:tc>
        <w:tc>
          <w:tcPr>
            <w:tcW w:w="8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(146)</w:t>
            </w:r>
          </w:p>
        </w:tc>
        <w:tc>
          <w:tcPr>
            <w:tcW w:w="1" w:type="dxa"/>
            <w:vAlign w:val="bottom"/>
          </w:tcPr>
          <w:p>
            <w:pPr>
              <w:spacing w:after="0"/>
              <w:rPr>
                <w:color w:val="auto"/>
                <w:sz w:val="1"/>
                <w:szCs w:val="1"/>
              </w:rPr>
            </w:pPr>
          </w:p>
        </w:tc>
      </w:tr>
      <w:tr>
        <w:tblPrEx>
          <w:tblInd w:w="0" w:type="dxa"/>
          <w:tblLayout w:type="fixed"/>
        </w:tblPrEx>
        <w:trPr>
          <w:trHeight w:val="142"/>
        </w:trPr>
        <w:tc>
          <w:tcPr>
            <w:tcW w:w="45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Net current-period other comprehensive income (loss)</w:t>
            </w:r>
          </w:p>
        </w:tc>
        <w:tc>
          <w:tcPr>
            <w:tcW w:w="1160" w:type="dxa"/>
            <w:tcBorders>
              <w:bottom w:val="single" w:sz="8" w:space="0" w:color="auto"/>
            </w:tcBorders>
            <w:vAlign w:val="bottom"/>
          </w:tcPr>
          <w:p>
            <w:pPr>
              <w:spacing w:after="0"/>
              <w:rPr>
                <w:color w:val="auto"/>
                <w:sz w:val="12"/>
                <w:szCs w:val="12"/>
              </w:rPr>
            </w:pPr>
          </w:p>
        </w:tc>
        <w:tc>
          <w:tcPr>
            <w:tcW w:w="98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(1,008)</w:t>
            </w:r>
          </w:p>
        </w:tc>
        <w:tc>
          <w:tcPr>
            <w:tcW w:w="260" w:type="dxa"/>
            <w:tcBorders>
              <w:bottom w:val="single" w:sz="8" w:space="0" w:color="auto"/>
            </w:tcBorders>
            <w:vAlign w:val="bottom"/>
          </w:tcPr>
          <w:p>
            <w:pPr>
              <w:spacing w:after="0"/>
              <w:rPr>
                <w:color w:val="auto"/>
                <w:sz w:val="12"/>
                <w:szCs w:val="12"/>
              </w:rPr>
            </w:pPr>
          </w:p>
        </w:tc>
        <w:tc>
          <w:tcPr>
            <w:tcW w:w="90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484</w:t>
            </w:r>
          </w:p>
        </w:tc>
        <w:tc>
          <w:tcPr>
            <w:tcW w:w="140" w:type="dxa"/>
            <w:tcBorders>
              <w:bottom w:val="single" w:sz="8" w:space="0" w:color="auto"/>
            </w:tcBorders>
            <w:vAlign w:val="bottom"/>
          </w:tcPr>
          <w:p>
            <w:pPr>
              <w:spacing w:after="0"/>
              <w:rPr>
                <w:color w:val="auto"/>
                <w:sz w:val="12"/>
                <w:szCs w:val="12"/>
              </w:rPr>
            </w:pPr>
          </w:p>
        </w:tc>
        <w:tc>
          <w:tcPr>
            <w:tcW w:w="102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824</w:t>
            </w:r>
          </w:p>
        </w:tc>
        <w:tc>
          <w:tcPr>
            <w:tcW w:w="160" w:type="dxa"/>
            <w:tcBorders>
              <w:bottom w:val="single" w:sz="8" w:space="0" w:color="auto"/>
            </w:tcBorders>
            <w:vAlign w:val="bottom"/>
          </w:tcPr>
          <w:p>
            <w:pPr>
              <w:spacing w:after="0"/>
              <w:rPr>
                <w:color w:val="auto"/>
                <w:sz w:val="12"/>
                <w:szCs w:val="12"/>
              </w:rPr>
            </w:pPr>
          </w:p>
        </w:tc>
        <w:tc>
          <w:tcPr>
            <w:tcW w:w="100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80</w:t>
            </w:r>
          </w:p>
        </w:tc>
        <w:tc>
          <w:tcPr>
            <w:tcW w:w="300" w:type="dxa"/>
            <w:tcBorders>
              <w:bottom w:val="single" w:sz="8" w:space="0" w:color="auto"/>
            </w:tcBorders>
            <w:vAlign w:val="bottom"/>
          </w:tcPr>
          <w:p>
            <w:pPr>
              <w:spacing w:after="0"/>
              <w:rPr>
                <w:color w:val="auto"/>
                <w:sz w:val="12"/>
                <w:szCs w:val="12"/>
              </w:rPr>
            </w:pPr>
          </w:p>
        </w:tc>
        <w:tc>
          <w:tcPr>
            <w:tcW w:w="82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380</w:t>
            </w:r>
          </w:p>
        </w:tc>
        <w:tc>
          <w:tcPr>
            <w:tcW w:w="1" w:type="dxa"/>
            <w:vAlign w:val="bottom"/>
          </w:tcPr>
          <w:p>
            <w:pPr>
              <w:spacing w:after="0"/>
              <w:rPr>
                <w:color w:val="auto"/>
                <w:sz w:val="1"/>
                <w:szCs w:val="1"/>
              </w:rPr>
            </w:pPr>
          </w:p>
        </w:tc>
      </w:tr>
      <w:tr>
        <w:tblPrEx>
          <w:tblInd w:w="0" w:type="dxa"/>
          <w:tblLayout w:type="fixed"/>
        </w:tblPrEx>
        <w:trPr>
          <w:trHeight w:val="164"/>
        </w:trPr>
        <w:tc>
          <w:tcPr>
            <w:tcW w:w="45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Balance as of December 31, 2024</w:t>
            </w:r>
          </w:p>
        </w:tc>
        <w:tc>
          <w:tcPr>
            <w:tcW w:w="1160" w:type="dxa"/>
            <w:tcBorders>
              <w:bottom w:val="single" w:sz="8" w:space="0" w:color="auto"/>
            </w:tcBorders>
            <w:shd w:val="clear" w:color="auto" w:fill="CCEEFF"/>
            <w:vAlign w:val="bottom"/>
          </w:tcPr>
          <w:p>
            <w:pPr>
              <w:spacing w:after="0" w:line="142" w:lineRule="exact"/>
              <w:ind w:right="4"/>
              <w:jc w:val="right"/>
              <w:rPr>
                <w:color w:val="auto"/>
                <w:sz w:val="20"/>
                <w:szCs w:val="20"/>
              </w:rPr>
            </w:pPr>
            <w:r>
              <w:rPr>
                <w:rFonts w:ascii="Calibri" w:eastAsia="Calibri" w:hAnsi="Calibri" w:cs="Calibri"/>
                <w:color w:val="auto"/>
                <w:sz w:val="12"/>
                <w:szCs w:val="12"/>
              </w:rPr>
              <w:t>$</w:t>
            </w:r>
          </w:p>
        </w:tc>
        <w:tc>
          <w:tcPr>
            <w:tcW w:w="98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(2,114)</w:t>
            </w:r>
          </w:p>
        </w:tc>
        <w:tc>
          <w:tcPr>
            <w:tcW w:w="260" w:type="dxa"/>
            <w:tcBorders>
              <w:bottom w:val="single" w:sz="8" w:space="0" w:color="auto"/>
            </w:tcBorders>
            <w:shd w:val="clear" w:color="auto" w:fill="CCEEFF"/>
            <w:vAlign w:val="bottom"/>
          </w:tcPr>
          <w:p>
            <w:pPr>
              <w:spacing w:after="0" w:line="142" w:lineRule="exact"/>
              <w:ind w:right="84"/>
              <w:jc w:val="right"/>
              <w:rPr>
                <w:color w:val="auto"/>
                <w:sz w:val="20"/>
                <w:szCs w:val="20"/>
              </w:rPr>
            </w:pPr>
            <w:r>
              <w:rPr>
                <w:rFonts w:ascii="Calibri" w:eastAsia="Calibri" w:hAnsi="Calibri" w:cs="Calibri"/>
                <w:color w:val="auto"/>
                <w:sz w:val="12"/>
                <w:szCs w:val="12"/>
              </w:rPr>
              <w:t>$</w:t>
            </w:r>
          </w:p>
        </w:tc>
        <w:tc>
          <w:tcPr>
            <w:tcW w:w="900" w:type="dxa"/>
            <w:tcBorders>
              <w:bottom w:val="single" w:sz="8" w:space="0" w:color="auto"/>
            </w:tcBorders>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549</w:t>
            </w:r>
          </w:p>
        </w:tc>
        <w:tc>
          <w:tcPr>
            <w:tcW w:w="14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02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(664)</w:t>
            </w:r>
          </w:p>
        </w:tc>
        <w:tc>
          <w:tcPr>
            <w:tcW w:w="16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w:t>
            </w:r>
          </w:p>
        </w:tc>
        <w:tc>
          <w:tcPr>
            <w:tcW w:w="1000" w:type="dxa"/>
            <w:tcBorders>
              <w:bottom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304</w:t>
            </w:r>
          </w:p>
        </w:tc>
        <w:tc>
          <w:tcPr>
            <w:tcW w:w="300" w:type="dxa"/>
            <w:tcBorders>
              <w:bottom w:val="single" w:sz="8" w:space="0" w:color="auto"/>
            </w:tcBorders>
            <w:shd w:val="clear" w:color="auto" w:fill="CCEEFF"/>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c>
          <w:tcPr>
            <w:tcW w:w="82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(1,925)</w:t>
            </w:r>
          </w:p>
        </w:tc>
        <w:tc>
          <w:tcPr>
            <w:tcW w:w="1" w:type="dxa"/>
            <w:vAlign w:val="bottom"/>
          </w:tcPr>
          <w:p>
            <w:pPr>
              <w:spacing w:after="0"/>
              <w:rPr>
                <w:color w:val="auto"/>
                <w:sz w:val="1"/>
                <w:szCs w:val="1"/>
              </w:rPr>
            </w:pPr>
          </w:p>
        </w:tc>
      </w:tr>
    </w:tbl>
    <w:p>
      <w:pPr>
        <w:spacing w:after="0" w:line="192" w:lineRule="exact"/>
        <w:rPr>
          <w:color w:val="auto"/>
          <w:sz w:val="20"/>
          <w:szCs w:val="20"/>
        </w:rPr>
      </w:pPr>
    </w:p>
    <w:p>
      <w:pPr>
        <w:spacing w:after="0" w:line="235" w:lineRule="auto"/>
        <w:ind w:right="20" w:firstLine="297"/>
        <w:rPr>
          <w:color w:val="auto"/>
          <w:sz w:val="20"/>
          <w:szCs w:val="20"/>
        </w:rPr>
      </w:pPr>
      <w:r>
        <w:rPr>
          <w:rFonts w:ascii="Calibri" w:eastAsia="Calibri" w:hAnsi="Calibri" w:cs="Calibri"/>
          <w:color w:val="auto"/>
          <w:sz w:val="12"/>
          <w:szCs w:val="12"/>
        </w:rPr>
        <w:t>Other comprehensive income (loss) for 2024 included pension and post-employment beneft plan gains of $824 million primarily due to actuarial gains driven by higher discount rates. Other comprehensive income (loss) for 2024 also included foreign currency translaton adjustments totaling losses of $1.0 billion principally due to the impact of the weakening of the Euro on the translaton of the company's Euro-denominated assets and the ofsetng impact of net investment hedging actvites totaling gains of $484 million. Other comprehensive income (loss) for 2023 included foreign currency translaton adjustments totaling gains of $407 million principally due to the impact of the strengthening of the Euro on the translaton of the company’s Euro-denominated assets and the ofsetng impact of net investment hedging actvites totaling losses of $399 million. Other comprehensive income for 2022 included pension and post-employment beneft plan gains of $1.1 billion primarily due to actuarial gains driven by higher discount rates partally ofset by losses on plan assets. Other comprehensive income (loss) for 2022 also included foreign currency translaton adjustments totaling losses of $943 million principally due to the impact of the weakening of the Euro on the translaton of the company's Euro-denominated assets and the ofsetng impact of net investment hedging actvites totaling gains of $555 million.</w:t>
      </w:r>
    </w:p>
    <w:p>
      <w:pPr>
        <w:spacing w:after="0" w:line="200" w:lineRule="exact"/>
        <w:rPr>
          <w:color w:val="auto"/>
          <w:sz w:val="20"/>
          <w:szCs w:val="20"/>
        </w:rPr>
      </w:pPr>
    </w:p>
    <w:p>
      <w:pPr>
        <w:spacing w:after="0" w:line="213"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91</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89664" behindDoc="1" locked="0" layoutInCell="0" allowOverlap="1">
            <wp:simplePos x="0" y="0"/>
            <wp:positionH relativeFrom="column">
              <wp:posOffset>-17145</wp:posOffset>
            </wp:positionH>
            <wp:positionV relativeFrom="paragraph">
              <wp:posOffset>133985</wp:posOffset>
            </wp:positionV>
            <wp:extent cx="7203440" cy="3683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890688" behindDoc="1" locked="0" layoutInCell="0" allowOverlap="1">
            <wp:simplePos x="0" y="0"/>
            <wp:positionH relativeFrom="column">
              <wp:posOffset>292100</wp:posOffset>
            </wp:positionH>
            <wp:positionV relativeFrom="paragraph">
              <wp:posOffset>-75565</wp:posOffset>
            </wp:positionV>
            <wp:extent cx="400050" cy="74295"/>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93" w:name="page94"/>
    <w:bookmarkEnd w:id="93"/>
    <w:p>
      <w:pPr>
        <w:spacing w:after="0"/>
        <w:ind w:left="280"/>
        <w:rPr>
          <w:color w:val="auto"/>
          <w:sz w:val="20"/>
          <w:szCs w:val="20"/>
        </w:rPr>
      </w:pPr>
      <w:r>
        <w:rPr>
          <w:rFonts w:ascii="Calibri" w:eastAsia="Calibri" w:hAnsi="Calibri" w:cs="Calibri"/>
          <w:color w:val="auto"/>
          <w:sz w:val="12"/>
          <w:szCs w:val="12"/>
        </w:rPr>
        <w:t>The table below presents the impact on AbbVie's consolidated statements of earnings for signifcant amounts reclassifed out of each component of accumulated other comprehensive loss: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960"/>
        <w:gridCol w:w="2820"/>
        <w:gridCol w:w="480"/>
        <w:gridCol w:w="1040"/>
        <w:gridCol w:w="500"/>
        <w:gridCol w:w="380"/>
        <w:gridCol w:w="1100"/>
      </w:tblGrid>
      <w:tr>
        <w:tblPrEx>
          <w:tblInd w:w="0" w:type="dxa"/>
          <w:tblLayout w:type="fixed"/>
        </w:tblPrEx>
        <w:trPr>
          <w:trHeight w:val="122"/>
        </w:trPr>
        <w:tc>
          <w:tcPr>
            <w:tcW w:w="4960" w:type="dxa"/>
            <w:vAlign w:val="bottom"/>
          </w:tcPr>
          <w:p>
            <w:pPr>
              <w:spacing w:after="0"/>
              <w:rPr>
                <w:color w:val="auto"/>
                <w:sz w:val="20"/>
                <w:szCs w:val="20"/>
              </w:rPr>
            </w:pPr>
            <w:r>
              <w:rPr>
                <w:rFonts w:ascii="Calibri" w:eastAsia="Calibri" w:hAnsi="Calibri" w:cs="Calibri"/>
                <w:b/>
                <w:bCs/>
                <w:color w:val="auto"/>
                <w:sz w:val="10"/>
                <w:szCs w:val="10"/>
              </w:rPr>
              <w:t>years ended December 31 (in millions) (brackets denote gains)</w:t>
            </w:r>
          </w:p>
        </w:tc>
        <w:tc>
          <w:tcPr>
            <w:tcW w:w="2820" w:type="dxa"/>
            <w:vAlign w:val="bottom"/>
          </w:tcPr>
          <w:p>
            <w:pPr>
              <w:spacing w:after="0"/>
              <w:ind w:right="122"/>
              <w:jc w:val="right"/>
              <w:rPr>
                <w:color w:val="auto"/>
                <w:sz w:val="20"/>
                <w:szCs w:val="20"/>
              </w:rPr>
            </w:pPr>
            <w:r>
              <w:rPr>
                <w:rFonts w:ascii="Calibri" w:eastAsia="Calibri" w:hAnsi="Calibri" w:cs="Calibri"/>
                <w:b/>
                <w:bCs/>
                <w:color w:val="auto"/>
                <w:sz w:val="10"/>
                <w:szCs w:val="10"/>
              </w:rPr>
              <w:t>2024</w:t>
            </w:r>
          </w:p>
        </w:tc>
        <w:tc>
          <w:tcPr>
            <w:tcW w:w="480" w:type="dxa"/>
            <w:vAlign w:val="bottom"/>
          </w:tcPr>
          <w:p>
            <w:pPr>
              <w:spacing w:after="0"/>
              <w:rPr>
                <w:color w:val="auto"/>
                <w:sz w:val="10"/>
                <w:szCs w:val="10"/>
              </w:rPr>
            </w:pPr>
          </w:p>
        </w:tc>
        <w:tc>
          <w:tcPr>
            <w:tcW w:w="1040" w:type="dxa"/>
            <w:vAlign w:val="bottom"/>
          </w:tcPr>
          <w:p>
            <w:pPr>
              <w:spacing w:after="0"/>
              <w:ind w:right="122"/>
              <w:jc w:val="right"/>
              <w:rPr>
                <w:color w:val="auto"/>
                <w:sz w:val="20"/>
                <w:szCs w:val="20"/>
              </w:rPr>
            </w:pPr>
            <w:r>
              <w:rPr>
                <w:rFonts w:ascii="Calibri" w:eastAsia="Calibri" w:hAnsi="Calibri" w:cs="Calibri"/>
                <w:b/>
                <w:bCs/>
                <w:color w:val="auto"/>
                <w:sz w:val="10"/>
                <w:szCs w:val="10"/>
              </w:rPr>
              <w:t>2023</w:t>
            </w:r>
          </w:p>
        </w:tc>
        <w:tc>
          <w:tcPr>
            <w:tcW w:w="500" w:type="dxa"/>
            <w:vAlign w:val="bottom"/>
          </w:tcPr>
          <w:p>
            <w:pPr>
              <w:spacing w:after="0"/>
              <w:rPr>
                <w:color w:val="auto"/>
                <w:sz w:val="10"/>
                <w:szCs w:val="10"/>
              </w:rPr>
            </w:pPr>
          </w:p>
        </w:tc>
        <w:tc>
          <w:tcPr>
            <w:tcW w:w="380" w:type="dxa"/>
            <w:vAlign w:val="bottom"/>
          </w:tcPr>
          <w:p>
            <w:pPr>
              <w:spacing w:after="0"/>
              <w:rPr>
                <w:color w:val="auto"/>
                <w:sz w:val="10"/>
                <w:szCs w:val="10"/>
              </w:rPr>
            </w:pPr>
          </w:p>
        </w:tc>
        <w:tc>
          <w:tcPr>
            <w:tcW w:w="1100" w:type="dxa"/>
            <w:vAlign w:val="bottom"/>
          </w:tcPr>
          <w:p>
            <w:pPr>
              <w:spacing w:after="0"/>
              <w:ind w:right="561"/>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960" w:type="dxa"/>
            <w:tcBorders>
              <w:bottom w:val="single" w:sz="8" w:space="0" w:color="auto"/>
            </w:tcBorders>
            <w:vAlign w:val="bottom"/>
          </w:tcPr>
          <w:p>
            <w:pPr>
              <w:spacing w:after="0"/>
              <w:rPr>
                <w:color w:val="auto"/>
                <w:sz w:val="2"/>
                <w:szCs w:val="2"/>
              </w:rPr>
            </w:pPr>
          </w:p>
        </w:tc>
        <w:tc>
          <w:tcPr>
            <w:tcW w:w="2820" w:type="dxa"/>
            <w:tcBorders>
              <w:bottom w:val="single" w:sz="8" w:space="0" w:color="auto"/>
            </w:tcBorders>
            <w:vAlign w:val="bottom"/>
          </w:tcPr>
          <w:p>
            <w:pPr>
              <w:spacing w:after="0"/>
              <w:rPr>
                <w:color w:val="auto"/>
                <w:sz w:val="2"/>
                <w:szCs w:val="2"/>
              </w:rPr>
            </w:pPr>
          </w:p>
        </w:tc>
        <w:tc>
          <w:tcPr>
            <w:tcW w:w="480" w:type="dxa"/>
            <w:tcBorders>
              <w:bottom w:val="single" w:sz="8" w:space="0" w:color="auto"/>
            </w:tcBorders>
            <w:vAlign w:val="bottom"/>
          </w:tcPr>
          <w:p>
            <w:pPr>
              <w:spacing w:after="0"/>
              <w:rPr>
                <w:color w:val="auto"/>
                <w:sz w:val="2"/>
                <w:szCs w:val="2"/>
              </w:rPr>
            </w:pPr>
          </w:p>
        </w:tc>
        <w:tc>
          <w:tcPr>
            <w:tcW w:w="1040" w:type="dxa"/>
            <w:tcBorders>
              <w:bottom w:val="single" w:sz="8" w:space="0" w:color="auto"/>
            </w:tcBorders>
            <w:vAlign w:val="bottom"/>
          </w:tcPr>
          <w:p>
            <w:pPr>
              <w:spacing w:after="0"/>
              <w:rPr>
                <w:color w:val="auto"/>
                <w:sz w:val="2"/>
                <w:szCs w:val="2"/>
              </w:rPr>
            </w:pPr>
          </w:p>
        </w:tc>
        <w:tc>
          <w:tcPr>
            <w:tcW w:w="50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4960" w:type="dxa"/>
            <w:vAlign w:val="bottom"/>
          </w:tcPr>
          <w:p>
            <w:pPr>
              <w:spacing w:after="0" w:line="137" w:lineRule="exact"/>
              <w:rPr>
                <w:color w:val="auto"/>
                <w:sz w:val="20"/>
                <w:szCs w:val="20"/>
              </w:rPr>
            </w:pPr>
            <w:r>
              <w:rPr>
                <w:rFonts w:ascii="Calibri" w:eastAsia="Calibri" w:hAnsi="Calibri" w:cs="Calibri"/>
                <w:b/>
                <w:bCs/>
                <w:color w:val="auto"/>
                <w:sz w:val="12"/>
                <w:szCs w:val="12"/>
              </w:rPr>
              <w:t>Net investment hedging actvites</w:t>
            </w:r>
          </w:p>
        </w:tc>
        <w:tc>
          <w:tcPr>
            <w:tcW w:w="2820" w:type="dxa"/>
            <w:vAlign w:val="bottom"/>
          </w:tcPr>
          <w:p>
            <w:pPr>
              <w:spacing w:after="0"/>
              <w:rPr>
                <w:color w:val="auto"/>
                <w:sz w:val="11"/>
                <w:szCs w:val="11"/>
              </w:rPr>
            </w:pPr>
          </w:p>
        </w:tc>
        <w:tc>
          <w:tcPr>
            <w:tcW w:w="480" w:type="dxa"/>
            <w:vAlign w:val="bottom"/>
          </w:tcPr>
          <w:p>
            <w:pPr>
              <w:spacing w:after="0"/>
              <w:rPr>
                <w:color w:val="auto"/>
                <w:sz w:val="11"/>
                <w:szCs w:val="11"/>
              </w:rPr>
            </w:pPr>
          </w:p>
        </w:tc>
        <w:tc>
          <w:tcPr>
            <w:tcW w:w="1040" w:type="dxa"/>
            <w:vAlign w:val="bottom"/>
          </w:tcPr>
          <w:p>
            <w:pPr>
              <w:spacing w:after="0"/>
              <w:rPr>
                <w:color w:val="auto"/>
                <w:sz w:val="11"/>
                <w:szCs w:val="11"/>
              </w:rPr>
            </w:pPr>
          </w:p>
        </w:tc>
        <w:tc>
          <w:tcPr>
            <w:tcW w:w="500" w:type="dxa"/>
            <w:vAlign w:val="bottom"/>
          </w:tcPr>
          <w:p>
            <w:pPr>
              <w:spacing w:after="0"/>
              <w:rPr>
                <w:color w:val="auto"/>
                <w:sz w:val="11"/>
                <w:szCs w:val="11"/>
              </w:rPr>
            </w:pPr>
          </w:p>
        </w:tc>
        <w:tc>
          <w:tcPr>
            <w:tcW w:w="380" w:type="dxa"/>
            <w:vAlign w:val="bottom"/>
          </w:tcPr>
          <w:p>
            <w:pPr>
              <w:spacing w:after="0"/>
              <w:rPr>
                <w:color w:val="auto"/>
                <w:sz w:val="11"/>
                <w:szCs w:val="11"/>
              </w:rPr>
            </w:pPr>
          </w:p>
        </w:tc>
        <w:tc>
          <w:tcPr>
            <w:tcW w:w="1100" w:type="dxa"/>
            <w:vAlign w:val="bottom"/>
          </w:tcPr>
          <w:p>
            <w:pPr>
              <w:spacing w:after="0"/>
              <w:rPr>
                <w:color w:val="auto"/>
                <w:sz w:val="11"/>
                <w:szCs w:val="11"/>
              </w:rPr>
            </w:pPr>
          </w:p>
        </w:tc>
      </w:tr>
      <w:tr>
        <w:tblPrEx>
          <w:tblInd w:w="0" w:type="dxa"/>
          <w:tblLayout w:type="fixed"/>
        </w:tblPrEx>
        <w:trPr>
          <w:trHeight w:val="159"/>
        </w:trPr>
        <w:tc>
          <w:tcPr>
            <w:tcW w:w="4960" w:type="dxa"/>
            <w:shd w:val="clear" w:color="auto" w:fill="CCEEFF"/>
            <w:vAlign w:val="bottom"/>
          </w:tcPr>
          <w:p>
            <w:pPr>
              <w:spacing w:after="0" w:line="158" w:lineRule="exact"/>
              <w:rPr>
                <w:color w:val="auto"/>
                <w:sz w:val="20"/>
                <w:szCs w:val="20"/>
              </w:rPr>
            </w:pPr>
            <w:r>
              <w:rPr>
                <w:rFonts w:ascii="Calibri" w:eastAsia="Calibri" w:hAnsi="Calibri" w:cs="Calibri"/>
                <w:color w:val="auto"/>
                <w:sz w:val="12"/>
                <w:szCs w:val="12"/>
              </w:rPr>
              <w:t>Gains on derivatve amount excluded from efectveness testng</w:t>
            </w:r>
            <w:r>
              <w:rPr>
                <w:rFonts w:ascii="Calibri" w:eastAsia="Calibri" w:hAnsi="Calibri" w:cs="Calibri"/>
                <w:color w:val="auto"/>
                <w:sz w:val="15"/>
                <w:szCs w:val="15"/>
                <w:vertAlign w:val="superscript"/>
              </w:rPr>
              <w:t>(a)</w:t>
            </w:r>
          </w:p>
        </w:tc>
        <w:tc>
          <w:tcPr>
            <w:tcW w:w="2820" w:type="dxa"/>
            <w:shd w:val="clear" w:color="auto" w:fill="CCEEFF"/>
            <w:vAlign w:val="bottom"/>
          </w:tcPr>
          <w:p>
            <w:pPr>
              <w:spacing w:after="0"/>
              <w:ind w:right="862"/>
              <w:jc w:val="right"/>
              <w:rPr>
                <w:color w:val="auto"/>
                <w:sz w:val="20"/>
                <w:szCs w:val="20"/>
              </w:rPr>
            </w:pPr>
            <w:r>
              <w:rPr>
                <w:rFonts w:ascii="Calibri" w:eastAsia="Calibri" w:hAnsi="Calibri" w:cs="Calibri"/>
                <w:color w:val="auto"/>
                <w:sz w:val="12"/>
                <w:szCs w:val="12"/>
              </w:rPr>
              <w:t>$</w:t>
            </w:r>
          </w:p>
        </w:tc>
        <w:tc>
          <w:tcPr>
            <w:tcW w:w="4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(123)</w:t>
            </w:r>
          </w:p>
        </w:tc>
        <w:tc>
          <w:tcPr>
            <w:tcW w:w="1040" w:type="dxa"/>
            <w:shd w:val="clear" w:color="auto" w:fill="CCEEFF"/>
            <w:vAlign w:val="bottom"/>
          </w:tcPr>
          <w:p>
            <w:pPr>
              <w:spacing w:after="0"/>
              <w:ind w:right="862"/>
              <w:jc w:val="right"/>
              <w:rPr>
                <w:color w:val="auto"/>
                <w:sz w:val="20"/>
                <w:szCs w:val="20"/>
              </w:rPr>
            </w:pPr>
            <w:r>
              <w:rPr>
                <w:rFonts w:ascii="Calibri" w:eastAsia="Calibri" w:hAnsi="Calibri" w:cs="Calibri"/>
                <w:color w:val="auto"/>
                <w:sz w:val="12"/>
                <w:szCs w:val="12"/>
              </w:rPr>
              <w:t>$</w:t>
            </w:r>
          </w:p>
        </w:tc>
        <w:tc>
          <w:tcPr>
            <w:tcW w:w="5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(112)</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(94)</w:t>
            </w:r>
          </w:p>
        </w:tc>
      </w:tr>
      <w:tr>
        <w:tblPrEx>
          <w:tblInd w:w="0" w:type="dxa"/>
          <w:tblLayout w:type="fixed"/>
        </w:tblPrEx>
        <w:trPr>
          <w:trHeight w:val="147"/>
        </w:trPr>
        <w:tc>
          <w:tcPr>
            <w:tcW w:w="49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Tax expense</w:t>
            </w:r>
          </w:p>
        </w:tc>
        <w:tc>
          <w:tcPr>
            <w:tcW w:w="2820" w:type="dxa"/>
            <w:tcBorders>
              <w:bottom w:val="single" w:sz="8" w:space="0" w:color="auto"/>
            </w:tcBorders>
            <w:vAlign w:val="bottom"/>
          </w:tcPr>
          <w:p>
            <w:pPr>
              <w:spacing w:after="0"/>
              <w:rPr>
                <w:color w:val="auto"/>
                <w:sz w:val="12"/>
                <w:szCs w:val="12"/>
              </w:rPr>
            </w:pPr>
          </w:p>
        </w:tc>
        <w:tc>
          <w:tcPr>
            <w:tcW w:w="480" w:type="dxa"/>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27</w:t>
            </w:r>
          </w:p>
        </w:tc>
        <w:tc>
          <w:tcPr>
            <w:tcW w:w="1040" w:type="dxa"/>
            <w:tcBorders>
              <w:bottom w:val="single" w:sz="8" w:space="0" w:color="auto"/>
            </w:tcBorders>
            <w:vAlign w:val="bottom"/>
          </w:tcPr>
          <w:p>
            <w:pPr>
              <w:spacing w:after="0"/>
              <w:rPr>
                <w:color w:val="auto"/>
                <w:sz w:val="12"/>
                <w:szCs w:val="12"/>
              </w:rPr>
            </w:pPr>
          </w:p>
        </w:tc>
        <w:tc>
          <w:tcPr>
            <w:tcW w:w="500" w:type="dxa"/>
            <w:tcBorders>
              <w:bottom w:val="single" w:sz="8" w:space="0" w:color="auto"/>
            </w:tcBorders>
            <w:vAlign w:val="bottom"/>
          </w:tcPr>
          <w:p>
            <w:pPr>
              <w:spacing w:after="0" w:line="142" w:lineRule="exact"/>
              <w:ind w:right="40"/>
              <w:jc w:val="right"/>
              <w:rPr>
                <w:color w:val="auto"/>
                <w:sz w:val="20"/>
                <w:szCs w:val="20"/>
              </w:rPr>
            </w:pPr>
            <w:r>
              <w:rPr>
                <w:rFonts w:ascii="Calibri" w:eastAsia="Calibri" w:hAnsi="Calibri" w:cs="Calibri"/>
                <w:color w:val="auto"/>
                <w:sz w:val="12"/>
                <w:szCs w:val="12"/>
              </w:rPr>
              <w:t>24</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20</w:t>
            </w:r>
          </w:p>
        </w:tc>
      </w:tr>
      <w:tr>
        <w:tblPrEx>
          <w:tblInd w:w="0" w:type="dxa"/>
          <w:tblLayout w:type="fixed"/>
        </w:tblPrEx>
        <w:trPr>
          <w:trHeight w:val="164"/>
        </w:trPr>
        <w:tc>
          <w:tcPr>
            <w:tcW w:w="49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reclassifcatons, net of tax</w:t>
            </w:r>
          </w:p>
        </w:tc>
        <w:tc>
          <w:tcPr>
            <w:tcW w:w="2820" w:type="dxa"/>
            <w:tcBorders>
              <w:bottom w:val="single" w:sz="8" w:space="0" w:color="auto"/>
            </w:tcBorders>
            <w:shd w:val="clear" w:color="auto" w:fill="CCEEFF"/>
            <w:vAlign w:val="bottom"/>
          </w:tcPr>
          <w:p>
            <w:pPr>
              <w:spacing w:after="0" w:line="142" w:lineRule="exact"/>
              <w:ind w:right="862"/>
              <w:jc w:val="right"/>
              <w:rPr>
                <w:color w:val="auto"/>
                <w:sz w:val="20"/>
                <w:szCs w:val="20"/>
              </w:rPr>
            </w:pPr>
            <w:r>
              <w:rPr>
                <w:rFonts w:ascii="Calibri" w:eastAsia="Calibri" w:hAnsi="Calibri" w:cs="Calibri"/>
                <w:color w:val="auto"/>
                <w:sz w:val="12"/>
                <w:szCs w:val="12"/>
              </w:rPr>
              <w:t>$</w:t>
            </w:r>
          </w:p>
        </w:tc>
        <w:tc>
          <w:tcPr>
            <w:tcW w:w="48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(96)</w:t>
            </w:r>
          </w:p>
        </w:tc>
        <w:tc>
          <w:tcPr>
            <w:tcW w:w="1040" w:type="dxa"/>
            <w:tcBorders>
              <w:bottom w:val="single" w:sz="8" w:space="0" w:color="auto"/>
            </w:tcBorders>
            <w:shd w:val="clear" w:color="auto" w:fill="CCEEFF"/>
            <w:vAlign w:val="bottom"/>
          </w:tcPr>
          <w:p>
            <w:pPr>
              <w:spacing w:after="0" w:line="142" w:lineRule="exact"/>
              <w:ind w:right="862"/>
              <w:jc w:val="right"/>
              <w:rPr>
                <w:color w:val="auto"/>
                <w:sz w:val="20"/>
                <w:szCs w:val="20"/>
              </w:rPr>
            </w:pPr>
            <w:r>
              <w:rPr>
                <w:rFonts w:ascii="Calibri" w:eastAsia="Calibri" w:hAnsi="Calibri" w:cs="Calibri"/>
                <w:color w:val="auto"/>
                <w:sz w:val="12"/>
                <w:szCs w:val="12"/>
              </w:rPr>
              <w:t>$</w:t>
            </w:r>
          </w:p>
        </w:tc>
        <w:tc>
          <w:tcPr>
            <w:tcW w:w="50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(88)</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(74)</w:t>
            </w:r>
          </w:p>
        </w:tc>
      </w:tr>
      <w:tr>
        <w:tblPrEx>
          <w:tblInd w:w="0" w:type="dxa"/>
          <w:tblLayout w:type="fixed"/>
        </w:tblPrEx>
        <w:trPr>
          <w:trHeight w:val="147"/>
        </w:trPr>
        <w:tc>
          <w:tcPr>
            <w:tcW w:w="4960" w:type="dxa"/>
            <w:vAlign w:val="bottom"/>
          </w:tcPr>
          <w:p>
            <w:pPr>
              <w:spacing w:after="0" w:line="142" w:lineRule="exact"/>
              <w:rPr>
                <w:color w:val="auto"/>
                <w:sz w:val="20"/>
                <w:szCs w:val="20"/>
              </w:rPr>
            </w:pPr>
            <w:r>
              <w:rPr>
                <w:rFonts w:ascii="Calibri" w:eastAsia="Calibri" w:hAnsi="Calibri" w:cs="Calibri"/>
                <w:b/>
                <w:bCs/>
                <w:color w:val="auto"/>
                <w:sz w:val="12"/>
                <w:szCs w:val="12"/>
              </w:rPr>
              <w:t>Pension and post-employment benefts</w:t>
            </w:r>
          </w:p>
        </w:tc>
        <w:tc>
          <w:tcPr>
            <w:tcW w:w="2820" w:type="dxa"/>
            <w:vAlign w:val="bottom"/>
          </w:tcPr>
          <w:p>
            <w:pPr>
              <w:spacing w:after="0"/>
              <w:rPr>
                <w:color w:val="auto"/>
                <w:sz w:val="12"/>
                <w:szCs w:val="12"/>
              </w:rPr>
            </w:pPr>
          </w:p>
        </w:tc>
        <w:tc>
          <w:tcPr>
            <w:tcW w:w="480" w:type="dxa"/>
            <w:vAlign w:val="bottom"/>
          </w:tcPr>
          <w:p>
            <w:pPr>
              <w:spacing w:after="0"/>
              <w:rPr>
                <w:color w:val="auto"/>
                <w:sz w:val="12"/>
                <w:szCs w:val="12"/>
              </w:rPr>
            </w:pPr>
          </w:p>
        </w:tc>
        <w:tc>
          <w:tcPr>
            <w:tcW w:w="1040" w:type="dxa"/>
            <w:vAlign w:val="bottom"/>
          </w:tcPr>
          <w:p>
            <w:pPr>
              <w:spacing w:after="0"/>
              <w:rPr>
                <w:color w:val="auto"/>
                <w:sz w:val="12"/>
                <w:szCs w:val="12"/>
              </w:rPr>
            </w:pPr>
          </w:p>
        </w:tc>
        <w:tc>
          <w:tcPr>
            <w:tcW w:w="500" w:type="dxa"/>
            <w:vAlign w:val="bottom"/>
          </w:tcPr>
          <w:p>
            <w:pPr>
              <w:spacing w:after="0"/>
              <w:rPr>
                <w:color w:val="auto"/>
                <w:sz w:val="12"/>
                <w:szCs w:val="12"/>
              </w:rPr>
            </w:pPr>
          </w:p>
        </w:tc>
        <w:tc>
          <w:tcPr>
            <w:tcW w:w="380" w:type="dxa"/>
            <w:vAlign w:val="bottom"/>
          </w:tcPr>
          <w:p>
            <w:pPr>
              <w:spacing w:after="0"/>
              <w:rPr>
                <w:color w:val="auto"/>
                <w:sz w:val="12"/>
                <w:szCs w:val="12"/>
              </w:rPr>
            </w:pPr>
          </w:p>
        </w:tc>
        <w:tc>
          <w:tcPr>
            <w:tcW w:w="1100" w:type="dxa"/>
            <w:vAlign w:val="bottom"/>
          </w:tcPr>
          <w:p>
            <w:pPr>
              <w:spacing w:after="0"/>
              <w:rPr>
                <w:color w:val="auto"/>
                <w:sz w:val="12"/>
                <w:szCs w:val="12"/>
              </w:rPr>
            </w:pPr>
          </w:p>
        </w:tc>
      </w:tr>
      <w:tr>
        <w:tblPrEx>
          <w:tblInd w:w="0" w:type="dxa"/>
          <w:tblLayout w:type="fixed"/>
        </w:tblPrEx>
        <w:trPr>
          <w:trHeight w:val="159"/>
        </w:trPr>
        <w:tc>
          <w:tcPr>
            <w:tcW w:w="4960" w:type="dxa"/>
            <w:shd w:val="clear" w:color="auto" w:fill="CCEEFF"/>
            <w:vAlign w:val="bottom"/>
          </w:tcPr>
          <w:p>
            <w:pPr>
              <w:spacing w:after="0" w:line="158" w:lineRule="exact"/>
              <w:rPr>
                <w:color w:val="auto"/>
                <w:sz w:val="20"/>
                <w:szCs w:val="20"/>
              </w:rPr>
            </w:pPr>
            <w:r>
              <w:rPr>
                <w:rFonts w:ascii="Calibri" w:eastAsia="Calibri" w:hAnsi="Calibri" w:cs="Calibri"/>
                <w:color w:val="auto"/>
                <w:sz w:val="12"/>
                <w:szCs w:val="12"/>
              </w:rPr>
              <w:t>Amortzaton of actuarial losses (gains) and other</w:t>
            </w:r>
            <w:r>
              <w:rPr>
                <w:rFonts w:ascii="Calibri" w:eastAsia="Calibri" w:hAnsi="Calibri" w:cs="Calibri"/>
                <w:color w:val="auto"/>
                <w:sz w:val="15"/>
                <w:szCs w:val="15"/>
                <w:vertAlign w:val="superscript"/>
              </w:rPr>
              <w:t>(b)</w:t>
            </w:r>
          </w:p>
        </w:tc>
        <w:tc>
          <w:tcPr>
            <w:tcW w:w="2820" w:type="dxa"/>
            <w:shd w:val="clear" w:color="auto" w:fill="CCEEFF"/>
            <w:vAlign w:val="bottom"/>
          </w:tcPr>
          <w:p>
            <w:pPr>
              <w:spacing w:after="0"/>
              <w:ind w:right="862"/>
              <w:jc w:val="right"/>
              <w:rPr>
                <w:color w:val="auto"/>
                <w:sz w:val="20"/>
                <w:szCs w:val="20"/>
              </w:rPr>
            </w:pPr>
            <w:r>
              <w:rPr>
                <w:rFonts w:ascii="Calibri" w:eastAsia="Calibri" w:hAnsi="Calibri" w:cs="Calibri"/>
                <w:color w:val="auto"/>
                <w:sz w:val="12"/>
                <w:szCs w:val="12"/>
              </w:rPr>
              <w:t>$</w:t>
            </w:r>
          </w:p>
        </w:tc>
        <w:tc>
          <w:tcPr>
            <w:tcW w:w="480" w:type="dxa"/>
            <w:shd w:val="clear" w:color="auto" w:fill="CCEEFF"/>
            <w:vAlign w:val="bottom"/>
          </w:tcPr>
          <w:p>
            <w:pPr>
              <w:spacing w:after="0"/>
              <w:ind w:right="20"/>
              <w:jc w:val="right"/>
              <w:rPr>
                <w:color w:val="auto"/>
                <w:sz w:val="20"/>
                <w:szCs w:val="20"/>
              </w:rPr>
            </w:pPr>
            <w:r>
              <w:rPr>
                <w:rFonts w:ascii="Calibri" w:eastAsia="Calibri" w:hAnsi="Calibri" w:cs="Calibri"/>
                <w:color w:val="auto"/>
                <w:sz w:val="12"/>
                <w:szCs w:val="12"/>
              </w:rPr>
              <w:t>33</w:t>
            </w:r>
          </w:p>
        </w:tc>
        <w:tc>
          <w:tcPr>
            <w:tcW w:w="1040" w:type="dxa"/>
            <w:shd w:val="clear" w:color="auto" w:fill="CCEEFF"/>
            <w:vAlign w:val="bottom"/>
          </w:tcPr>
          <w:p>
            <w:pPr>
              <w:spacing w:after="0"/>
              <w:ind w:right="862"/>
              <w:jc w:val="right"/>
              <w:rPr>
                <w:color w:val="auto"/>
                <w:sz w:val="20"/>
                <w:szCs w:val="20"/>
              </w:rPr>
            </w:pPr>
            <w:r>
              <w:rPr>
                <w:rFonts w:ascii="Calibri" w:eastAsia="Calibri" w:hAnsi="Calibri" w:cs="Calibri"/>
                <w:color w:val="auto"/>
                <w:sz w:val="12"/>
                <w:szCs w:val="12"/>
              </w:rPr>
              <w:t>$</w:t>
            </w:r>
          </w:p>
        </w:tc>
        <w:tc>
          <w:tcPr>
            <w:tcW w:w="5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221</w:t>
            </w:r>
          </w:p>
        </w:tc>
      </w:tr>
      <w:tr>
        <w:tblPrEx>
          <w:tblInd w:w="0" w:type="dxa"/>
          <w:tblLayout w:type="fixed"/>
        </w:tblPrEx>
        <w:trPr>
          <w:trHeight w:val="147"/>
        </w:trPr>
        <w:tc>
          <w:tcPr>
            <w:tcW w:w="49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Tax beneft</w:t>
            </w:r>
          </w:p>
        </w:tc>
        <w:tc>
          <w:tcPr>
            <w:tcW w:w="2820" w:type="dxa"/>
            <w:tcBorders>
              <w:bottom w:val="single" w:sz="8" w:space="0" w:color="auto"/>
            </w:tcBorders>
            <w:vAlign w:val="bottom"/>
          </w:tcPr>
          <w:p>
            <w:pPr>
              <w:spacing w:after="0"/>
              <w:rPr>
                <w:color w:val="auto"/>
                <w:sz w:val="12"/>
                <w:szCs w:val="12"/>
              </w:rPr>
            </w:pPr>
          </w:p>
        </w:tc>
        <w:tc>
          <w:tcPr>
            <w:tcW w:w="4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(8)</w:t>
            </w:r>
          </w:p>
        </w:tc>
        <w:tc>
          <w:tcPr>
            <w:tcW w:w="1040" w:type="dxa"/>
            <w:tcBorders>
              <w:bottom w:val="single" w:sz="8" w:space="0" w:color="auto"/>
            </w:tcBorders>
            <w:vAlign w:val="bottom"/>
          </w:tcPr>
          <w:p>
            <w:pPr>
              <w:spacing w:after="0"/>
              <w:rPr>
                <w:color w:val="auto"/>
                <w:sz w:val="12"/>
                <w:szCs w:val="12"/>
              </w:rPr>
            </w:pPr>
          </w:p>
        </w:tc>
        <w:tc>
          <w:tcPr>
            <w:tcW w:w="500" w:type="dxa"/>
            <w:tcBorders>
              <w:bottom w:val="single" w:sz="8" w:space="0" w:color="auto"/>
            </w:tcBorders>
            <w:vAlign w:val="bottom"/>
          </w:tcPr>
          <w:p>
            <w:pPr>
              <w:spacing w:after="0" w:line="142" w:lineRule="exact"/>
              <w:ind w:right="40"/>
              <w:jc w:val="right"/>
              <w:rPr>
                <w:color w:val="auto"/>
                <w:sz w:val="20"/>
                <w:szCs w:val="20"/>
              </w:rPr>
            </w:pPr>
            <w:r>
              <w:rPr>
                <w:rFonts w:ascii="Calibri" w:eastAsia="Calibri" w:hAnsi="Calibri" w:cs="Calibri"/>
                <w:color w:val="auto"/>
                <w:sz w:val="12"/>
                <w:szCs w:val="12"/>
              </w:rPr>
              <w:t>—</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(48)</w:t>
            </w:r>
          </w:p>
        </w:tc>
      </w:tr>
      <w:tr>
        <w:tblPrEx>
          <w:tblInd w:w="0" w:type="dxa"/>
          <w:tblLayout w:type="fixed"/>
        </w:tblPrEx>
        <w:trPr>
          <w:trHeight w:val="164"/>
        </w:trPr>
        <w:tc>
          <w:tcPr>
            <w:tcW w:w="49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reclassifcatons, net of tax</w:t>
            </w:r>
          </w:p>
        </w:tc>
        <w:tc>
          <w:tcPr>
            <w:tcW w:w="2820" w:type="dxa"/>
            <w:tcBorders>
              <w:bottom w:val="single" w:sz="8" w:space="0" w:color="auto"/>
            </w:tcBorders>
            <w:shd w:val="clear" w:color="auto" w:fill="CCEEFF"/>
            <w:vAlign w:val="bottom"/>
          </w:tcPr>
          <w:p>
            <w:pPr>
              <w:spacing w:after="0" w:line="142" w:lineRule="exact"/>
              <w:ind w:right="862"/>
              <w:jc w:val="right"/>
              <w:rPr>
                <w:color w:val="auto"/>
                <w:sz w:val="20"/>
                <w:szCs w:val="20"/>
              </w:rPr>
            </w:pPr>
            <w:r>
              <w:rPr>
                <w:rFonts w:ascii="Calibri" w:eastAsia="Calibri" w:hAnsi="Calibri" w:cs="Calibri"/>
                <w:color w:val="auto"/>
                <w:sz w:val="12"/>
                <w:szCs w:val="12"/>
              </w:rPr>
              <w:t>$</w:t>
            </w:r>
          </w:p>
        </w:tc>
        <w:tc>
          <w:tcPr>
            <w:tcW w:w="48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25</w:t>
            </w:r>
          </w:p>
        </w:tc>
        <w:tc>
          <w:tcPr>
            <w:tcW w:w="1040" w:type="dxa"/>
            <w:tcBorders>
              <w:bottom w:val="single" w:sz="8" w:space="0" w:color="auto"/>
            </w:tcBorders>
            <w:shd w:val="clear" w:color="auto" w:fill="CCEEFF"/>
            <w:vAlign w:val="bottom"/>
          </w:tcPr>
          <w:p>
            <w:pPr>
              <w:spacing w:after="0" w:line="142" w:lineRule="exact"/>
              <w:ind w:right="862"/>
              <w:jc w:val="right"/>
              <w:rPr>
                <w:color w:val="auto"/>
                <w:sz w:val="20"/>
                <w:szCs w:val="20"/>
              </w:rPr>
            </w:pPr>
            <w:r>
              <w:rPr>
                <w:rFonts w:ascii="Calibri" w:eastAsia="Calibri" w:hAnsi="Calibri" w:cs="Calibri"/>
                <w:color w:val="auto"/>
                <w:sz w:val="12"/>
                <w:szCs w:val="12"/>
              </w:rPr>
              <w:t>$</w:t>
            </w:r>
          </w:p>
        </w:tc>
        <w:tc>
          <w:tcPr>
            <w:tcW w:w="50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(7)</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173</w:t>
            </w:r>
          </w:p>
        </w:tc>
      </w:tr>
      <w:tr>
        <w:tblPrEx>
          <w:tblInd w:w="0" w:type="dxa"/>
          <w:tblLayout w:type="fixed"/>
        </w:tblPrEx>
        <w:trPr>
          <w:trHeight w:val="147"/>
        </w:trPr>
        <w:tc>
          <w:tcPr>
            <w:tcW w:w="4960" w:type="dxa"/>
            <w:vAlign w:val="bottom"/>
          </w:tcPr>
          <w:p>
            <w:pPr>
              <w:spacing w:after="0" w:line="142" w:lineRule="exact"/>
              <w:rPr>
                <w:color w:val="auto"/>
                <w:sz w:val="20"/>
                <w:szCs w:val="20"/>
              </w:rPr>
            </w:pPr>
            <w:r>
              <w:rPr>
                <w:rFonts w:ascii="Calibri" w:eastAsia="Calibri" w:hAnsi="Calibri" w:cs="Calibri"/>
                <w:b/>
                <w:bCs/>
                <w:color w:val="auto"/>
                <w:sz w:val="12"/>
                <w:szCs w:val="12"/>
              </w:rPr>
              <w:t>Cash fow hedging actvites</w:t>
            </w:r>
          </w:p>
        </w:tc>
        <w:tc>
          <w:tcPr>
            <w:tcW w:w="2820" w:type="dxa"/>
            <w:vAlign w:val="bottom"/>
          </w:tcPr>
          <w:p>
            <w:pPr>
              <w:spacing w:after="0"/>
              <w:rPr>
                <w:color w:val="auto"/>
                <w:sz w:val="12"/>
                <w:szCs w:val="12"/>
              </w:rPr>
            </w:pPr>
          </w:p>
        </w:tc>
        <w:tc>
          <w:tcPr>
            <w:tcW w:w="480" w:type="dxa"/>
            <w:vAlign w:val="bottom"/>
          </w:tcPr>
          <w:p>
            <w:pPr>
              <w:spacing w:after="0"/>
              <w:rPr>
                <w:color w:val="auto"/>
                <w:sz w:val="12"/>
                <w:szCs w:val="12"/>
              </w:rPr>
            </w:pPr>
          </w:p>
        </w:tc>
        <w:tc>
          <w:tcPr>
            <w:tcW w:w="1040" w:type="dxa"/>
            <w:vAlign w:val="bottom"/>
          </w:tcPr>
          <w:p>
            <w:pPr>
              <w:spacing w:after="0"/>
              <w:rPr>
                <w:color w:val="auto"/>
                <w:sz w:val="12"/>
                <w:szCs w:val="12"/>
              </w:rPr>
            </w:pPr>
          </w:p>
        </w:tc>
        <w:tc>
          <w:tcPr>
            <w:tcW w:w="500" w:type="dxa"/>
            <w:vAlign w:val="bottom"/>
          </w:tcPr>
          <w:p>
            <w:pPr>
              <w:spacing w:after="0"/>
              <w:rPr>
                <w:color w:val="auto"/>
                <w:sz w:val="12"/>
                <w:szCs w:val="12"/>
              </w:rPr>
            </w:pPr>
          </w:p>
        </w:tc>
        <w:tc>
          <w:tcPr>
            <w:tcW w:w="380" w:type="dxa"/>
            <w:vAlign w:val="bottom"/>
          </w:tcPr>
          <w:p>
            <w:pPr>
              <w:spacing w:after="0"/>
              <w:rPr>
                <w:color w:val="auto"/>
                <w:sz w:val="12"/>
                <w:szCs w:val="12"/>
              </w:rPr>
            </w:pPr>
          </w:p>
        </w:tc>
        <w:tc>
          <w:tcPr>
            <w:tcW w:w="1100" w:type="dxa"/>
            <w:vAlign w:val="bottom"/>
          </w:tcPr>
          <w:p>
            <w:pPr>
              <w:spacing w:after="0"/>
              <w:rPr>
                <w:color w:val="auto"/>
                <w:sz w:val="12"/>
                <w:szCs w:val="12"/>
              </w:rPr>
            </w:pPr>
          </w:p>
        </w:tc>
      </w:tr>
      <w:tr>
        <w:tblPrEx>
          <w:tblInd w:w="0" w:type="dxa"/>
          <w:tblLayout w:type="fixed"/>
        </w:tblPrEx>
        <w:trPr>
          <w:trHeight w:val="159"/>
        </w:trPr>
        <w:tc>
          <w:tcPr>
            <w:tcW w:w="4960" w:type="dxa"/>
            <w:shd w:val="clear" w:color="auto" w:fill="CCEEFF"/>
            <w:vAlign w:val="bottom"/>
          </w:tcPr>
          <w:p>
            <w:pPr>
              <w:spacing w:after="0" w:line="158" w:lineRule="exact"/>
              <w:rPr>
                <w:color w:val="auto"/>
                <w:sz w:val="20"/>
                <w:szCs w:val="20"/>
              </w:rPr>
            </w:pPr>
            <w:r>
              <w:rPr>
                <w:rFonts w:ascii="Calibri" w:eastAsia="Calibri" w:hAnsi="Calibri" w:cs="Calibri"/>
                <w:color w:val="auto"/>
                <w:sz w:val="12"/>
                <w:szCs w:val="12"/>
              </w:rPr>
              <w:t>Gains on foreign currency forward exchange contracts</w:t>
            </w:r>
            <w:r>
              <w:rPr>
                <w:rFonts w:ascii="Calibri" w:eastAsia="Calibri" w:hAnsi="Calibri" w:cs="Calibri"/>
                <w:color w:val="auto"/>
                <w:sz w:val="15"/>
                <w:szCs w:val="15"/>
                <w:vertAlign w:val="superscript"/>
              </w:rPr>
              <w:t>(c)</w:t>
            </w:r>
          </w:p>
        </w:tc>
        <w:tc>
          <w:tcPr>
            <w:tcW w:w="2820" w:type="dxa"/>
            <w:shd w:val="clear" w:color="auto" w:fill="CCEEFF"/>
            <w:vAlign w:val="bottom"/>
          </w:tcPr>
          <w:p>
            <w:pPr>
              <w:spacing w:after="0"/>
              <w:ind w:right="862"/>
              <w:jc w:val="right"/>
              <w:rPr>
                <w:color w:val="auto"/>
                <w:sz w:val="20"/>
                <w:szCs w:val="20"/>
              </w:rPr>
            </w:pPr>
            <w:r>
              <w:rPr>
                <w:rFonts w:ascii="Calibri" w:eastAsia="Calibri" w:hAnsi="Calibri" w:cs="Calibri"/>
                <w:color w:val="auto"/>
                <w:sz w:val="12"/>
                <w:szCs w:val="12"/>
              </w:rPr>
              <w:t>$</w:t>
            </w:r>
          </w:p>
        </w:tc>
        <w:tc>
          <w:tcPr>
            <w:tcW w:w="4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(73)</w:t>
            </w:r>
          </w:p>
        </w:tc>
        <w:tc>
          <w:tcPr>
            <w:tcW w:w="1040" w:type="dxa"/>
            <w:shd w:val="clear" w:color="auto" w:fill="CCEEFF"/>
            <w:vAlign w:val="bottom"/>
          </w:tcPr>
          <w:p>
            <w:pPr>
              <w:spacing w:after="0"/>
              <w:ind w:right="862"/>
              <w:jc w:val="right"/>
              <w:rPr>
                <w:color w:val="auto"/>
                <w:sz w:val="20"/>
                <w:szCs w:val="20"/>
              </w:rPr>
            </w:pPr>
            <w:r>
              <w:rPr>
                <w:rFonts w:ascii="Calibri" w:eastAsia="Calibri" w:hAnsi="Calibri" w:cs="Calibri"/>
                <w:color w:val="auto"/>
                <w:sz w:val="12"/>
                <w:szCs w:val="12"/>
              </w:rPr>
              <w:t>$</w:t>
            </w:r>
          </w:p>
        </w:tc>
        <w:tc>
          <w:tcPr>
            <w:tcW w:w="5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(77)</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(82)</w:t>
            </w:r>
          </w:p>
        </w:tc>
      </w:tr>
      <w:tr>
        <w:tblPrEx>
          <w:tblInd w:w="0" w:type="dxa"/>
          <w:tblLayout w:type="fixed"/>
        </w:tblPrEx>
        <w:trPr>
          <w:trHeight w:val="153"/>
        </w:trPr>
        <w:tc>
          <w:tcPr>
            <w:tcW w:w="4960" w:type="dxa"/>
            <w:vAlign w:val="bottom"/>
          </w:tcPr>
          <w:p>
            <w:pPr>
              <w:spacing w:after="0" w:line="153" w:lineRule="exact"/>
              <w:rPr>
                <w:color w:val="auto"/>
                <w:sz w:val="20"/>
                <w:szCs w:val="20"/>
              </w:rPr>
            </w:pPr>
            <w:r>
              <w:rPr>
                <w:rFonts w:ascii="Calibri" w:eastAsia="Calibri" w:hAnsi="Calibri" w:cs="Calibri"/>
                <w:color w:val="auto"/>
                <w:sz w:val="12"/>
                <w:szCs w:val="12"/>
              </w:rPr>
              <w:t>Gains on treasury rate lock agreements</w:t>
            </w:r>
            <w:r>
              <w:rPr>
                <w:rFonts w:ascii="Calibri" w:eastAsia="Calibri" w:hAnsi="Calibri" w:cs="Calibri"/>
                <w:color w:val="auto"/>
                <w:sz w:val="15"/>
                <w:szCs w:val="15"/>
                <w:vertAlign w:val="superscript"/>
              </w:rPr>
              <w:t>(a)</w:t>
            </w:r>
          </w:p>
        </w:tc>
        <w:tc>
          <w:tcPr>
            <w:tcW w:w="2820" w:type="dxa"/>
            <w:vAlign w:val="bottom"/>
          </w:tcPr>
          <w:p>
            <w:pPr>
              <w:spacing w:after="0"/>
              <w:rPr>
                <w:color w:val="auto"/>
                <w:sz w:val="13"/>
                <w:szCs w:val="13"/>
              </w:rPr>
            </w:pPr>
          </w:p>
        </w:tc>
        <w:tc>
          <w:tcPr>
            <w:tcW w:w="480" w:type="dxa"/>
            <w:vAlign w:val="bottom"/>
          </w:tcPr>
          <w:p>
            <w:pPr>
              <w:spacing w:after="0" w:line="142" w:lineRule="exact"/>
              <w:jc w:val="right"/>
              <w:rPr>
                <w:color w:val="auto"/>
                <w:sz w:val="20"/>
                <w:szCs w:val="20"/>
              </w:rPr>
            </w:pPr>
            <w:r>
              <w:rPr>
                <w:rFonts w:ascii="Calibri" w:eastAsia="Calibri" w:hAnsi="Calibri" w:cs="Calibri"/>
                <w:color w:val="auto"/>
                <w:sz w:val="12"/>
                <w:szCs w:val="12"/>
              </w:rPr>
              <w:t>(23)</w:t>
            </w:r>
          </w:p>
        </w:tc>
        <w:tc>
          <w:tcPr>
            <w:tcW w:w="1040" w:type="dxa"/>
            <w:vAlign w:val="bottom"/>
          </w:tcPr>
          <w:p>
            <w:pPr>
              <w:spacing w:after="0"/>
              <w:rPr>
                <w:color w:val="auto"/>
                <w:sz w:val="13"/>
                <w:szCs w:val="13"/>
              </w:rPr>
            </w:pPr>
          </w:p>
        </w:tc>
        <w:tc>
          <w:tcPr>
            <w:tcW w:w="500" w:type="dxa"/>
            <w:vAlign w:val="bottom"/>
          </w:tcPr>
          <w:p>
            <w:pPr>
              <w:spacing w:after="0" w:line="142" w:lineRule="exact"/>
              <w:jc w:val="right"/>
              <w:rPr>
                <w:color w:val="auto"/>
                <w:sz w:val="20"/>
                <w:szCs w:val="20"/>
              </w:rPr>
            </w:pPr>
            <w:r>
              <w:rPr>
                <w:rFonts w:ascii="Calibri" w:eastAsia="Calibri" w:hAnsi="Calibri" w:cs="Calibri"/>
                <w:color w:val="auto"/>
                <w:sz w:val="12"/>
                <w:szCs w:val="12"/>
              </w:rPr>
              <w:t>(24)</w:t>
            </w:r>
          </w:p>
        </w:tc>
        <w:tc>
          <w:tcPr>
            <w:tcW w:w="380" w:type="dxa"/>
            <w:vAlign w:val="bottom"/>
          </w:tcPr>
          <w:p>
            <w:pPr>
              <w:spacing w:after="0"/>
              <w:rPr>
                <w:color w:val="auto"/>
                <w:sz w:val="13"/>
                <w:szCs w:val="13"/>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(23)</w:t>
            </w:r>
          </w:p>
        </w:tc>
      </w:tr>
      <w:tr>
        <w:tblPrEx>
          <w:tblInd w:w="0" w:type="dxa"/>
          <w:tblLayout w:type="fixed"/>
        </w:tblPrEx>
        <w:trPr>
          <w:trHeight w:val="153"/>
        </w:trPr>
        <w:tc>
          <w:tcPr>
            <w:tcW w:w="4960" w:type="dxa"/>
            <w:shd w:val="clear" w:color="auto" w:fill="CCEEFF"/>
            <w:vAlign w:val="bottom"/>
          </w:tcPr>
          <w:p>
            <w:pPr>
              <w:spacing w:after="0" w:line="153" w:lineRule="exact"/>
              <w:rPr>
                <w:color w:val="auto"/>
                <w:sz w:val="20"/>
                <w:szCs w:val="20"/>
              </w:rPr>
            </w:pPr>
            <w:r>
              <w:rPr>
                <w:rFonts w:ascii="Calibri" w:eastAsia="Calibri" w:hAnsi="Calibri" w:cs="Calibri"/>
                <w:color w:val="auto"/>
                <w:sz w:val="12"/>
                <w:szCs w:val="12"/>
              </w:rPr>
              <w:t>Losses on interest rate swap contracts</w:t>
            </w:r>
            <w:r>
              <w:rPr>
                <w:rFonts w:ascii="Calibri" w:eastAsia="Calibri" w:hAnsi="Calibri" w:cs="Calibri"/>
                <w:color w:val="auto"/>
                <w:sz w:val="15"/>
                <w:szCs w:val="15"/>
                <w:vertAlign w:val="superscript"/>
              </w:rPr>
              <w:t>(a)</w:t>
            </w:r>
          </w:p>
        </w:tc>
        <w:tc>
          <w:tcPr>
            <w:tcW w:w="2820" w:type="dxa"/>
            <w:shd w:val="clear" w:color="auto" w:fill="CCEEFF"/>
            <w:vAlign w:val="bottom"/>
          </w:tcPr>
          <w:p>
            <w:pPr>
              <w:spacing w:after="0"/>
              <w:rPr>
                <w:color w:val="auto"/>
                <w:sz w:val="13"/>
                <w:szCs w:val="13"/>
              </w:rPr>
            </w:pPr>
          </w:p>
        </w:tc>
        <w:tc>
          <w:tcPr>
            <w:tcW w:w="480" w:type="dxa"/>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w:t>
            </w:r>
          </w:p>
        </w:tc>
        <w:tc>
          <w:tcPr>
            <w:tcW w:w="1040" w:type="dxa"/>
            <w:shd w:val="clear" w:color="auto" w:fill="CCEEFF"/>
            <w:vAlign w:val="bottom"/>
          </w:tcPr>
          <w:p>
            <w:pPr>
              <w:spacing w:after="0"/>
              <w:rPr>
                <w:color w:val="auto"/>
                <w:sz w:val="13"/>
                <w:szCs w:val="13"/>
              </w:rPr>
            </w:pPr>
          </w:p>
        </w:tc>
        <w:tc>
          <w:tcPr>
            <w:tcW w:w="500" w:type="dxa"/>
            <w:shd w:val="clear" w:color="auto" w:fill="CCEEFF"/>
            <w:vAlign w:val="bottom"/>
          </w:tcPr>
          <w:p>
            <w:pPr>
              <w:spacing w:after="0" w:line="142" w:lineRule="exact"/>
              <w:ind w:right="40"/>
              <w:jc w:val="right"/>
              <w:rPr>
                <w:color w:val="auto"/>
                <w:sz w:val="20"/>
                <w:szCs w:val="20"/>
              </w:rPr>
            </w:pPr>
            <w:r>
              <w:rPr>
                <w:rFonts w:ascii="Calibri" w:eastAsia="Calibri" w:hAnsi="Calibri" w:cs="Calibri"/>
                <w:color w:val="auto"/>
                <w:sz w:val="12"/>
                <w:szCs w:val="12"/>
              </w:rPr>
              <w:t>—</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1</w:t>
            </w:r>
          </w:p>
        </w:tc>
      </w:tr>
      <w:tr>
        <w:tblPrEx>
          <w:tblInd w:w="0" w:type="dxa"/>
          <w:tblLayout w:type="fixed"/>
        </w:tblPrEx>
        <w:trPr>
          <w:trHeight w:val="153"/>
        </w:trPr>
        <w:tc>
          <w:tcPr>
            <w:tcW w:w="4960" w:type="dxa"/>
            <w:vAlign w:val="bottom"/>
          </w:tcPr>
          <w:p>
            <w:pPr>
              <w:spacing w:after="0" w:line="153" w:lineRule="exact"/>
              <w:rPr>
                <w:color w:val="auto"/>
                <w:sz w:val="20"/>
                <w:szCs w:val="20"/>
              </w:rPr>
            </w:pPr>
            <w:r>
              <w:rPr>
                <w:rFonts w:ascii="Calibri" w:eastAsia="Calibri" w:hAnsi="Calibri" w:cs="Calibri"/>
                <w:color w:val="auto"/>
                <w:sz w:val="12"/>
                <w:szCs w:val="12"/>
              </w:rPr>
              <w:t>Losses on cross-currency swap contracts</w:t>
            </w:r>
            <w:r>
              <w:rPr>
                <w:rFonts w:ascii="Calibri" w:eastAsia="Calibri" w:hAnsi="Calibri" w:cs="Calibri"/>
                <w:color w:val="auto"/>
                <w:sz w:val="15"/>
                <w:szCs w:val="15"/>
                <w:vertAlign w:val="superscript"/>
              </w:rPr>
              <w:t>(d)</w:t>
            </w:r>
          </w:p>
        </w:tc>
        <w:tc>
          <w:tcPr>
            <w:tcW w:w="2820" w:type="dxa"/>
            <w:vAlign w:val="bottom"/>
          </w:tcPr>
          <w:p>
            <w:pPr>
              <w:spacing w:after="0"/>
              <w:rPr>
                <w:color w:val="auto"/>
                <w:sz w:val="13"/>
                <w:szCs w:val="13"/>
              </w:rPr>
            </w:pPr>
          </w:p>
        </w:tc>
        <w:tc>
          <w:tcPr>
            <w:tcW w:w="480" w:type="dxa"/>
            <w:vAlign w:val="bottom"/>
          </w:tcPr>
          <w:p>
            <w:pPr>
              <w:spacing w:after="0" w:line="142" w:lineRule="exact"/>
              <w:ind w:right="20"/>
              <w:jc w:val="right"/>
              <w:rPr>
                <w:color w:val="auto"/>
                <w:sz w:val="20"/>
                <w:szCs w:val="20"/>
              </w:rPr>
            </w:pPr>
            <w:r>
              <w:rPr>
                <w:rFonts w:ascii="Calibri" w:eastAsia="Calibri" w:hAnsi="Calibri" w:cs="Calibri"/>
                <w:color w:val="auto"/>
                <w:sz w:val="12"/>
                <w:szCs w:val="12"/>
              </w:rPr>
              <w:t>—</w:t>
            </w:r>
          </w:p>
        </w:tc>
        <w:tc>
          <w:tcPr>
            <w:tcW w:w="1040" w:type="dxa"/>
            <w:vAlign w:val="bottom"/>
          </w:tcPr>
          <w:p>
            <w:pPr>
              <w:spacing w:after="0"/>
              <w:rPr>
                <w:color w:val="auto"/>
                <w:sz w:val="13"/>
                <w:szCs w:val="13"/>
              </w:rPr>
            </w:pPr>
          </w:p>
        </w:tc>
        <w:tc>
          <w:tcPr>
            <w:tcW w:w="500" w:type="dxa"/>
            <w:vAlign w:val="bottom"/>
          </w:tcPr>
          <w:p>
            <w:pPr>
              <w:spacing w:after="0" w:line="142" w:lineRule="exact"/>
              <w:ind w:right="40"/>
              <w:jc w:val="right"/>
              <w:rPr>
                <w:color w:val="auto"/>
                <w:sz w:val="20"/>
                <w:szCs w:val="20"/>
              </w:rPr>
            </w:pPr>
            <w:r>
              <w:rPr>
                <w:rFonts w:ascii="Calibri" w:eastAsia="Calibri" w:hAnsi="Calibri" w:cs="Calibri"/>
                <w:color w:val="auto"/>
                <w:sz w:val="12"/>
                <w:szCs w:val="12"/>
              </w:rPr>
              <w:t>6</w:t>
            </w:r>
          </w:p>
        </w:tc>
        <w:tc>
          <w:tcPr>
            <w:tcW w:w="380" w:type="dxa"/>
            <w:vAlign w:val="bottom"/>
          </w:tcPr>
          <w:p>
            <w:pPr>
              <w:spacing w:after="0"/>
              <w:rPr>
                <w:color w:val="auto"/>
                <w:sz w:val="13"/>
                <w:szCs w:val="13"/>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7"/>
        </w:trPr>
        <w:tc>
          <w:tcPr>
            <w:tcW w:w="49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Tax expense</w:t>
            </w:r>
          </w:p>
        </w:tc>
        <w:tc>
          <w:tcPr>
            <w:tcW w:w="2820" w:type="dxa"/>
            <w:tcBorders>
              <w:bottom w:val="single" w:sz="8" w:space="0" w:color="auto"/>
            </w:tcBorders>
            <w:shd w:val="clear" w:color="auto" w:fill="CCEEFF"/>
            <w:vAlign w:val="bottom"/>
          </w:tcPr>
          <w:p>
            <w:pPr>
              <w:spacing w:after="0"/>
              <w:rPr>
                <w:color w:val="auto"/>
                <w:sz w:val="12"/>
                <w:szCs w:val="12"/>
              </w:rPr>
            </w:pPr>
          </w:p>
        </w:tc>
        <w:tc>
          <w:tcPr>
            <w:tcW w:w="480" w:type="dxa"/>
            <w:tcBorders>
              <w:bottom w:val="single" w:sz="8" w:space="0" w:color="auto"/>
            </w:tcBorders>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21</w:t>
            </w:r>
          </w:p>
        </w:tc>
        <w:tc>
          <w:tcPr>
            <w:tcW w:w="1040" w:type="dxa"/>
            <w:tcBorders>
              <w:bottom w:val="single" w:sz="8" w:space="0" w:color="auto"/>
            </w:tcBorders>
            <w:shd w:val="clear" w:color="auto" w:fill="CCEEFF"/>
            <w:vAlign w:val="bottom"/>
          </w:tcPr>
          <w:p>
            <w:pPr>
              <w:spacing w:after="0"/>
              <w:rPr>
                <w:color w:val="auto"/>
                <w:sz w:val="12"/>
                <w:szCs w:val="12"/>
              </w:rPr>
            </w:pPr>
          </w:p>
        </w:tc>
        <w:tc>
          <w:tcPr>
            <w:tcW w:w="500" w:type="dxa"/>
            <w:tcBorders>
              <w:bottom w:val="single" w:sz="8" w:space="0" w:color="auto"/>
            </w:tcBorders>
            <w:shd w:val="clear" w:color="auto" w:fill="CCEEFF"/>
            <w:vAlign w:val="bottom"/>
          </w:tcPr>
          <w:p>
            <w:pPr>
              <w:spacing w:after="0" w:line="142" w:lineRule="exact"/>
              <w:ind w:right="40"/>
              <w:jc w:val="right"/>
              <w:rPr>
                <w:color w:val="auto"/>
                <w:sz w:val="20"/>
                <w:szCs w:val="20"/>
              </w:rPr>
            </w:pPr>
            <w:r>
              <w:rPr>
                <w:rFonts w:ascii="Calibri" w:eastAsia="Calibri" w:hAnsi="Calibri" w:cs="Calibri"/>
                <w:color w:val="auto"/>
                <w:sz w:val="12"/>
                <w:szCs w:val="12"/>
              </w:rPr>
              <w:t>21</w:t>
            </w:r>
          </w:p>
        </w:tc>
        <w:tc>
          <w:tcPr>
            <w:tcW w:w="38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13</w:t>
            </w:r>
          </w:p>
        </w:tc>
      </w:tr>
      <w:tr>
        <w:tblPrEx>
          <w:tblInd w:w="0" w:type="dxa"/>
          <w:tblLayout w:type="fixed"/>
        </w:tblPrEx>
        <w:trPr>
          <w:trHeight w:val="142"/>
        </w:trPr>
        <w:tc>
          <w:tcPr>
            <w:tcW w:w="49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reclassifcatons, net of tax</w:t>
            </w:r>
          </w:p>
        </w:tc>
        <w:tc>
          <w:tcPr>
            <w:tcW w:w="2820" w:type="dxa"/>
            <w:tcBorders>
              <w:bottom w:val="single" w:sz="8" w:space="0" w:color="auto"/>
            </w:tcBorders>
            <w:vAlign w:val="bottom"/>
          </w:tcPr>
          <w:p>
            <w:pPr>
              <w:spacing w:after="0" w:line="142" w:lineRule="exact"/>
              <w:ind w:right="862"/>
              <w:jc w:val="right"/>
              <w:rPr>
                <w:color w:val="auto"/>
                <w:sz w:val="20"/>
                <w:szCs w:val="20"/>
              </w:rPr>
            </w:pPr>
            <w:r>
              <w:rPr>
                <w:rFonts w:ascii="Calibri" w:eastAsia="Calibri" w:hAnsi="Calibri" w:cs="Calibri"/>
                <w:color w:val="auto"/>
                <w:sz w:val="12"/>
                <w:szCs w:val="12"/>
              </w:rPr>
              <w:t>$</w:t>
            </w:r>
          </w:p>
        </w:tc>
        <w:tc>
          <w:tcPr>
            <w:tcW w:w="4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(75)</w:t>
            </w:r>
          </w:p>
        </w:tc>
        <w:tc>
          <w:tcPr>
            <w:tcW w:w="1040" w:type="dxa"/>
            <w:tcBorders>
              <w:bottom w:val="single" w:sz="8" w:space="0" w:color="auto"/>
            </w:tcBorders>
            <w:vAlign w:val="bottom"/>
          </w:tcPr>
          <w:p>
            <w:pPr>
              <w:spacing w:after="0" w:line="142" w:lineRule="exact"/>
              <w:ind w:right="862"/>
              <w:jc w:val="right"/>
              <w:rPr>
                <w:color w:val="auto"/>
                <w:sz w:val="20"/>
                <w:szCs w:val="20"/>
              </w:rPr>
            </w:pPr>
            <w:r>
              <w:rPr>
                <w:rFonts w:ascii="Calibri" w:eastAsia="Calibri" w:hAnsi="Calibri" w:cs="Calibri"/>
                <w:color w:val="auto"/>
                <w:sz w:val="12"/>
                <w:szCs w:val="12"/>
              </w:rPr>
              <w:t>$</w:t>
            </w:r>
          </w:p>
        </w:tc>
        <w:tc>
          <w:tcPr>
            <w:tcW w:w="5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(74)</w:t>
            </w:r>
          </w:p>
        </w:tc>
        <w:tc>
          <w:tcPr>
            <w:tcW w:w="380" w:type="dxa"/>
            <w:tcBorders>
              <w:bottom w:val="single" w:sz="8" w:space="0" w:color="auto"/>
            </w:tcBorders>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(91)</w:t>
            </w:r>
          </w:p>
        </w:tc>
      </w:tr>
      <w:tr>
        <w:tblPrEx>
          <w:tblInd w:w="0" w:type="dxa"/>
          <w:tblLayout w:type="fixed"/>
        </w:tblPrEx>
        <w:trPr>
          <w:trHeight w:val="20"/>
        </w:trPr>
        <w:tc>
          <w:tcPr>
            <w:tcW w:w="4960" w:type="dxa"/>
            <w:tcBorders>
              <w:bottom w:val="single" w:sz="8" w:space="0" w:color="auto"/>
            </w:tcBorders>
            <w:vAlign w:val="bottom"/>
          </w:tcPr>
          <w:p>
            <w:pPr>
              <w:spacing w:after="0" w:line="20" w:lineRule="exact"/>
              <w:rPr>
                <w:color w:val="auto"/>
                <w:sz w:val="1"/>
                <w:szCs w:val="1"/>
              </w:rPr>
            </w:pPr>
          </w:p>
        </w:tc>
        <w:tc>
          <w:tcPr>
            <w:tcW w:w="2820" w:type="dxa"/>
            <w:tcBorders>
              <w:bottom w:val="single" w:sz="8" w:space="0" w:color="auto"/>
            </w:tcBorders>
            <w:vAlign w:val="bottom"/>
          </w:tcPr>
          <w:p>
            <w:pPr>
              <w:spacing w:after="0" w:line="20" w:lineRule="exact"/>
              <w:rPr>
                <w:color w:val="auto"/>
                <w:sz w:val="1"/>
                <w:szCs w:val="1"/>
              </w:rPr>
            </w:pPr>
          </w:p>
        </w:tc>
        <w:tc>
          <w:tcPr>
            <w:tcW w:w="480" w:type="dxa"/>
            <w:tcBorders>
              <w:bottom w:val="single" w:sz="8" w:space="0" w:color="auto"/>
            </w:tcBorders>
            <w:vAlign w:val="bottom"/>
          </w:tcPr>
          <w:p>
            <w:pPr>
              <w:spacing w:after="0" w:line="20" w:lineRule="exact"/>
              <w:rPr>
                <w:color w:val="auto"/>
                <w:sz w:val="1"/>
                <w:szCs w:val="1"/>
              </w:rPr>
            </w:pPr>
          </w:p>
        </w:tc>
        <w:tc>
          <w:tcPr>
            <w:tcW w:w="1040" w:type="dxa"/>
            <w:tcBorders>
              <w:bottom w:val="single" w:sz="8" w:space="0" w:color="auto"/>
            </w:tcBorders>
            <w:vAlign w:val="bottom"/>
          </w:tcPr>
          <w:p>
            <w:pPr>
              <w:spacing w:after="0" w:line="20" w:lineRule="exact"/>
              <w:rPr>
                <w:color w:val="auto"/>
                <w:sz w:val="1"/>
                <w:szCs w:val="1"/>
              </w:rPr>
            </w:pPr>
          </w:p>
        </w:tc>
        <w:tc>
          <w:tcPr>
            <w:tcW w:w="50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1100" w:type="dxa"/>
            <w:tcBorders>
              <w:bottom w:val="single" w:sz="8" w:space="0" w:color="auto"/>
            </w:tcBorders>
            <w:vAlign w:val="bottom"/>
          </w:tcPr>
          <w:p>
            <w:pPr>
              <w:spacing w:after="0" w:line="20" w:lineRule="exact"/>
              <w:rPr>
                <w:color w:val="auto"/>
                <w:sz w:val="1"/>
                <w:szCs w:val="1"/>
              </w:rPr>
            </w:pPr>
          </w:p>
        </w:tc>
      </w:tr>
    </w:tbl>
    <w:p>
      <w:pPr>
        <w:spacing w:after="0" w:line="134" w:lineRule="exact"/>
        <w:rPr>
          <w:color w:val="auto"/>
          <w:sz w:val="20"/>
          <w:szCs w:val="20"/>
        </w:rPr>
      </w:pPr>
    </w:p>
    <w:p>
      <w:pPr>
        <w:tabs>
          <w:tab w:val="left" w:pos="260"/>
        </w:tabs>
        <w:spacing w:after="0"/>
        <w:rPr>
          <w:color w:val="auto"/>
          <w:sz w:val="20"/>
          <w:szCs w:val="20"/>
        </w:rPr>
      </w:pPr>
      <w:r>
        <w:rPr>
          <w:rFonts w:ascii="Calibri" w:eastAsia="Calibri" w:hAnsi="Calibri" w:cs="Calibri"/>
          <w:color w:val="auto"/>
          <w:sz w:val="12"/>
          <w:szCs w:val="12"/>
        </w:rPr>
        <w:t>(a)</w:t>
        <w:tab/>
        <w:t>Amounts are included in interest expense, net (see Note 11).</w:t>
      </w:r>
    </w:p>
    <w:p>
      <w:pPr>
        <w:spacing w:after="0" w:line="97" w:lineRule="exact"/>
        <w:rPr>
          <w:color w:val="auto"/>
          <w:sz w:val="20"/>
          <w:szCs w:val="20"/>
        </w:rPr>
      </w:pPr>
    </w:p>
    <w:p>
      <w:pPr>
        <w:tabs>
          <w:tab w:val="left" w:pos="260"/>
        </w:tabs>
        <w:spacing w:after="0"/>
        <w:rPr>
          <w:color w:val="auto"/>
          <w:sz w:val="20"/>
          <w:szCs w:val="20"/>
        </w:rPr>
      </w:pPr>
      <w:r>
        <w:rPr>
          <w:rFonts w:ascii="Calibri" w:eastAsia="Calibri" w:hAnsi="Calibri" w:cs="Calibri"/>
          <w:color w:val="auto"/>
          <w:sz w:val="12"/>
          <w:szCs w:val="12"/>
        </w:rPr>
        <w:t>(b)</w:t>
        <w:tab/>
        <w:t>Amounts are included in the computaton of net periodic beneft cost (see Note 12).</w:t>
      </w:r>
    </w:p>
    <w:p>
      <w:pPr>
        <w:spacing w:after="0" w:line="88" w:lineRule="exact"/>
        <w:rPr>
          <w:color w:val="auto"/>
          <w:sz w:val="20"/>
          <w:szCs w:val="20"/>
        </w:rPr>
      </w:pPr>
    </w:p>
    <w:p>
      <w:pPr>
        <w:tabs>
          <w:tab w:val="left" w:pos="260"/>
        </w:tabs>
        <w:spacing w:after="0"/>
        <w:rPr>
          <w:color w:val="auto"/>
          <w:sz w:val="20"/>
          <w:szCs w:val="20"/>
        </w:rPr>
      </w:pPr>
      <w:r>
        <w:rPr>
          <w:rFonts w:ascii="Calibri" w:eastAsia="Calibri" w:hAnsi="Calibri" w:cs="Calibri"/>
          <w:color w:val="auto"/>
          <w:sz w:val="12"/>
          <w:szCs w:val="12"/>
        </w:rPr>
        <w:t>(c)</w:t>
        <w:tab/>
        <w:t>Amounts are included in cost of products sold (see Note 11).</w:t>
      </w:r>
    </w:p>
    <w:p>
      <w:pPr>
        <w:spacing w:after="0" w:line="97" w:lineRule="exact"/>
        <w:rPr>
          <w:color w:val="auto"/>
          <w:sz w:val="20"/>
          <w:szCs w:val="20"/>
        </w:rPr>
      </w:pPr>
    </w:p>
    <w:p>
      <w:pPr>
        <w:tabs>
          <w:tab w:val="left" w:pos="260"/>
        </w:tabs>
        <w:spacing w:after="0"/>
        <w:rPr>
          <w:color w:val="auto"/>
          <w:sz w:val="20"/>
          <w:szCs w:val="20"/>
        </w:rPr>
      </w:pPr>
      <w:r>
        <w:rPr>
          <w:rFonts w:ascii="Calibri" w:eastAsia="Calibri" w:hAnsi="Calibri" w:cs="Calibri"/>
          <w:color w:val="auto"/>
          <w:sz w:val="12"/>
          <w:szCs w:val="12"/>
        </w:rPr>
        <w:t>(d)</w:t>
        <w:tab/>
        <w:t>Amounts are included in net foreign exchange loss (see Note 11).</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Other</w:t>
      </w:r>
    </w:p>
    <w:p>
      <w:pPr>
        <w:spacing w:after="0" w:line="88"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In additon to common stock, AbbVie's authorized capital includes 200 million shares of preferred stock, par value $0.01. As of December 31, 2024, no shares of preferred stock were issued or outstanding.</w:t>
      </w:r>
    </w:p>
    <w:p>
      <w:pPr>
        <w:spacing w:after="0" w:line="20" w:lineRule="exact"/>
        <w:rPr>
          <w:color w:val="auto"/>
          <w:sz w:val="20"/>
          <w:szCs w:val="20"/>
        </w:rPr>
      </w:pPr>
      <w:r>
        <w:rPr>
          <w:color w:val="auto"/>
          <w:sz w:val="20"/>
          <w:szCs w:val="20"/>
        </w:rPr>
        <w:drawing>
          <wp:anchor simplePos="0" relativeHeight="251891712" behindDoc="1" locked="0" layoutInCell="0" allowOverlap="1">
            <wp:simplePos x="0" y="0"/>
            <wp:positionH relativeFrom="column">
              <wp:posOffset>6475730</wp:posOffset>
            </wp:positionH>
            <wp:positionV relativeFrom="paragraph">
              <wp:posOffset>193675</wp:posOffset>
            </wp:positionV>
            <wp:extent cx="400050" cy="7429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55"/>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92</w:t>
            </w:r>
          </w:p>
        </w:tc>
      </w:tr>
      <w:tr>
        <w:tblPrEx>
          <w:tblInd w:w="0" w:type="dxa"/>
          <w:tblLayout w:type="fixed"/>
        </w:tblPrEx>
        <w:trPr>
          <w:trHeight w:val="143"/>
        </w:trPr>
        <w:tc>
          <w:tcPr>
            <w:tcW w:w="10660" w:type="dxa"/>
            <w:tcBorders>
              <w:bottom w:val="single" w:sz="8" w:space="0" w:color="9A9A9A"/>
            </w:tcBorders>
            <w:vAlign w:val="bottom"/>
          </w:tcPr>
          <w:p>
            <w:pPr>
              <w:spacing w:after="0"/>
              <w:rPr>
                <w:color w:val="auto"/>
                <w:sz w:val="12"/>
                <w:szCs w:val="12"/>
              </w:rPr>
            </w:pPr>
          </w:p>
        </w:tc>
        <w:tc>
          <w:tcPr>
            <w:tcW w:w="64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892736" behindDoc="1" locked="0" layoutInCell="0" allowOverlap="1">
            <wp:simplePos x="0" y="0"/>
            <wp:positionH relativeFrom="column">
              <wp:posOffset>7154545</wp:posOffset>
            </wp:positionH>
            <wp:positionV relativeFrom="paragraph">
              <wp:posOffset>-23495</wp:posOffset>
            </wp:positionV>
            <wp:extent cx="31115" cy="3683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93760" behindDoc="1" locked="0" layoutInCell="0" allowOverlap="1">
            <wp:simplePos x="0" y="0"/>
            <wp:positionH relativeFrom="column">
              <wp:posOffset>-17145</wp:posOffset>
            </wp:positionH>
            <wp:positionV relativeFrom="paragraph">
              <wp:posOffset>-23495</wp:posOffset>
            </wp:positionV>
            <wp:extent cx="31115" cy="3683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94" w:name="page95"/>
    <w:bookmarkEnd w:id="94"/>
    <w:p>
      <w:pPr>
        <w:spacing w:after="0"/>
        <w:rPr>
          <w:color w:val="auto"/>
          <w:sz w:val="20"/>
          <w:szCs w:val="20"/>
        </w:rPr>
      </w:pPr>
      <w:r>
        <w:rPr>
          <w:rFonts w:ascii="Calibri" w:eastAsia="Calibri" w:hAnsi="Calibri" w:cs="Calibri"/>
          <w:b/>
          <w:bCs/>
          <w:color w:val="444867"/>
          <w:sz w:val="14"/>
          <w:szCs w:val="14"/>
        </w:rPr>
        <w:t>Note 14 Income Taxes</w:t>
      </w:r>
    </w:p>
    <w:p>
      <w:pPr>
        <w:spacing w:after="0" w:line="20" w:lineRule="exact"/>
        <w:rPr>
          <w:color w:val="auto"/>
          <w:sz w:val="20"/>
          <w:szCs w:val="20"/>
        </w:rPr>
      </w:pPr>
      <w:r>
        <w:rPr>
          <w:color w:val="auto"/>
          <w:sz w:val="20"/>
          <w:szCs w:val="20"/>
        </w:rPr>
        <w:drawing>
          <wp:anchor simplePos="0" relativeHeight="251894784" behindDoc="1" locked="0" layoutInCell="0" allowOverlap="1">
            <wp:simplePos x="0" y="0"/>
            <wp:positionH relativeFrom="column">
              <wp:posOffset>-4445</wp:posOffset>
            </wp:positionH>
            <wp:positionV relativeFrom="paragraph">
              <wp:posOffset>24130</wp:posOffset>
            </wp:positionV>
            <wp:extent cx="7166610" cy="5715"/>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7"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Earnings Before Income Tax Expense</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380"/>
        <w:gridCol w:w="2720"/>
        <w:gridCol w:w="1160"/>
        <w:gridCol w:w="380"/>
        <w:gridCol w:w="1160"/>
        <w:gridCol w:w="380"/>
        <w:gridCol w:w="1100"/>
        <w:gridCol w:w="20"/>
      </w:tblGrid>
      <w:tr>
        <w:tblPrEx>
          <w:tblInd w:w="0" w:type="dxa"/>
          <w:tblLayout w:type="fixed"/>
        </w:tblPrEx>
        <w:trPr>
          <w:trHeight w:val="122"/>
        </w:trPr>
        <w:tc>
          <w:tcPr>
            <w:tcW w:w="438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2720" w:type="dxa"/>
            <w:vAlign w:val="bottom"/>
          </w:tcPr>
          <w:p>
            <w:pPr>
              <w:spacing w:after="0"/>
              <w:rPr>
                <w:color w:val="auto"/>
                <w:sz w:val="10"/>
                <w:szCs w:val="10"/>
              </w:rPr>
            </w:pPr>
          </w:p>
        </w:tc>
        <w:tc>
          <w:tcPr>
            <w:tcW w:w="1160" w:type="dxa"/>
            <w:vAlign w:val="bottom"/>
          </w:tcPr>
          <w:p>
            <w:pPr>
              <w:spacing w:after="0"/>
              <w:ind w:right="602"/>
              <w:jc w:val="right"/>
              <w:rPr>
                <w:color w:val="auto"/>
                <w:sz w:val="20"/>
                <w:szCs w:val="20"/>
              </w:rPr>
            </w:pPr>
            <w:r>
              <w:rPr>
                <w:rFonts w:ascii="Calibri" w:eastAsia="Calibri" w:hAnsi="Calibri" w:cs="Calibri"/>
                <w:b/>
                <w:bCs/>
                <w:color w:val="auto"/>
                <w:sz w:val="10"/>
                <w:szCs w:val="10"/>
              </w:rPr>
              <w:t>2024</w:t>
            </w:r>
          </w:p>
        </w:tc>
        <w:tc>
          <w:tcPr>
            <w:tcW w:w="380" w:type="dxa"/>
            <w:vAlign w:val="bottom"/>
          </w:tcPr>
          <w:p>
            <w:pPr>
              <w:spacing w:after="0"/>
              <w:rPr>
                <w:color w:val="auto"/>
                <w:sz w:val="10"/>
                <w:szCs w:val="10"/>
              </w:rPr>
            </w:pPr>
          </w:p>
        </w:tc>
        <w:tc>
          <w:tcPr>
            <w:tcW w:w="1160" w:type="dxa"/>
            <w:vAlign w:val="bottom"/>
          </w:tcPr>
          <w:p>
            <w:pPr>
              <w:spacing w:after="0"/>
              <w:ind w:right="622"/>
              <w:jc w:val="right"/>
              <w:rPr>
                <w:color w:val="auto"/>
                <w:sz w:val="20"/>
                <w:szCs w:val="20"/>
              </w:rPr>
            </w:pPr>
            <w:r>
              <w:rPr>
                <w:rFonts w:ascii="Calibri" w:eastAsia="Calibri" w:hAnsi="Calibri" w:cs="Calibri"/>
                <w:b/>
                <w:bCs/>
                <w:color w:val="auto"/>
                <w:sz w:val="10"/>
                <w:szCs w:val="10"/>
              </w:rPr>
              <w:t>2023</w:t>
            </w:r>
          </w:p>
        </w:tc>
        <w:tc>
          <w:tcPr>
            <w:tcW w:w="380" w:type="dxa"/>
            <w:vAlign w:val="bottom"/>
          </w:tcPr>
          <w:p>
            <w:pPr>
              <w:spacing w:after="0"/>
              <w:rPr>
                <w:color w:val="auto"/>
                <w:sz w:val="10"/>
                <w:szCs w:val="10"/>
              </w:rPr>
            </w:pPr>
          </w:p>
        </w:tc>
        <w:tc>
          <w:tcPr>
            <w:tcW w:w="1100" w:type="dxa"/>
            <w:vAlign w:val="bottom"/>
          </w:tcPr>
          <w:p>
            <w:pPr>
              <w:spacing w:after="0"/>
              <w:ind w:right="562"/>
              <w:jc w:val="right"/>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10"/>
                <w:szCs w:val="10"/>
              </w:rPr>
            </w:pPr>
          </w:p>
        </w:tc>
      </w:tr>
      <w:tr>
        <w:tblPrEx>
          <w:tblInd w:w="0" w:type="dxa"/>
          <w:tblLayout w:type="fixed"/>
        </w:tblPrEx>
        <w:trPr>
          <w:trHeight w:val="32"/>
        </w:trPr>
        <w:tc>
          <w:tcPr>
            <w:tcW w:w="4380" w:type="dxa"/>
            <w:tcBorders>
              <w:bottom w:val="single" w:sz="8" w:space="0" w:color="auto"/>
            </w:tcBorders>
            <w:vAlign w:val="bottom"/>
          </w:tcPr>
          <w:p>
            <w:pPr>
              <w:spacing w:after="0"/>
              <w:rPr>
                <w:color w:val="auto"/>
                <w:sz w:val="2"/>
                <w:szCs w:val="2"/>
              </w:rPr>
            </w:pPr>
          </w:p>
        </w:tc>
        <w:tc>
          <w:tcPr>
            <w:tcW w:w="272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r>
      <w:tr>
        <w:tblPrEx>
          <w:tblInd w:w="0" w:type="dxa"/>
          <w:tblLayout w:type="fixed"/>
        </w:tblPrEx>
        <w:trPr>
          <w:trHeight w:val="142"/>
        </w:trPr>
        <w:tc>
          <w:tcPr>
            <w:tcW w:w="438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Domestc</w:t>
            </w:r>
          </w:p>
        </w:tc>
        <w:tc>
          <w:tcPr>
            <w:tcW w:w="2720" w:type="dxa"/>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(7,743)</w:t>
            </w:r>
          </w:p>
        </w:tc>
        <w:tc>
          <w:tcPr>
            <w:tcW w:w="38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(3,475)</w:t>
            </w:r>
          </w:p>
        </w:tc>
        <w:tc>
          <w:tcPr>
            <w:tcW w:w="38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(4,608)</w:t>
            </w:r>
          </w:p>
        </w:tc>
        <w:tc>
          <w:tcPr>
            <w:tcW w:w="20" w:type="dxa"/>
            <w:vAlign w:val="bottom"/>
          </w:tcPr>
          <w:p>
            <w:pPr>
              <w:spacing w:after="0"/>
              <w:rPr>
                <w:color w:val="auto"/>
                <w:sz w:val="12"/>
                <w:szCs w:val="12"/>
              </w:rPr>
            </w:pPr>
          </w:p>
        </w:tc>
      </w:tr>
      <w:tr>
        <w:tblPrEx>
          <w:tblInd w:w="0" w:type="dxa"/>
          <w:tblLayout w:type="fixed"/>
        </w:tblPrEx>
        <w:trPr>
          <w:trHeight w:val="147"/>
        </w:trPr>
        <w:tc>
          <w:tcPr>
            <w:tcW w:w="43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Foreign</w:t>
            </w:r>
          </w:p>
        </w:tc>
        <w:tc>
          <w:tcPr>
            <w:tcW w:w="272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11,459</w:t>
            </w:r>
          </w:p>
        </w:tc>
        <w:tc>
          <w:tcPr>
            <w:tcW w:w="38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9,725</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18,085</w:t>
            </w:r>
          </w:p>
        </w:tc>
        <w:tc>
          <w:tcPr>
            <w:tcW w:w="20" w:type="dxa"/>
            <w:vAlign w:val="bottom"/>
          </w:tcPr>
          <w:p>
            <w:pPr>
              <w:spacing w:after="0"/>
              <w:rPr>
                <w:color w:val="auto"/>
                <w:sz w:val="12"/>
                <w:szCs w:val="12"/>
              </w:rPr>
            </w:pPr>
          </w:p>
        </w:tc>
      </w:tr>
      <w:tr>
        <w:tblPrEx>
          <w:tblInd w:w="0" w:type="dxa"/>
          <w:tblLayout w:type="fixed"/>
        </w:tblPrEx>
        <w:trPr>
          <w:trHeight w:val="164"/>
        </w:trPr>
        <w:tc>
          <w:tcPr>
            <w:tcW w:w="438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earnings before income tax expense</w:t>
            </w:r>
          </w:p>
        </w:tc>
        <w:tc>
          <w:tcPr>
            <w:tcW w:w="2720" w:type="dxa"/>
            <w:tcBorders>
              <w:bottom w:val="single" w:sz="8" w:space="0" w:color="auto"/>
            </w:tcBorders>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3,716</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6,250</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13,477</w:t>
            </w:r>
          </w:p>
        </w:tc>
        <w:tc>
          <w:tcPr>
            <w:tcW w:w="20" w:type="dxa"/>
            <w:vAlign w:val="bottom"/>
          </w:tcPr>
          <w:p>
            <w:pPr>
              <w:spacing w:after="0"/>
              <w:rPr>
                <w:color w:val="auto"/>
                <w:sz w:val="14"/>
                <w:szCs w:val="14"/>
              </w:rPr>
            </w:pPr>
          </w:p>
        </w:tc>
      </w:tr>
      <w:tr>
        <w:tblPrEx>
          <w:tblInd w:w="0" w:type="dxa"/>
          <w:tblLayout w:type="fixed"/>
        </w:tblPrEx>
        <w:trPr>
          <w:trHeight w:val="280"/>
        </w:trPr>
        <w:tc>
          <w:tcPr>
            <w:tcW w:w="4380" w:type="dxa"/>
            <w:vAlign w:val="bottom"/>
          </w:tcPr>
          <w:p>
            <w:pPr>
              <w:spacing w:after="0"/>
              <w:rPr>
                <w:color w:val="auto"/>
                <w:sz w:val="20"/>
                <w:szCs w:val="20"/>
              </w:rPr>
            </w:pPr>
            <w:r>
              <w:rPr>
                <w:rFonts w:ascii="Calibri" w:eastAsia="Calibri" w:hAnsi="Calibri" w:cs="Calibri"/>
                <w:b/>
                <w:bCs/>
                <w:color w:val="444867"/>
                <w:sz w:val="12"/>
                <w:szCs w:val="12"/>
              </w:rPr>
              <w:t>Income Tax Expense</w:t>
            </w:r>
          </w:p>
        </w:tc>
        <w:tc>
          <w:tcPr>
            <w:tcW w:w="2720" w:type="dxa"/>
            <w:vAlign w:val="bottom"/>
          </w:tcPr>
          <w:p>
            <w:pPr>
              <w:spacing w:after="0"/>
              <w:rPr>
                <w:color w:val="auto"/>
                <w:sz w:val="24"/>
                <w:szCs w:val="24"/>
              </w:rPr>
            </w:pPr>
          </w:p>
        </w:tc>
        <w:tc>
          <w:tcPr>
            <w:tcW w:w="1160" w:type="dxa"/>
            <w:vAlign w:val="bottom"/>
          </w:tcPr>
          <w:p>
            <w:pPr>
              <w:spacing w:after="0"/>
              <w:rPr>
                <w:color w:val="auto"/>
                <w:sz w:val="24"/>
                <w:szCs w:val="24"/>
              </w:rPr>
            </w:pPr>
          </w:p>
        </w:tc>
        <w:tc>
          <w:tcPr>
            <w:tcW w:w="380" w:type="dxa"/>
            <w:vAlign w:val="bottom"/>
          </w:tcPr>
          <w:p>
            <w:pPr>
              <w:spacing w:after="0"/>
              <w:rPr>
                <w:color w:val="auto"/>
                <w:sz w:val="24"/>
                <w:szCs w:val="24"/>
              </w:rPr>
            </w:pPr>
          </w:p>
        </w:tc>
        <w:tc>
          <w:tcPr>
            <w:tcW w:w="1160" w:type="dxa"/>
            <w:vAlign w:val="bottom"/>
          </w:tcPr>
          <w:p>
            <w:pPr>
              <w:spacing w:after="0"/>
              <w:rPr>
                <w:color w:val="auto"/>
                <w:sz w:val="24"/>
                <w:szCs w:val="24"/>
              </w:rPr>
            </w:pPr>
          </w:p>
        </w:tc>
        <w:tc>
          <w:tcPr>
            <w:tcW w:w="380" w:type="dxa"/>
            <w:vAlign w:val="bottom"/>
          </w:tcPr>
          <w:p>
            <w:pPr>
              <w:spacing w:after="0"/>
              <w:rPr>
                <w:color w:val="auto"/>
                <w:sz w:val="24"/>
                <w:szCs w:val="24"/>
              </w:rPr>
            </w:pPr>
          </w:p>
        </w:tc>
        <w:tc>
          <w:tcPr>
            <w:tcW w:w="1100" w:type="dxa"/>
            <w:vAlign w:val="bottom"/>
          </w:tcPr>
          <w:p>
            <w:pPr>
              <w:spacing w:after="0"/>
              <w:rPr>
                <w:color w:val="auto"/>
                <w:sz w:val="24"/>
                <w:szCs w:val="24"/>
              </w:rPr>
            </w:pPr>
          </w:p>
        </w:tc>
        <w:tc>
          <w:tcPr>
            <w:tcW w:w="20" w:type="dxa"/>
            <w:vAlign w:val="bottom"/>
          </w:tcPr>
          <w:p>
            <w:pPr>
              <w:spacing w:after="0"/>
              <w:rPr>
                <w:color w:val="auto"/>
                <w:sz w:val="24"/>
                <w:szCs w:val="24"/>
              </w:rPr>
            </w:pPr>
          </w:p>
        </w:tc>
      </w:tr>
      <w:tr>
        <w:tblPrEx>
          <w:tblInd w:w="0" w:type="dxa"/>
          <w:tblLayout w:type="fixed"/>
        </w:tblPrEx>
        <w:trPr>
          <w:trHeight w:val="138"/>
        </w:trPr>
        <w:tc>
          <w:tcPr>
            <w:tcW w:w="438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2720" w:type="dxa"/>
            <w:vAlign w:val="bottom"/>
          </w:tcPr>
          <w:p>
            <w:pPr>
              <w:spacing w:after="0"/>
              <w:rPr>
                <w:color w:val="auto"/>
                <w:sz w:val="12"/>
                <w:szCs w:val="12"/>
              </w:rPr>
            </w:pPr>
          </w:p>
        </w:tc>
        <w:tc>
          <w:tcPr>
            <w:tcW w:w="1160" w:type="dxa"/>
            <w:vAlign w:val="bottom"/>
          </w:tcPr>
          <w:p>
            <w:pPr>
              <w:spacing w:after="0"/>
              <w:ind w:right="602"/>
              <w:jc w:val="right"/>
              <w:rPr>
                <w:color w:val="auto"/>
                <w:sz w:val="20"/>
                <w:szCs w:val="20"/>
              </w:rPr>
            </w:pPr>
            <w:r>
              <w:rPr>
                <w:rFonts w:ascii="Calibri" w:eastAsia="Calibri" w:hAnsi="Calibri" w:cs="Calibri"/>
                <w:b/>
                <w:bCs/>
                <w:color w:val="auto"/>
                <w:sz w:val="10"/>
                <w:szCs w:val="10"/>
              </w:rPr>
              <w:t>2024</w:t>
            </w:r>
          </w:p>
        </w:tc>
        <w:tc>
          <w:tcPr>
            <w:tcW w:w="380" w:type="dxa"/>
            <w:vAlign w:val="bottom"/>
          </w:tcPr>
          <w:p>
            <w:pPr>
              <w:spacing w:after="0"/>
              <w:rPr>
                <w:color w:val="auto"/>
                <w:sz w:val="12"/>
                <w:szCs w:val="12"/>
              </w:rPr>
            </w:pPr>
          </w:p>
        </w:tc>
        <w:tc>
          <w:tcPr>
            <w:tcW w:w="1160" w:type="dxa"/>
            <w:vAlign w:val="bottom"/>
          </w:tcPr>
          <w:p>
            <w:pPr>
              <w:spacing w:after="0"/>
              <w:ind w:right="622"/>
              <w:jc w:val="right"/>
              <w:rPr>
                <w:color w:val="auto"/>
                <w:sz w:val="20"/>
                <w:szCs w:val="20"/>
              </w:rPr>
            </w:pPr>
            <w:r>
              <w:rPr>
                <w:rFonts w:ascii="Calibri" w:eastAsia="Calibri" w:hAnsi="Calibri" w:cs="Calibri"/>
                <w:b/>
                <w:bCs/>
                <w:color w:val="auto"/>
                <w:sz w:val="10"/>
                <w:szCs w:val="10"/>
              </w:rPr>
              <w:t>2023</w:t>
            </w:r>
          </w:p>
        </w:tc>
        <w:tc>
          <w:tcPr>
            <w:tcW w:w="380" w:type="dxa"/>
            <w:vAlign w:val="bottom"/>
          </w:tcPr>
          <w:p>
            <w:pPr>
              <w:spacing w:after="0"/>
              <w:rPr>
                <w:color w:val="auto"/>
                <w:sz w:val="12"/>
                <w:szCs w:val="12"/>
              </w:rPr>
            </w:pPr>
          </w:p>
        </w:tc>
        <w:tc>
          <w:tcPr>
            <w:tcW w:w="1100" w:type="dxa"/>
            <w:vAlign w:val="bottom"/>
          </w:tcPr>
          <w:p>
            <w:pPr>
              <w:spacing w:after="0"/>
              <w:ind w:right="562"/>
              <w:jc w:val="right"/>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12"/>
                <w:szCs w:val="12"/>
              </w:rPr>
            </w:pPr>
          </w:p>
        </w:tc>
      </w:tr>
      <w:tr>
        <w:tblPrEx>
          <w:tblInd w:w="0" w:type="dxa"/>
          <w:tblLayout w:type="fixed"/>
        </w:tblPrEx>
        <w:trPr>
          <w:trHeight w:val="32"/>
        </w:trPr>
        <w:tc>
          <w:tcPr>
            <w:tcW w:w="4380" w:type="dxa"/>
            <w:tcBorders>
              <w:bottom w:val="single" w:sz="8" w:space="0" w:color="auto"/>
            </w:tcBorders>
            <w:vAlign w:val="bottom"/>
          </w:tcPr>
          <w:p>
            <w:pPr>
              <w:spacing w:after="0"/>
              <w:rPr>
                <w:color w:val="auto"/>
                <w:sz w:val="2"/>
                <w:szCs w:val="2"/>
              </w:rPr>
            </w:pPr>
          </w:p>
        </w:tc>
        <w:tc>
          <w:tcPr>
            <w:tcW w:w="272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c>
          <w:tcPr>
            <w:tcW w:w="20" w:type="dxa"/>
            <w:vAlign w:val="bottom"/>
          </w:tcPr>
          <w:p>
            <w:pPr>
              <w:spacing w:after="0"/>
              <w:rPr>
                <w:color w:val="auto"/>
                <w:sz w:val="2"/>
                <w:szCs w:val="2"/>
              </w:rPr>
            </w:pPr>
          </w:p>
        </w:tc>
      </w:tr>
      <w:tr>
        <w:tblPrEx>
          <w:tblInd w:w="0" w:type="dxa"/>
          <w:tblLayout w:type="fixed"/>
        </w:tblPrEx>
        <w:trPr>
          <w:trHeight w:val="136"/>
        </w:trPr>
        <w:tc>
          <w:tcPr>
            <w:tcW w:w="4380" w:type="dxa"/>
            <w:vAlign w:val="bottom"/>
          </w:tcPr>
          <w:p>
            <w:pPr>
              <w:spacing w:after="0" w:line="137" w:lineRule="exact"/>
              <w:rPr>
                <w:color w:val="auto"/>
                <w:sz w:val="20"/>
                <w:szCs w:val="20"/>
              </w:rPr>
            </w:pPr>
            <w:r>
              <w:rPr>
                <w:rFonts w:ascii="Calibri" w:eastAsia="Calibri" w:hAnsi="Calibri" w:cs="Calibri"/>
                <w:b/>
                <w:bCs/>
                <w:color w:val="auto"/>
                <w:sz w:val="12"/>
                <w:szCs w:val="12"/>
              </w:rPr>
              <w:t>Current</w:t>
            </w:r>
          </w:p>
        </w:tc>
        <w:tc>
          <w:tcPr>
            <w:tcW w:w="2720" w:type="dxa"/>
            <w:vAlign w:val="bottom"/>
          </w:tcPr>
          <w:p>
            <w:pPr>
              <w:spacing w:after="0"/>
              <w:rPr>
                <w:color w:val="auto"/>
                <w:sz w:val="11"/>
                <w:szCs w:val="11"/>
              </w:rPr>
            </w:pPr>
          </w:p>
        </w:tc>
        <w:tc>
          <w:tcPr>
            <w:tcW w:w="1160" w:type="dxa"/>
            <w:vAlign w:val="bottom"/>
          </w:tcPr>
          <w:p>
            <w:pPr>
              <w:spacing w:after="0"/>
              <w:rPr>
                <w:color w:val="auto"/>
                <w:sz w:val="11"/>
                <w:szCs w:val="11"/>
              </w:rPr>
            </w:pPr>
          </w:p>
        </w:tc>
        <w:tc>
          <w:tcPr>
            <w:tcW w:w="380" w:type="dxa"/>
            <w:vAlign w:val="bottom"/>
          </w:tcPr>
          <w:p>
            <w:pPr>
              <w:spacing w:after="0"/>
              <w:rPr>
                <w:color w:val="auto"/>
                <w:sz w:val="11"/>
                <w:szCs w:val="11"/>
              </w:rPr>
            </w:pPr>
          </w:p>
        </w:tc>
        <w:tc>
          <w:tcPr>
            <w:tcW w:w="1160" w:type="dxa"/>
            <w:vAlign w:val="bottom"/>
          </w:tcPr>
          <w:p>
            <w:pPr>
              <w:spacing w:after="0"/>
              <w:rPr>
                <w:color w:val="auto"/>
                <w:sz w:val="11"/>
                <w:szCs w:val="11"/>
              </w:rPr>
            </w:pPr>
          </w:p>
        </w:tc>
        <w:tc>
          <w:tcPr>
            <w:tcW w:w="380" w:type="dxa"/>
            <w:vAlign w:val="bottom"/>
          </w:tcPr>
          <w:p>
            <w:pPr>
              <w:spacing w:after="0"/>
              <w:rPr>
                <w:color w:val="auto"/>
                <w:sz w:val="11"/>
                <w:szCs w:val="11"/>
              </w:rPr>
            </w:pPr>
          </w:p>
        </w:tc>
        <w:tc>
          <w:tcPr>
            <w:tcW w:w="1100" w:type="dxa"/>
            <w:vAlign w:val="bottom"/>
          </w:tcPr>
          <w:p>
            <w:pPr>
              <w:spacing w:after="0"/>
              <w:rPr>
                <w:color w:val="auto"/>
                <w:sz w:val="11"/>
                <w:szCs w:val="11"/>
              </w:rPr>
            </w:pPr>
          </w:p>
        </w:tc>
        <w:tc>
          <w:tcPr>
            <w:tcW w:w="20" w:type="dxa"/>
            <w:vAlign w:val="bottom"/>
          </w:tcPr>
          <w:p>
            <w:pPr>
              <w:spacing w:after="0"/>
              <w:rPr>
                <w:color w:val="auto"/>
                <w:sz w:val="11"/>
                <w:szCs w:val="11"/>
              </w:rPr>
            </w:pPr>
          </w:p>
        </w:tc>
      </w:tr>
      <w:tr>
        <w:tblPrEx>
          <w:tblInd w:w="0" w:type="dxa"/>
          <w:tblLayout w:type="fixed"/>
        </w:tblPrEx>
        <w:trPr>
          <w:trHeight w:val="159"/>
        </w:trPr>
        <w:tc>
          <w:tcPr>
            <w:tcW w:w="4380" w:type="dxa"/>
            <w:shd w:val="clear" w:color="auto" w:fill="CCEEFF"/>
            <w:vAlign w:val="bottom"/>
          </w:tcPr>
          <w:p>
            <w:pPr>
              <w:spacing w:after="0"/>
              <w:rPr>
                <w:color w:val="auto"/>
                <w:sz w:val="20"/>
                <w:szCs w:val="20"/>
              </w:rPr>
            </w:pPr>
            <w:r>
              <w:rPr>
                <w:rFonts w:ascii="Calibri" w:eastAsia="Calibri" w:hAnsi="Calibri" w:cs="Calibri"/>
                <w:color w:val="auto"/>
                <w:sz w:val="12"/>
                <w:szCs w:val="12"/>
              </w:rPr>
              <w:t>Domestc</w:t>
            </w:r>
          </w:p>
        </w:tc>
        <w:tc>
          <w:tcPr>
            <w:tcW w:w="2720" w:type="dxa"/>
            <w:shd w:val="clear" w:color="auto" w:fill="CCEEFF"/>
            <w:vAlign w:val="bottom"/>
          </w:tcPr>
          <w:p>
            <w:pPr>
              <w:spacing w:after="0"/>
              <w:ind w:right="18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(331)</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3,272</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2,647</w:t>
            </w:r>
          </w:p>
        </w:tc>
        <w:tc>
          <w:tcPr>
            <w:tcW w:w="20" w:type="dxa"/>
            <w:vAlign w:val="bottom"/>
          </w:tcPr>
          <w:p>
            <w:pPr>
              <w:spacing w:after="0"/>
              <w:rPr>
                <w:color w:val="auto"/>
                <w:sz w:val="13"/>
                <w:szCs w:val="13"/>
              </w:rPr>
            </w:pPr>
          </w:p>
        </w:tc>
      </w:tr>
      <w:tr>
        <w:tblPrEx>
          <w:tblInd w:w="0" w:type="dxa"/>
          <w:tblLayout w:type="fixed"/>
        </w:tblPrEx>
        <w:trPr>
          <w:trHeight w:val="147"/>
        </w:trPr>
        <w:tc>
          <w:tcPr>
            <w:tcW w:w="43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Foreign</w:t>
            </w:r>
          </w:p>
        </w:tc>
        <w:tc>
          <w:tcPr>
            <w:tcW w:w="272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1,210</w:t>
            </w:r>
          </w:p>
        </w:tc>
        <w:tc>
          <w:tcPr>
            <w:tcW w:w="38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994</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916</w:t>
            </w:r>
          </w:p>
        </w:tc>
        <w:tc>
          <w:tcPr>
            <w:tcW w:w="20" w:type="dxa"/>
            <w:vAlign w:val="bottom"/>
          </w:tcPr>
          <w:p>
            <w:pPr>
              <w:spacing w:after="0"/>
              <w:rPr>
                <w:color w:val="auto"/>
                <w:sz w:val="12"/>
                <w:szCs w:val="12"/>
              </w:rPr>
            </w:pPr>
          </w:p>
        </w:tc>
      </w:tr>
      <w:tr>
        <w:tblPrEx>
          <w:tblInd w:w="0" w:type="dxa"/>
          <w:tblLayout w:type="fixed"/>
        </w:tblPrEx>
        <w:trPr>
          <w:trHeight w:val="164"/>
        </w:trPr>
        <w:tc>
          <w:tcPr>
            <w:tcW w:w="438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current taxes</w:t>
            </w:r>
          </w:p>
        </w:tc>
        <w:tc>
          <w:tcPr>
            <w:tcW w:w="2720" w:type="dxa"/>
            <w:tcBorders>
              <w:bottom w:val="single" w:sz="8" w:space="0" w:color="auto"/>
            </w:tcBorders>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879</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4,266</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3,563</w:t>
            </w:r>
          </w:p>
        </w:tc>
        <w:tc>
          <w:tcPr>
            <w:tcW w:w="20" w:type="dxa"/>
            <w:vAlign w:val="bottom"/>
          </w:tcPr>
          <w:p>
            <w:pPr>
              <w:spacing w:after="0"/>
              <w:rPr>
                <w:color w:val="auto"/>
                <w:sz w:val="14"/>
                <w:szCs w:val="14"/>
              </w:rPr>
            </w:pPr>
          </w:p>
        </w:tc>
      </w:tr>
      <w:tr>
        <w:tblPrEx>
          <w:tblInd w:w="0" w:type="dxa"/>
          <w:tblLayout w:type="fixed"/>
        </w:tblPrEx>
        <w:trPr>
          <w:trHeight w:val="147"/>
        </w:trPr>
        <w:tc>
          <w:tcPr>
            <w:tcW w:w="4380" w:type="dxa"/>
            <w:vAlign w:val="bottom"/>
          </w:tcPr>
          <w:p>
            <w:pPr>
              <w:spacing w:after="0" w:line="142" w:lineRule="exact"/>
              <w:rPr>
                <w:color w:val="auto"/>
                <w:sz w:val="20"/>
                <w:szCs w:val="20"/>
              </w:rPr>
            </w:pPr>
            <w:r>
              <w:rPr>
                <w:rFonts w:ascii="Calibri" w:eastAsia="Calibri" w:hAnsi="Calibri" w:cs="Calibri"/>
                <w:b/>
                <w:bCs/>
                <w:color w:val="auto"/>
                <w:sz w:val="12"/>
                <w:szCs w:val="12"/>
              </w:rPr>
              <w:t>Deferred</w:t>
            </w:r>
          </w:p>
        </w:tc>
        <w:tc>
          <w:tcPr>
            <w:tcW w:w="2720" w:type="dxa"/>
            <w:vAlign w:val="bottom"/>
          </w:tcPr>
          <w:p>
            <w:pPr>
              <w:spacing w:after="0"/>
              <w:rPr>
                <w:color w:val="auto"/>
                <w:sz w:val="12"/>
                <w:szCs w:val="12"/>
              </w:rPr>
            </w:pPr>
          </w:p>
        </w:tc>
        <w:tc>
          <w:tcPr>
            <w:tcW w:w="1160" w:type="dxa"/>
            <w:vAlign w:val="bottom"/>
          </w:tcPr>
          <w:p>
            <w:pPr>
              <w:spacing w:after="0"/>
              <w:rPr>
                <w:color w:val="auto"/>
                <w:sz w:val="12"/>
                <w:szCs w:val="12"/>
              </w:rPr>
            </w:pPr>
          </w:p>
        </w:tc>
        <w:tc>
          <w:tcPr>
            <w:tcW w:w="380" w:type="dxa"/>
            <w:vAlign w:val="bottom"/>
          </w:tcPr>
          <w:p>
            <w:pPr>
              <w:spacing w:after="0"/>
              <w:rPr>
                <w:color w:val="auto"/>
                <w:sz w:val="12"/>
                <w:szCs w:val="12"/>
              </w:rPr>
            </w:pPr>
          </w:p>
        </w:tc>
        <w:tc>
          <w:tcPr>
            <w:tcW w:w="1160" w:type="dxa"/>
            <w:vAlign w:val="bottom"/>
          </w:tcPr>
          <w:p>
            <w:pPr>
              <w:spacing w:after="0"/>
              <w:rPr>
                <w:color w:val="auto"/>
                <w:sz w:val="12"/>
                <w:szCs w:val="12"/>
              </w:rPr>
            </w:pPr>
          </w:p>
        </w:tc>
        <w:tc>
          <w:tcPr>
            <w:tcW w:w="380" w:type="dxa"/>
            <w:vAlign w:val="bottom"/>
          </w:tcPr>
          <w:p>
            <w:pPr>
              <w:spacing w:after="0"/>
              <w:rPr>
                <w:color w:val="auto"/>
                <w:sz w:val="12"/>
                <w:szCs w:val="12"/>
              </w:rPr>
            </w:pPr>
          </w:p>
        </w:tc>
        <w:tc>
          <w:tcPr>
            <w:tcW w:w="1100" w:type="dxa"/>
            <w:vAlign w:val="bottom"/>
          </w:tcPr>
          <w:p>
            <w:pPr>
              <w:spacing w:after="0"/>
              <w:rPr>
                <w:color w:val="auto"/>
                <w:sz w:val="12"/>
                <w:szCs w:val="12"/>
              </w:rPr>
            </w:pPr>
          </w:p>
        </w:tc>
        <w:tc>
          <w:tcPr>
            <w:tcW w:w="20" w:type="dxa"/>
            <w:vAlign w:val="bottom"/>
          </w:tcPr>
          <w:p>
            <w:pPr>
              <w:spacing w:after="0"/>
              <w:rPr>
                <w:color w:val="auto"/>
                <w:sz w:val="12"/>
                <w:szCs w:val="12"/>
              </w:rPr>
            </w:pPr>
          </w:p>
        </w:tc>
      </w:tr>
      <w:tr>
        <w:tblPrEx>
          <w:tblInd w:w="0" w:type="dxa"/>
          <w:tblLayout w:type="fixed"/>
        </w:tblPrEx>
        <w:trPr>
          <w:trHeight w:val="159"/>
        </w:trPr>
        <w:tc>
          <w:tcPr>
            <w:tcW w:w="4380" w:type="dxa"/>
            <w:shd w:val="clear" w:color="auto" w:fill="CCEEFF"/>
            <w:vAlign w:val="bottom"/>
          </w:tcPr>
          <w:p>
            <w:pPr>
              <w:spacing w:after="0"/>
              <w:rPr>
                <w:color w:val="auto"/>
                <w:sz w:val="20"/>
                <w:szCs w:val="20"/>
              </w:rPr>
            </w:pPr>
            <w:r>
              <w:rPr>
                <w:rFonts w:ascii="Calibri" w:eastAsia="Calibri" w:hAnsi="Calibri" w:cs="Calibri"/>
                <w:color w:val="auto"/>
                <w:sz w:val="12"/>
                <w:szCs w:val="12"/>
              </w:rPr>
              <w:t>Domestc</w:t>
            </w:r>
          </w:p>
        </w:tc>
        <w:tc>
          <w:tcPr>
            <w:tcW w:w="2720" w:type="dxa"/>
            <w:shd w:val="clear" w:color="auto" w:fill="CCEEFF"/>
            <w:vAlign w:val="bottom"/>
          </w:tcPr>
          <w:p>
            <w:pPr>
              <w:spacing w:after="0"/>
              <w:ind w:right="18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(1,303)</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60" w:type="dxa"/>
            <w:shd w:val="clear" w:color="auto" w:fill="CCEEFF"/>
            <w:vAlign w:val="bottom"/>
          </w:tcPr>
          <w:p>
            <w:pPr>
              <w:spacing w:after="0"/>
              <w:ind w:right="2"/>
              <w:jc w:val="right"/>
              <w:rPr>
                <w:color w:val="auto"/>
                <w:sz w:val="20"/>
                <w:szCs w:val="20"/>
              </w:rPr>
            </w:pPr>
            <w:r>
              <w:rPr>
                <w:rFonts w:ascii="Calibri" w:eastAsia="Calibri" w:hAnsi="Calibri" w:cs="Calibri"/>
                <w:color w:val="auto"/>
                <w:sz w:val="12"/>
                <w:szCs w:val="12"/>
              </w:rPr>
              <w:t>(2,324)</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(1,512)</w:t>
            </w:r>
          </w:p>
        </w:tc>
        <w:tc>
          <w:tcPr>
            <w:tcW w:w="20" w:type="dxa"/>
            <w:vAlign w:val="bottom"/>
          </w:tcPr>
          <w:p>
            <w:pPr>
              <w:spacing w:after="0"/>
              <w:rPr>
                <w:color w:val="auto"/>
                <w:sz w:val="13"/>
                <w:szCs w:val="13"/>
              </w:rPr>
            </w:pPr>
          </w:p>
        </w:tc>
      </w:tr>
      <w:tr>
        <w:tblPrEx>
          <w:tblInd w:w="0" w:type="dxa"/>
          <w:tblLayout w:type="fixed"/>
        </w:tblPrEx>
        <w:trPr>
          <w:trHeight w:val="147"/>
        </w:trPr>
        <w:tc>
          <w:tcPr>
            <w:tcW w:w="43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Foreign</w:t>
            </w:r>
          </w:p>
        </w:tc>
        <w:tc>
          <w:tcPr>
            <w:tcW w:w="272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(146)</w:t>
            </w:r>
          </w:p>
        </w:tc>
        <w:tc>
          <w:tcPr>
            <w:tcW w:w="38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(565)</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(419)</w:t>
            </w:r>
          </w:p>
        </w:tc>
        <w:tc>
          <w:tcPr>
            <w:tcW w:w="20" w:type="dxa"/>
            <w:vAlign w:val="bottom"/>
          </w:tcPr>
          <w:p>
            <w:pPr>
              <w:spacing w:after="0"/>
              <w:rPr>
                <w:color w:val="auto"/>
                <w:sz w:val="12"/>
                <w:szCs w:val="12"/>
              </w:rPr>
            </w:pPr>
          </w:p>
        </w:tc>
      </w:tr>
      <w:tr>
        <w:tblPrEx>
          <w:tblInd w:w="0" w:type="dxa"/>
          <w:tblLayout w:type="fixed"/>
        </w:tblPrEx>
        <w:trPr>
          <w:trHeight w:val="164"/>
        </w:trPr>
        <w:tc>
          <w:tcPr>
            <w:tcW w:w="438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deferred taxes</w:t>
            </w:r>
          </w:p>
        </w:tc>
        <w:tc>
          <w:tcPr>
            <w:tcW w:w="2720" w:type="dxa"/>
            <w:tcBorders>
              <w:bottom w:val="single" w:sz="8" w:space="0" w:color="auto"/>
            </w:tcBorders>
            <w:shd w:val="clear" w:color="auto" w:fill="CCEEFF"/>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(1,449)</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shd w:val="clear" w:color="auto" w:fill="CCEEFF"/>
            <w:vAlign w:val="bottom"/>
          </w:tcPr>
          <w:p>
            <w:pPr>
              <w:spacing w:after="0" w:line="142" w:lineRule="exact"/>
              <w:ind w:right="2"/>
              <w:jc w:val="right"/>
              <w:rPr>
                <w:color w:val="auto"/>
                <w:sz w:val="20"/>
                <w:szCs w:val="20"/>
              </w:rPr>
            </w:pPr>
            <w:r>
              <w:rPr>
                <w:rFonts w:ascii="Calibri" w:eastAsia="Calibri" w:hAnsi="Calibri" w:cs="Calibri"/>
                <w:color w:val="auto"/>
                <w:sz w:val="12"/>
                <w:szCs w:val="12"/>
              </w:rPr>
              <w:t>(2,889)</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(1,931)</w:t>
            </w:r>
          </w:p>
        </w:tc>
        <w:tc>
          <w:tcPr>
            <w:tcW w:w="20" w:type="dxa"/>
            <w:vAlign w:val="bottom"/>
          </w:tcPr>
          <w:p>
            <w:pPr>
              <w:spacing w:after="0"/>
              <w:rPr>
                <w:color w:val="auto"/>
                <w:sz w:val="14"/>
                <w:szCs w:val="14"/>
              </w:rPr>
            </w:pPr>
          </w:p>
        </w:tc>
      </w:tr>
      <w:tr>
        <w:tblPrEx>
          <w:tblInd w:w="0" w:type="dxa"/>
          <w:tblLayout w:type="fixed"/>
        </w:tblPrEx>
        <w:trPr>
          <w:trHeight w:val="147"/>
        </w:trPr>
        <w:tc>
          <w:tcPr>
            <w:tcW w:w="43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income tax expense (beneft)</w:t>
            </w:r>
          </w:p>
        </w:tc>
        <w:tc>
          <w:tcPr>
            <w:tcW w:w="2720" w:type="dxa"/>
            <w:tcBorders>
              <w:bottom w:val="single" w:sz="8" w:space="0" w:color="auto"/>
            </w:tcBorders>
            <w:vAlign w:val="bottom"/>
          </w:tcPr>
          <w:p>
            <w:pPr>
              <w:spacing w:after="0" w:line="142" w:lineRule="exact"/>
              <w:ind w:right="18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(570)</w:t>
            </w:r>
          </w:p>
        </w:tc>
        <w:tc>
          <w:tcPr>
            <w:tcW w:w="380" w:type="dxa"/>
            <w:tcBorders>
              <w:bottom w:val="single" w:sz="8" w:space="0" w:color="auto"/>
            </w:tcBorders>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6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1,377</w:t>
            </w:r>
          </w:p>
        </w:tc>
        <w:tc>
          <w:tcPr>
            <w:tcW w:w="380" w:type="dxa"/>
            <w:tcBorders>
              <w:bottom w:val="single" w:sz="8" w:space="0" w:color="auto"/>
            </w:tcBorders>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vAlign w:val="bottom"/>
          </w:tcPr>
          <w:p>
            <w:pPr>
              <w:spacing w:after="0" w:line="142" w:lineRule="exact"/>
              <w:ind w:right="2"/>
              <w:jc w:val="right"/>
              <w:rPr>
                <w:color w:val="auto"/>
                <w:sz w:val="20"/>
                <w:szCs w:val="20"/>
              </w:rPr>
            </w:pPr>
            <w:r>
              <w:rPr>
                <w:rFonts w:ascii="Calibri" w:eastAsia="Calibri" w:hAnsi="Calibri" w:cs="Calibri"/>
                <w:color w:val="auto"/>
                <w:sz w:val="12"/>
                <w:szCs w:val="12"/>
              </w:rPr>
              <w:t>1,632</w:t>
            </w:r>
          </w:p>
        </w:tc>
        <w:tc>
          <w:tcPr>
            <w:tcW w:w="20" w:type="dxa"/>
            <w:vAlign w:val="bottom"/>
          </w:tcPr>
          <w:p>
            <w:pPr>
              <w:spacing w:after="0"/>
              <w:rPr>
                <w:color w:val="auto"/>
                <w:sz w:val="12"/>
                <w:szCs w:val="12"/>
              </w:rPr>
            </w:pPr>
          </w:p>
        </w:tc>
      </w:tr>
      <w:tr>
        <w:tblPrEx>
          <w:tblInd w:w="0" w:type="dxa"/>
          <w:tblLayout w:type="fixed"/>
        </w:tblPrEx>
        <w:trPr>
          <w:trHeight w:val="20"/>
        </w:trPr>
        <w:tc>
          <w:tcPr>
            <w:tcW w:w="4380" w:type="dxa"/>
            <w:tcBorders>
              <w:bottom w:val="single" w:sz="8" w:space="0" w:color="auto"/>
            </w:tcBorders>
            <w:vAlign w:val="bottom"/>
          </w:tcPr>
          <w:p>
            <w:pPr>
              <w:spacing w:after="0" w:line="20" w:lineRule="exact"/>
              <w:rPr>
                <w:color w:val="auto"/>
                <w:sz w:val="1"/>
                <w:szCs w:val="1"/>
              </w:rPr>
            </w:pPr>
          </w:p>
        </w:tc>
        <w:tc>
          <w:tcPr>
            <w:tcW w:w="2720" w:type="dxa"/>
            <w:tcBorders>
              <w:bottom w:val="single" w:sz="8" w:space="0" w:color="auto"/>
            </w:tcBorders>
            <w:vAlign w:val="bottom"/>
          </w:tcPr>
          <w:p>
            <w:pPr>
              <w:spacing w:after="0" w:line="20" w:lineRule="exact"/>
              <w:rPr>
                <w:color w:val="auto"/>
                <w:sz w:val="1"/>
                <w:szCs w:val="1"/>
              </w:rPr>
            </w:pPr>
          </w:p>
        </w:tc>
        <w:tc>
          <w:tcPr>
            <w:tcW w:w="116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116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1100" w:type="dxa"/>
            <w:tcBorders>
              <w:bottom w:val="single" w:sz="8" w:space="0" w:color="auto"/>
            </w:tcBorders>
            <w:vAlign w:val="bottom"/>
          </w:tcPr>
          <w:p>
            <w:pPr>
              <w:spacing w:after="0" w:line="20" w:lineRule="exact"/>
              <w:rPr>
                <w:color w:val="auto"/>
                <w:sz w:val="1"/>
                <w:szCs w:val="1"/>
              </w:rPr>
            </w:pPr>
          </w:p>
        </w:tc>
        <w:tc>
          <w:tcPr>
            <w:tcW w:w="20" w:type="dxa"/>
            <w:vAlign w:val="bottom"/>
          </w:tcPr>
          <w:p>
            <w:pPr>
              <w:spacing w:after="0" w:line="20" w:lineRule="exact"/>
              <w:rPr>
                <w:color w:val="auto"/>
                <w:sz w:val="1"/>
                <w:szCs w:val="1"/>
              </w:rPr>
            </w:pPr>
          </w:p>
        </w:tc>
      </w:tr>
      <w:tr>
        <w:tblPrEx>
          <w:tblInd w:w="0" w:type="dxa"/>
          <w:tblLayout w:type="fixed"/>
        </w:tblPrEx>
        <w:trPr>
          <w:trHeight w:val="262"/>
        </w:trPr>
        <w:tc>
          <w:tcPr>
            <w:tcW w:w="4380" w:type="dxa"/>
            <w:vAlign w:val="bottom"/>
          </w:tcPr>
          <w:p>
            <w:pPr>
              <w:spacing w:after="0"/>
              <w:rPr>
                <w:color w:val="auto"/>
                <w:sz w:val="20"/>
                <w:szCs w:val="20"/>
              </w:rPr>
            </w:pPr>
            <w:r>
              <w:rPr>
                <w:rFonts w:ascii="Calibri" w:eastAsia="Calibri" w:hAnsi="Calibri" w:cs="Calibri"/>
                <w:b/>
                <w:bCs/>
                <w:color w:val="444867"/>
                <w:sz w:val="12"/>
                <w:szCs w:val="12"/>
              </w:rPr>
              <w:t>Efectve Tax Rate Reconciliaton</w:t>
            </w:r>
          </w:p>
        </w:tc>
        <w:tc>
          <w:tcPr>
            <w:tcW w:w="2720" w:type="dxa"/>
            <w:vAlign w:val="bottom"/>
          </w:tcPr>
          <w:p>
            <w:pPr>
              <w:spacing w:after="0"/>
              <w:rPr>
                <w:color w:val="auto"/>
                <w:sz w:val="22"/>
                <w:szCs w:val="22"/>
              </w:rPr>
            </w:pPr>
          </w:p>
        </w:tc>
        <w:tc>
          <w:tcPr>
            <w:tcW w:w="1160" w:type="dxa"/>
            <w:vAlign w:val="bottom"/>
          </w:tcPr>
          <w:p>
            <w:pPr>
              <w:spacing w:after="0"/>
              <w:rPr>
                <w:color w:val="auto"/>
                <w:sz w:val="22"/>
                <w:szCs w:val="22"/>
              </w:rPr>
            </w:pPr>
          </w:p>
        </w:tc>
        <w:tc>
          <w:tcPr>
            <w:tcW w:w="380" w:type="dxa"/>
            <w:vAlign w:val="bottom"/>
          </w:tcPr>
          <w:p>
            <w:pPr>
              <w:spacing w:after="0"/>
              <w:rPr>
                <w:color w:val="auto"/>
                <w:sz w:val="22"/>
                <w:szCs w:val="22"/>
              </w:rPr>
            </w:pPr>
          </w:p>
        </w:tc>
        <w:tc>
          <w:tcPr>
            <w:tcW w:w="1160" w:type="dxa"/>
            <w:vAlign w:val="bottom"/>
          </w:tcPr>
          <w:p>
            <w:pPr>
              <w:spacing w:after="0"/>
              <w:rPr>
                <w:color w:val="auto"/>
                <w:sz w:val="22"/>
                <w:szCs w:val="22"/>
              </w:rPr>
            </w:pPr>
          </w:p>
        </w:tc>
        <w:tc>
          <w:tcPr>
            <w:tcW w:w="380" w:type="dxa"/>
            <w:vAlign w:val="bottom"/>
          </w:tcPr>
          <w:p>
            <w:pPr>
              <w:spacing w:after="0"/>
              <w:rPr>
                <w:color w:val="auto"/>
                <w:sz w:val="22"/>
                <w:szCs w:val="22"/>
              </w:rPr>
            </w:pPr>
          </w:p>
        </w:tc>
        <w:tc>
          <w:tcPr>
            <w:tcW w:w="1100" w:type="dxa"/>
            <w:vAlign w:val="bottom"/>
          </w:tcPr>
          <w:p>
            <w:pPr>
              <w:spacing w:after="0"/>
              <w:rPr>
                <w:color w:val="auto"/>
                <w:sz w:val="22"/>
                <w:szCs w:val="22"/>
              </w:rPr>
            </w:pPr>
          </w:p>
        </w:tc>
        <w:tc>
          <w:tcPr>
            <w:tcW w:w="20" w:type="dxa"/>
            <w:vAlign w:val="bottom"/>
          </w:tcPr>
          <w:p>
            <w:pPr>
              <w:spacing w:after="0"/>
              <w:rPr>
                <w:color w:val="auto"/>
                <w:sz w:val="22"/>
                <w:szCs w:val="22"/>
              </w:rPr>
            </w:pPr>
          </w:p>
        </w:tc>
      </w:tr>
      <w:tr>
        <w:tblPrEx>
          <w:tblInd w:w="0" w:type="dxa"/>
          <w:tblLayout w:type="fixed"/>
        </w:tblPrEx>
        <w:trPr>
          <w:trHeight w:val="237"/>
        </w:trPr>
        <w:tc>
          <w:tcPr>
            <w:tcW w:w="4380" w:type="dxa"/>
            <w:vAlign w:val="bottom"/>
          </w:tcPr>
          <w:p>
            <w:pPr>
              <w:spacing w:after="0"/>
              <w:rPr>
                <w:color w:val="auto"/>
                <w:sz w:val="20"/>
                <w:szCs w:val="20"/>
              </w:rPr>
            </w:pPr>
            <w:r>
              <w:rPr>
                <w:rFonts w:ascii="Calibri" w:eastAsia="Calibri" w:hAnsi="Calibri" w:cs="Calibri"/>
                <w:b/>
                <w:bCs/>
                <w:color w:val="auto"/>
                <w:sz w:val="10"/>
                <w:szCs w:val="10"/>
              </w:rPr>
              <w:t>years ended December 31</w:t>
            </w:r>
          </w:p>
        </w:tc>
        <w:tc>
          <w:tcPr>
            <w:tcW w:w="2720" w:type="dxa"/>
            <w:vAlign w:val="bottom"/>
          </w:tcPr>
          <w:p>
            <w:pPr>
              <w:spacing w:after="0"/>
              <w:rPr>
                <w:color w:val="auto"/>
                <w:sz w:val="20"/>
                <w:szCs w:val="20"/>
              </w:rPr>
            </w:pPr>
          </w:p>
        </w:tc>
        <w:tc>
          <w:tcPr>
            <w:tcW w:w="1160" w:type="dxa"/>
            <w:vAlign w:val="bottom"/>
          </w:tcPr>
          <w:p>
            <w:pPr>
              <w:spacing w:after="0"/>
              <w:ind w:right="682"/>
              <w:jc w:val="right"/>
              <w:rPr>
                <w:color w:val="auto"/>
                <w:sz w:val="20"/>
                <w:szCs w:val="20"/>
              </w:rPr>
            </w:pPr>
            <w:r>
              <w:rPr>
                <w:rFonts w:ascii="Calibri" w:eastAsia="Calibri" w:hAnsi="Calibri" w:cs="Calibri"/>
                <w:b/>
                <w:bCs/>
                <w:color w:val="auto"/>
                <w:sz w:val="10"/>
                <w:szCs w:val="10"/>
              </w:rPr>
              <w:t>2024</w:t>
            </w:r>
          </w:p>
        </w:tc>
        <w:tc>
          <w:tcPr>
            <w:tcW w:w="380" w:type="dxa"/>
            <w:vAlign w:val="bottom"/>
          </w:tcPr>
          <w:p>
            <w:pPr>
              <w:spacing w:after="0"/>
              <w:rPr>
                <w:color w:val="auto"/>
                <w:sz w:val="20"/>
                <w:szCs w:val="20"/>
              </w:rPr>
            </w:pPr>
          </w:p>
        </w:tc>
        <w:tc>
          <w:tcPr>
            <w:tcW w:w="1160" w:type="dxa"/>
            <w:vAlign w:val="bottom"/>
          </w:tcPr>
          <w:p>
            <w:pPr>
              <w:spacing w:after="0"/>
              <w:ind w:right="662"/>
              <w:jc w:val="right"/>
              <w:rPr>
                <w:color w:val="auto"/>
                <w:sz w:val="20"/>
                <w:szCs w:val="20"/>
              </w:rPr>
            </w:pPr>
            <w:r>
              <w:rPr>
                <w:rFonts w:ascii="Calibri" w:eastAsia="Calibri" w:hAnsi="Calibri" w:cs="Calibri"/>
                <w:b/>
                <w:bCs/>
                <w:color w:val="auto"/>
                <w:sz w:val="10"/>
                <w:szCs w:val="10"/>
              </w:rPr>
              <w:t>2023</w:t>
            </w:r>
          </w:p>
        </w:tc>
        <w:tc>
          <w:tcPr>
            <w:tcW w:w="380" w:type="dxa"/>
            <w:vAlign w:val="bottom"/>
          </w:tcPr>
          <w:p>
            <w:pPr>
              <w:spacing w:after="0"/>
              <w:rPr>
                <w:color w:val="auto"/>
                <w:sz w:val="20"/>
                <w:szCs w:val="20"/>
              </w:rPr>
            </w:pPr>
          </w:p>
        </w:tc>
        <w:tc>
          <w:tcPr>
            <w:tcW w:w="1100" w:type="dxa"/>
            <w:vAlign w:val="bottom"/>
          </w:tcPr>
          <w:p>
            <w:pPr>
              <w:spacing w:after="0"/>
              <w:ind w:right="582"/>
              <w:jc w:val="right"/>
              <w:rPr>
                <w:color w:val="auto"/>
                <w:sz w:val="20"/>
                <w:szCs w:val="20"/>
              </w:rPr>
            </w:pPr>
            <w:r>
              <w:rPr>
                <w:rFonts w:ascii="Calibri" w:eastAsia="Calibri" w:hAnsi="Calibri" w:cs="Calibri"/>
                <w:b/>
                <w:bCs/>
                <w:color w:val="auto"/>
                <w:sz w:val="10"/>
                <w:szCs w:val="10"/>
              </w:rPr>
              <w:t>2022</w:t>
            </w:r>
          </w:p>
        </w:tc>
        <w:tc>
          <w:tcPr>
            <w:tcW w:w="20" w:type="dxa"/>
            <w:vAlign w:val="bottom"/>
          </w:tcPr>
          <w:p>
            <w:pPr>
              <w:spacing w:after="0"/>
              <w:rPr>
                <w:color w:val="auto"/>
                <w:sz w:val="20"/>
                <w:szCs w:val="20"/>
              </w:rPr>
            </w:pPr>
          </w:p>
        </w:tc>
      </w:tr>
      <w:tr>
        <w:tblPrEx>
          <w:tblInd w:w="0" w:type="dxa"/>
          <w:tblLayout w:type="fixed"/>
        </w:tblPrEx>
        <w:trPr>
          <w:trHeight w:val="32"/>
        </w:trPr>
        <w:tc>
          <w:tcPr>
            <w:tcW w:w="4380" w:type="dxa"/>
            <w:tcBorders>
              <w:bottom w:val="single" w:sz="8" w:space="0" w:color="auto"/>
            </w:tcBorders>
            <w:vAlign w:val="bottom"/>
          </w:tcPr>
          <w:p>
            <w:pPr>
              <w:spacing w:after="0"/>
              <w:rPr>
                <w:color w:val="auto"/>
                <w:sz w:val="2"/>
                <w:szCs w:val="2"/>
              </w:rPr>
            </w:pPr>
          </w:p>
        </w:tc>
        <w:tc>
          <w:tcPr>
            <w:tcW w:w="272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6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20" w:type="dxa"/>
            <w:gridSpan w:val="2"/>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38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Statutory tax rate</w:t>
            </w:r>
          </w:p>
        </w:tc>
        <w:tc>
          <w:tcPr>
            <w:tcW w:w="2720" w:type="dxa"/>
            <w:shd w:val="clear" w:color="auto" w:fill="CCEEFF"/>
            <w:vAlign w:val="bottom"/>
          </w:tcPr>
          <w:p>
            <w:pPr>
              <w:spacing w:after="0"/>
              <w:rPr>
                <w:color w:val="auto"/>
                <w:sz w:val="12"/>
                <w:szCs w:val="12"/>
              </w:rPr>
            </w:pPr>
          </w:p>
        </w:tc>
        <w:tc>
          <w:tcPr>
            <w:tcW w:w="1160" w:type="dxa"/>
            <w:shd w:val="clear" w:color="auto" w:fill="CCEEFF"/>
            <w:vAlign w:val="bottom"/>
          </w:tcPr>
          <w:p>
            <w:pPr>
              <w:spacing w:after="0" w:line="142" w:lineRule="exact"/>
              <w:ind w:right="42"/>
              <w:jc w:val="right"/>
              <w:rPr>
                <w:color w:val="auto"/>
                <w:sz w:val="20"/>
                <w:szCs w:val="20"/>
              </w:rPr>
            </w:pPr>
            <w:r>
              <w:rPr>
                <w:rFonts w:ascii="Calibri" w:eastAsia="Calibri" w:hAnsi="Calibri" w:cs="Calibri"/>
                <w:color w:val="auto"/>
                <w:sz w:val="12"/>
                <w:szCs w:val="12"/>
              </w:rPr>
              <w:t>21.0 %</w:t>
            </w:r>
          </w:p>
        </w:tc>
        <w:tc>
          <w:tcPr>
            <w:tcW w:w="380" w:type="dxa"/>
            <w:shd w:val="clear" w:color="auto" w:fill="CCEEFF"/>
            <w:vAlign w:val="bottom"/>
          </w:tcPr>
          <w:p>
            <w:pPr>
              <w:spacing w:after="0"/>
              <w:rPr>
                <w:color w:val="auto"/>
                <w:sz w:val="12"/>
                <w:szCs w:val="12"/>
              </w:rPr>
            </w:pPr>
          </w:p>
        </w:tc>
        <w:tc>
          <w:tcPr>
            <w:tcW w:w="1160" w:type="dxa"/>
            <w:shd w:val="clear" w:color="auto" w:fill="CCEEFF"/>
            <w:vAlign w:val="bottom"/>
          </w:tcPr>
          <w:p>
            <w:pPr>
              <w:spacing w:after="0" w:line="142" w:lineRule="exact"/>
              <w:ind w:right="22"/>
              <w:jc w:val="right"/>
              <w:rPr>
                <w:color w:val="auto"/>
                <w:sz w:val="20"/>
                <w:szCs w:val="20"/>
              </w:rPr>
            </w:pPr>
            <w:r>
              <w:rPr>
                <w:rFonts w:ascii="Calibri" w:eastAsia="Calibri" w:hAnsi="Calibri" w:cs="Calibri"/>
                <w:color w:val="auto"/>
                <w:sz w:val="12"/>
                <w:szCs w:val="12"/>
              </w:rPr>
              <w:t>21.0 %</w:t>
            </w:r>
          </w:p>
        </w:tc>
        <w:tc>
          <w:tcPr>
            <w:tcW w:w="380" w:type="dxa"/>
            <w:shd w:val="clear" w:color="auto" w:fill="CCEEFF"/>
            <w:vAlign w:val="bottom"/>
          </w:tcPr>
          <w:p>
            <w:pPr>
              <w:spacing w:after="0"/>
              <w:rPr>
                <w:color w:val="auto"/>
                <w:sz w:val="12"/>
                <w:szCs w:val="12"/>
              </w:rPr>
            </w:pPr>
          </w:p>
        </w:tc>
        <w:tc>
          <w:tcPr>
            <w:tcW w:w="1120" w:type="dxa"/>
            <w:gridSpan w:val="2"/>
            <w:shd w:val="clear" w:color="auto" w:fill="CCEEFF"/>
            <w:vAlign w:val="bottom"/>
          </w:tcPr>
          <w:p>
            <w:pPr>
              <w:spacing w:after="0" w:line="142" w:lineRule="exact"/>
              <w:ind w:right="20"/>
              <w:jc w:val="right"/>
              <w:rPr>
                <w:color w:val="auto"/>
                <w:sz w:val="20"/>
                <w:szCs w:val="20"/>
              </w:rPr>
            </w:pPr>
            <w:r>
              <w:rPr>
                <w:rFonts w:ascii="Calibri" w:eastAsia="Calibri" w:hAnsi="Calibri" w:cs="Calibri"/>
                <w:color w:val="auto"/>
                <w:sz w:val="12"/>
                <w:szCs w:val="12"/>
              </w:rPr>
              <w:t>21.0 %</w:t>
            </w:r>
          </w:p>
        </w:tc>
      </w:tr>
      <w:tr>
        <w:tblPrEx>
          <w:tblInd w:w="0" w:type="dxa"/>
          <w:tblLayout w:type="fixed"/>
        </w:tblPrEx>
        <w:trPr>
          <w:trHeight w:val="147"/>
        </w:trPr>
        <w:tc>
          <w:tcPr>
            <w:tcW w:w="4380" w:type="dxa"/>
            <w:vAlign w:val="bottom"/>
          </w:tcPr>
          <w:p>
            <w:pPr>
              <w:spacing w:after="0" w:line="142" w:lineRule="exact"/>
              <w:rPr>
                <w:color w:val="auto"/>
                <w:sz w:val="20"/>
                <w:szCs w:val="20"/>
              </w:rPr>
            </w:pPr>
            <w:r>
              <w:rPr>
                <w:rFonts w:ascii="Calibri" w:eastAsia="Calibri" w:hAnsi="Calibri" w:cs="Calibri"/>
                <w:color w:val="auto"/>
                <w:sz w:val="12"/>
                <w:szCs w:val="12"/>
              </w:rPr>
              <w:t>Efect of foreign operatons</w:t>
            </w:r>
          </w:p>
        </w:tc>
        <w:tc>
          <w:tcPr>
            <w:tcW w:w="2720" w:type="dxa"/>
            <w:vAlign w:val="bottom"/>
          </w:tcPr>
          <w:p>
            <w:pPr>
              <w:spacing w:after="0"/>
              <w:rPr>
                <w:color w:val="auto"/>
                <w:sz w:val="12"/>
                <w:szCs w:val="12"/>
              </w:rPr>
            </w:pPr>
          </w:p>
        </w:tc>
        <w:tc>
          <w:tcPr>
            <w:tcW w:w="1160" w:type="dxa"/>
            <w:vAlign w:val="bottom"/>
          </w:tcPr>
          <w:p>
            <w:pPr>
              <w:spacing w:after="0" w:line="142" w:lineRule="exact"/>
              <w:ind w:right="162"/>
              <w:jc w:val="right"/>
              <w:rPr>
                <w:color w:val="auto"/>
                <w:sz w:val="20"/>
                <w:szCs w:val="20"/>
              </w:rPr>
            </w:pPr>
            <w:r>
              <w:rPr>
                <w:rFonts w:ascii="Calibri" w:eastAsia="Calibri" w:hAnsi="Calibri" w:cs="Calibri"/>
                <w:color w:val="auto"/>
                <w:sz w:val="12"/>
                <w:szCs w:val="12"/>
              </w:rPr>
              <w:t>7.6</w:t>
            </w:r>
          </w:p>
        </w:tc>
        <w:tc>
          <w:tcPr>
            <w:tcW w:w="380" w:type="dxa"/>
            <w:vAlign w:val="bottom"/>
          </w:tcPr>
          <w:p>
            <w:pPr>
              <w:spacing w:after="0"/>
              <w:rPr>
                <w:color w:val="auto"/>
                <w:sz w:val="12"/>
                <w:szCs w:val="12"/>
              </w:rPr>
            </w:pPr>
          </w:p>
        </w:tc>
        <w:tc>
          <w:tcPr>
            <w:tcW w:w="1160" w:type="dxa"/>
            <w:vAlign w:val="bottom"/>
          </w:tcPr>
          <w:p>
            <w:pPr>
              <w:spacing w:after="0" w:line="142" w:lineRule="exact"/>
              <w:ind w:right="142"/>
              <w:jc w:val="right"/>
              <w:rPr>
                <w:color w:val="auto"/>
                <w:sz w:val="20"/>
                <w:szCs w:val="20"/>
              </w:rPr>
            </w:pPr>
            <w:r>
              <w:rPr>
                <w:rFonts w:ascii="Calibri" w:eastAsia="Calibri" w:hAnsi="Calibri" w:cs="Calibri"/>
                <w:color w:val="auto"/>
                <w:sz w:val="12"/>
                <w:szCs w:val="12"/>
              </w:rPr>
              <w:t>8.0</w:t>
            </w:r>
          </w:p>
        </w:tc>
        <w:tc>
          <w:tcPr>
            <w:tcW w:w="380" w:type="dxa"/>
            <w:vAlign w:val="bottom"/>
          </w:tcPr>
          <w:p>
            <w:pPr>
              <w:spacing w:after="0"/>
              <w:rPr>
                <w:color w:val="auto"/>
                <w:sz w:val="12"/>
                <w:szCs w:val="12"/>
              </w:rPr>
            </w:pPr>
          </w:p>
        </w:tc>
        <w:tc>
          <w:tcPr>
            <w:tcW w:w="110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(4.4)</w:t>
            </w:r>
          </w:p>
        </w:tc>
        <w:tc>
          <w:tcPr>
            <w:tcW w:w="20" w:type="dxa"/>
            <w:vAlign w:val="bottom"/>
          </w:tcPr>
          <w:p>
            <w:pPr>
              <w:spacing w:after="0"/>
              <w:rPr>
                <w:color w:val="auto"/>
                <w:sz w:val="12"/>
                <w:szCs w:val="12"/>
              </w:rPr>
            </w:pPr>
          </w:p>
        </w:tc>
      </w:tr>
      <w:tr>
        <w:tblPrEx>
          <w:tblInd w:w="0" w:type="dxa"/>
          <w:tblLayout w:type="fixed"/>
        </w:tblPrEx>
        <w:trPr>
          <w:trHeight w:val="159"/>
        </w:trPr>
        <w:tc>
          <w:tcPr>
            <w:tcW w:w="4380" w:type="dxa"/>
            <w:shd w:val="clear" w:color="auto" w:fill="CCEEFF"/>
            <w:vAlign w:val="bottom"/>
          </w:tcPr>
          <w:p>
            <w:pPr>
              <w:spacing w:after="0"/>
              <w:rPr>
                <w:color w:val="auto"/>
                <w:sz w:val="20"/>
                <w:szCs w:val="20"/>
              </w:rPr>
            </w:pPr>
            <w:r>
              <w:rPr>
                <w:rFonts w:ascii="Calibri" w:eastAsia="Calibri" w:hAnsi="Calibri" w:cs="Calibri"/>
                <w:color w:val="auto"/>
                <w:sz w:val="12"/>
                <w:szCs w:val="12"/>
              </w:rPr>
              <w:t>U.S. tax credits</w:t>
            </w:r>
          </w:p>
        </w:tc>
        <w:tc>
          <w:tcPr>
            <w:tcW w:w="272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ind w:right="122"/>
              <w:jc w:val="right"/>
              <w:rPr>
                <w:color w:val="auto"/>
                <w:sz w:val="20"/>
                <w:szCs w:val="20"/>
              </w:rPr>
            </w:pPr>
            <w:r>
              <w:rPr>
                <w:rFonts w:ascii="Calibri" w:eastAsia="Calibri" w:hAnsi="Calibri" w:cs="Calibri"/>
                <w:color w:val="auto"/>
                <w:sz w:val="12"/>
                <w:szCs w:val="12"/>
              </w:rPr>
              <w:t>(5.4)</w:t>
            </w:r>
          </w:p>
        </w:tc>
        <w:tc>
          <w:tcPr>
            <w:tcW w:w="38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ind w:right="102"/>
              <w:jc w:val="right"/>
              <w:rPr>
                <w:color w:val="auto"/>
                <w:sz w:val="20"/>
                <w:szCs w:val="20"/>
              </w:rPr>
            </w:pPr>
            <w:r>
              <w:rPr>
                <w:rFonts w:ascii="Calibri" w:eastAsia="Calibri" w:hAnsi="Calibri" w:cs="Calibri"/>
                <w:color w:val="auto"/>
                <w:sz w:val="12"/>
                <w:szCs w:val="12"/>
              </w:rPr>
              <w:t>(3.1)</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22"/>
              <w:jc w:val="right"/>
              <w:rPr>
                <w:color w:val="auto"/>
                <w:sz w:val="20"/>
                <w:szCs w:val="20"/>
              </w:rPr>
            </w:pPr>
            <w:r>
              <w:rPr>
                <w:rFonts w:ascii="Calibri" w:eastAsia="Calibri" w:hAnsi="Calibri" w:cs="Calibri"/>
                <w:color w:val="auto"/>
                <w:sz w:val="12"/>
                <w:szCs w:val="12"/>
              </w:rPr>
              <w:t>(2.8)</w:t>
            </w:r>
          </w:p>
        </w:tc>
        <w:tc>
          <w:tcPr>
            <w:tcW w:w="20" w:type="dxa"/>
            <w:shd w:val="clear" w:color="auto" w:fill="CCEEFF"/>
            <w:vAlign w:val="bottom"/>
          </w:tcPr>
          <w:p>
            <w:pPr>
              <w:spacing w:after="0"/>
              <w:rPr>
                <w:color w:val="auto"/>
                <w:sz w:val="13"/>
                <w:szCs w:val="13"/>
              </w:rPr>
            </w:pPr>
          </w:p>
        </w:tc>
      </w:tr>
      <w:tr>
        <w:tblPrEx>
          <w:tblInd w:w="0" w:type="dxa"/>
          <w:tblLayout w:type="fixed"/>
        </w:tblPrEx>
        <w:trPr>
          <w:trHeight w:val="147"/>
        </w:trPr>
        <w:tc>
          <w:tcPr>
            <w:tcW w:w="4380" w:type="dxa"/>
            <w:vAlign w:val="bottom"/>
          </w:tcPr>
          <w:p>
            <w:pPr>
              <w:spacing w:after="0" w:line="142" w:lineRule="exact"/>
              <w:rPr>
                <w:color w:val="auto"/>
                <w:sz w:val="20"/>
                <w:szCs w:val="20"/>
              </w:rPr>
            </w:pPr>
            <w:r>
              <w:rPr>
                <w:rFonts w:ascii="Calibri" w:eastAsia="Calibri" w:hAnsi="Calibri" w:cs="Calibri"/>
                <w:color w:val="auto"/>
                <w:sz w:val="12"/>
                <w:szCs w:val="12"/>
              </w:rPr>
              <w:t>Stock-based compensaton</w:t>
            </w:r>
          </w:p>
        </w:tc>
        <w:tc>
          <w:tcPr>
            <w:tcW w:w="2720" w:type="dxa"/>
            <w:vAlign w:val="bottom"/>
          </w:tcPr>
          <w:p>
            <w:pPr>
              <w:spacing w:after="0"/>
              <w:rPr>
                <w:color w:val="auto"/>
                <w:sz w:val="12"/>
                <w:szCs w:val="12"/>
              </w:rPr>
            </w:pPr>
          </w:p>
        </w:tc>
        <w:tc>
          <w:tcPr>
            <w:tcW w:w="1160" w:type="dxa"/>
            <w:vAlign w:val="bottom"/>
          </w:tcPr>
          <w:p>
            <w:pPr>
              <w:spacing w:after="0" w:line="142" w:lineRule="exact"/>
              <w:ind w:right="122"/>
              <w:jc w:val="right"/>
              <w:rPr>
                <w:color w:val="auto"/>
                <w:sz w:val="20"/>
                <w:szCs w:val="20"/>
              </w:rPr>
            </w:pPr>
            <w:r>
              <w:rPr>
                <w:rFonts w:ascii="Calibri" w:eastAsia="Calibri" w:hAnsi="Calibri" w:cs="Calibri"/>
                <w:color w:val="auto"/>
                <w:sz w:val="12"/>
                <w:szCs w:val="12"/>
              </w:rPr>
              <w:t>(1.2)</w:t>
            </w:r>
          </w:p>
        </w:tc>
        <w:tc>
          <w:tcPr>
            <w:tcW w:w="380" w:type="dxa"/>
            <w:vAlign w:val="bottom"/>
          </w:tcPr>
          <w:p>
            <w:pPr>
              <w:spacing w:after="0"/>
              <w:rPr>
                <w:color w:val="auto"/>
                <w:sz w:val="12"/>
                <w:szCs w:val="12"/>
              </w:rPr>
            </w:pPr>
          </w:p>
        </w:tc>
        <w:tc>
          <w:tcPr>
            <w:tcW w:w="1160" w:type="dxa"/>
            <w:vAlign w:val="bottom"/>
          </w:tcPr>
          <w:p>
            <w:pPr>
              <w:spacing w:after="0" w:line="142" w:lineRule="exact"/>
              <w:ind w:right="102"/>
              <w:jc w:val="right"/>
              <w:rPr>
                <w:color w:val="auto"/>
                <w:sz w:val="20"/>
                <w:szCs w:val="20"/>
              </w:rPr>
            </w:pPr>
            <w:r>
              <w:rPr>
                <w:rFonts w:ascii="Calibri" w:eastAsia="Calibri" w:hAnsi="Calibri" w:cs="Calibri"/>
                <w:color w:val="auto"/>
                <w:sz w:val="12"/>
                <w:szCs w:val="12"/>
              </w:rPr>
              <w:t>(1.0)</w:t>
            </w:r>
          </w:p>
        </w:tc>
        <w:tc>
          <w:tcPr>
            <w:tcW w:w="380" w:type="dxa"/>
            <w:vAlign w:val="bottom"/>
          </w:tcPr>
          <w:p>
            <w:pPr>
              <w:spacing w:after="0"/>
              <w:rPr>
                <w:color w:val="auto"/>
                <w:sz w:val="12"/>
                <w:szCs w:val="12"/>
              </w:rPr>
            </w:pPr>
          </w:p>
        </w:tc>
        <w:tc>
          <w:tcPr>
            <w:tcW w:w="110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(0.6)</w:t>
            </w:r>
          </w:p>
        </w:tc>
        <w:tc>
          <w:tcPr>
            <w:tcW w:w="20" w:type="dxa"/>
            <w:vAlign w:val="bottom"/>
          </w:tcPr>
          <w:p>
            <w:pPr>
              <w:spacing w:after="0"/>
              <w:rPr>
                <w:color w:val="auto"/>
                <w:sz w:val="12"/>
                <w:szCs w:val="12"/>
              </w:rPr>
            </w:pPr>
          </w:p>
        </w:tc>
      </w:tr>
      <w:tr>
        <w:tblPrEx>
          <w:tblInd w:w="0" w:type="dxa"/>
          <w:tblLayout w:type="fixed"/>
        </w:tblPrEx>
        <w:trPr>
          <w:trHeight w:val="159"/>
        </w:trPr>
        <w:tc>
          <w:tcPr>
            <w:tcW w:w="4380" w:type="dxa"/>
            <w:shd w:val="clear" w:color="auto" w:fill="CCEEFF"/>
            <w:vAlign w:val="bottom"/>
          </w:tcPr>
          <w:p>
            <w:pPr>
              <w:spacing w:after="0"/>
              <w:rPr>
                <w:color w:val="auto"/>
                <w:sz w:val="20"/>
                <w:szCs w:val="20"/>
              </w:rPr>
            </w:pPr>
            <w:r>
              <w:rPr>
                <w:rFonts w:ascii="Calibri" w:eastAsia="Calibri" w:hAnsi="Calibri" w:cs="Calibri"/>
                <w:color w:val="auto"/>
                <w:sz w:val="12"/>
                <w:szCs w:val="12"/>
              </w:rPr>
              <w:t>Non-deductble expenses</w:t>
            </w:r>
          </w:p>
        </w:tc>
        <w:tc>
          <w:tcPr>
            <w:tcW w:w="272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ind w:right="162"/>
              <w:jc w:val="right"/>
              <w:rPr>
                <w:color w:val="auto"/>
                <w:sz w:val="20"/>
                <w:szCs w:val="20"/>
              </w:rPr>
            </w:pPr>
            <w:r>
              <w:rPr>
                <w:rFonts w:ascii="Calibri" w:eastAsia="Calibri" w:hAnsi="Calibri" w:cs="Calibri"/>
                <w:color w:val="auto"/>
                <w:sz w:val="12"/>
                <w:szCs w:val="12"/>
              </w:rPr>
              <w:t>1.1</w:t>
            </w:r>
          </w:p>
        </w:tc>
        <w:tc>
          <w:tcPr>
            <w:tcW w:w="38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ind w:right="142"/>
              <w:jc w:val="right"/>
              <w:rPr>
                <w:color w:val="auto"/>
                <w:sz w:val="20"/>
                <w:szCs w:val="20"/>
              </w:rPr>
            </w:pPr>
            <w:r>
              <w:rPr>
                <w:rFonts w:ascii="Calibri" w:eastAsia="Calibri" w:hAnsi="Calibri" w:cs="Calibri"/>
                <w:color w:val="auto"/>
                <w:sz w:val="12"/>
                <w:szCs w:val="12"/>
              </w:rPr>
              <w:t>0.7</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0.4</w:t>
            </w:r>
          </w:p>
        </w:tc>
        <w:tc>
          <w:tcPr>
            <w:tcW w:w="20" w:type="dxa"/>
            <w:shd w:val="clear" w:color="auto" w:fill="CCEEFF"/>
            <w:vAlign w:val="bottom"/>
          </w:tcPr>
          <w:p>
            <w:pPr>
              <w:spacing w:after="0"/>
              <w:rPr>
                <w:color w:val="auto"/>
                <w:sz w:val="13"/>
                <w:szCs w:val="13"/>
              </w:rPr>
            </w:pPr>
          </w:p>
        </w:tc>
      </w:tr>
      <w:tr>
        <w:tblPrEx>
          <w:tblInd w:w="0" w:type="dxa"/>
          <w:tblLayout w:type="fixed"/>
        </w:tblPrEx>
        <w:trPr>
          <w:trHeight w:val="147"/>
        </w:trPr>
        <w:tc>
          <w:tcPr>
            <w:tcW w:w="4380" w:type="dxa"/>
            <w:vAlign w:val="bottom"/>
          </w:tcPr>
          <w:p>
            <w:pPr>
              <w:spacing w:after="0" w:line="142" w:lineRule="exact"/>
              <w:rPr>
                <w:color w:val="auto"/>
                <w:sz w:val="20"/>
                <w:szCs w:val="20"/>
              </w:rPr>
            </w:pPr>
            <w:r>
              <w:rPr>
                <w:rFonts w:ascii="Calibri" w:eastAsia="Calibri" w:hAnsi="Calibri" w:cs="Calibri"/>
                <w:color w:val="auto"/>
                <w:sz w:val="12"/>
                <w:szCs w:val="12"/>
              </w:rPr>
              <w:t>Tax law changes and related structuring</w:t>
            </w:r>
          </w:p>
        </w:tc>
        <w:tc>
          <w:tcPr>
            <w:tcW w:w="2720" w:type="dxa"/>
            <w:vAlign w:val="bottom"/>
          </w:tcPr>
          <w:p>
            <w:pPr>
              <w:spacing w:after="0"/>
              <w:rPr>
                <w:color w:val="auto"/>
                <w:sz w:val="12"/>
                <w:szCs w:val="12"/>
              </w:rPr>
            </w:pPr>
          </w:p>
        </w:tc>
        <w:tc>
          <w:tcPr>
            <w:tcW w:w="1160" w:type="dxa"/>
            <w:vAlign w:val="bottom"/>
          </w:tcPr>
          <w:p>
            <w:pPr>
              <w:spacing w:after="0" w:line="142" w:lineRule="exact"/>
              <w:ind w:right="122"/>
              <w:jc w:val="right"/>
              <w:rPr>
                <w:color w:val="auto"/>
                <w:sz w:val="20"/>
                <w:szCs w:val="20"/>
              </w:rPr>
            </w:pPr>
            <w:r>
              <w:rPr>
                <w:rFonts w:ascii="Calibri" w:eastAsia="Calibri" w:hAnsi="Calibri" w:cs="Calibri"/>
                <w:color w:val="auto"/>
                <w:sz w:val="12"/>
                <w:szCs w:val="12"/>
              </w:rPr>
              <w:t>(0.3)</w:t>
            </w:r>
          </w:p>
        </w:tc>
        <w:tc>
          <w:tcPr>
            <w:tcW w:w="380" w:type="dxa"/>
            <w:vAlign w:val="bottom"/>
          </w:tcPr>
          <w:p>
            <w:pPr>
              <w:spacing w:after="0"/>
              <w:rPr>
                <w:color w:val="auto"/>
                <w:sz w:val="12"/>
                <w:szCs w:val="12"/>
              </w:rPr>
            </w:pPr>
          </w:p>
        </w:tc>
        <w:tc>
          <w:tcPr>
            <w:tcW w:w="1160" w:type="dxa"/>
            <w:vAlign w:val="bottom"/>
          </w:tcPr>
          <w:p>
            <w:pPr>
              <w:spacing w:after="0" w:line="142" w:lineRule="exact"/>
              <w:ind w:right="102"/>
              <w:jc w:val="right"/>
              <w:rPr>
                <w:color w:val="auto"/>
                <w:sz w:val="20"/>
                <w:szCs w:val="20"/>
              </w:rPr>
            </w:pPr>
            <w:r>
              <w:rPr>
                <w:rFonts w:ascii="Calibri" w:eastAsia="Calibri" w:hAnsi="Calibri" w:cs="Calibri"/>
                <w:color w:val="auto"/>
                <w:sz w:val="12"/>
                <w:szCs w:val="12"/>
              </w:rPr>
              <w:t>(3.8)</w:t>
            </w:r>
          </w:p>
        </w:tc>
        <w:tc>
          <w:tcPr>
            <w:tcW w:w="380" w:type="dxa"/>
            <w:vAlign w:val="bottom"/>
          </w:tcPr>
          <w:p>
            <w:pPr>
              <w:spacing w:after="0"/>
              <w:rPr>
                <w:color w:val="auto"/>
                <w:sz w:val="12"/>
                <w:szCs w:val="12"/>
              </w:rPr>
            </w:pPr>
          </w:p>
        </w:tc>
        <w:tc>
          <w:tcPr>
            <w:tcW w:w="1100" w:type="dxa"/>
            <w:vAlign w:val="bottom"/>
          </w:tcPr>
          <w:p>
            <w:pPr>
              <w:spacing w:after="0" w:line="142" w:lineRule="exact"/>
              <w:ind w:right="22"/>
              <w:jc w:val="right"/>
              <w:rPr>
                <w:color w:val="auto"/>
                <w:sz w:val="20"/>
                <w:szCs w:val="20"/>
              </w:rPr>
            </w:pPr>
            <w:r>
              <w:rPr>
                <w:rFonts w:ascii="Calibri" w:eastAsia="Calibri" w:hAnsi="Calibri" w:cs="Calibri"/>
                <w:color w:val="auto"/>
                <w:sz w:val="12"/>
                <w:szCs w:val="12"/>
              </w:rPr>
              <w:t>(2.4)</w:t>
            </w:r>
          </w:p>
        </w:tc>
        <w:tc>
          <w:tcPr>
            <w:tcW w:w="20" w:type="dxa"/>
            <w:vAlign w:val="bottom"/>
          </w:tcPr>
          <w:p>
            <w:pPr>
              <w:spacing w:after="0"/>
              <w:rPr>
                <w:color w:val="auto"/>
                <w:sz w:val="12"/>
                <w:szCs w:val="12"/>
              </w:rPr>
            </w:pPr>
          </w:p>
        </w:tc>
      </w:tr>
      <w:tr>
        <w:tblPrEx>
          <w:tblInd w:w="0" w:type="dxa"/>
          <w:tblLayout w:type="fixed"/>
        </w:tblPrEx>
        <w:trPr>
          <w:trHeight w:val="159"/>
        </w:trPr>
        <w:tc>
          <w:tcPr>
            <w:tcW w:w="4380" w:type="dxa"/>
            <w:shd w:val="clear" w:color="auto" w:fill="CCEEFF"/>
            <w:vAlign w:val="bottom"/>
          </w:tcPr>
          <w:p>
            <w:pPr>
              <w:spacing w:after="0"/>
              <w:rPr>
                <w:color w:val="auto"/>
                <w:sz w:val="20"/>
                <w:szCs w:val="20"/>
              </w:rPr>
            </w:pPr>
            <w:r>
              <w:rPr>
                <w:rFonts w:ascii="Calibri" w:eastAsia="Calibri" w:hAnsi="Calibri" w:cs="Calibri"/>
                <w:color w:val="auto"/>
                <w:sz w:val="12"/>
                <w:szCs w:val="12"/>
              </w:rPr>
              <w:t>Tax audits, setlements and reserves</w:t>
            </w:r>
          </w:p>
        </w:tc>
        <w:tc>
          <w:tcPr>
            <w:tcW w:w="272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ind w:right="122"/>
              <w:jc w:val="right"/>
              <w:rPr>
                <w:color w:val="auto"/>
                <w:sz w:val="20"/>
                <w:szCs w:val="20"/>
              </w:rPr>
            </w:pPr>
            <w:r>
              <w:rPr>
                <w:rFonts w:ascii="Calibri" w:eastAsia="Calibri" w:hAnsi="Calibri" w:cs="Calibri"/>
                <w:color w:val="auto"/>
                <w:sz w:val="12"/>
                <w:szCs w:val="12"/>
              </w:rPr>
              <w:t>(51.4)</w:t>
            </w:r>
          </w:p>
        </w:tc>
        <w:tc>
          <w:tcPr>
            <w:tcW w:w="380" w:type="dxa"/>
            <w:shd w:val="clear" w:color="auto" w:fill="CCEEFF"/>
            <w:vAlign w:val="bottom"/>
          </w:tcPr>
          <w:p>
            <w:pPr>
              <w:spacing w:after="0"/>
              <w:rPr>
                <w:color w:val="auto"/>
                <w:sz w:val="13"/>
                <w:szCs w:val="13"/>
              </w:rPr>
            </w:pPr>
          </w:p>
        </w:tc>
        <w:tc>
          <w:tcPr>
            <w:tcW w:w="1160" w:type="dxa"/>
            <w:shd w:val="clear" w:color="auto" w:fill="CCEEFF"/>
            <w:vAlign w:val="bottom"/>
          </w:tcPr>
          <w:p>
            <w:pPr>
              <w:spacing w:after="0"/>
              <w:ind w:right="102"/>
              <w:jc w:val="right"/>
              <w:rPr>
                <w:color w:val="auto"/>
                <w:sz w:val="20"/>
                <w:szCs w:val="20"/>
              </w:rPr>
            </w:pPr>
            <w:r>
              <w:rPr>
                <w:rFonts w:ascii="Calibri" w:eastAsia="Calibri" w:hAnsi="Calibri" w:cs="Calibri"/>
                <w:color w:val="auto"/>
                <w:sz w:val="12"/>
                <w:szCs w:val="12"/>
              </w:rPr>
              <w:t>(1.1)</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42"/>
              <w:jc w:val="right"/>
              <w:rPr>
                <w:color w:val="auto"/>
                <w:sz w:val="20"/>
                <w:szCs w:val="20"/>
              </w:rPr>
            </w:pPr>
            <w:r>
              <w:rPr>
                <w:rFonts w:ascii="Calibri" w:eastAsia="Calibri" w:hAnsi="Calibri" w:cs="Calibri"/>
                <w:color w:val="auto"/>
                <w:sz w:val="12"/>
                <w:szCs w:val="12"/>
              </w:rPr>
              <w:t>0.9</w:t>
            </w:r>
          </w:p>
        </w:tc>
        <w:tc>
          <w:tcPr>
            <w:tcW w:w="20" w:type="dxa"/>
            <w:shd w:val="clear" w:color="auto" w:fill="CCEEFF"/>
            <w:vAlign w:val="bottom"/>
          </w:tcPr>
          <w:p>
            <w:pPr>
              <w:spacing w:after="0"/>
              <w:rPr>
                <w:color w:val="auto"/>
                <w:sz w:val="13"/>
                <w:szCs w:val="13"/>
              </w:rPr>
            </w:pPr>
          </w:p>
        </w:tc>
      </w:tr>
      <w:tr>
        <w:tblPrEx>
          <w:tblInd w:w="0" w:type="dxa"/>
          <w:tblLayout w:type="fixed"/>
        </w:tblPrEx>
        <w:trPr>
          <w:trHeight w:val="147"/>
        </w:trPr>
        <w:tc>
          <w:tcPr>
            <w:tcW w:w="4380" w:type="dxa"/>
            <w:vAlign w:val="bottom"/>
          </w:tcPr>
          <w:p>
            <w:pPr>
              <w:spacing w:after="0" w:line="142" w:lineRule="exact"/>
              <w:rPr>
                <w:color w:val="auto"/>
                <w:sz w:val="20"/>
                <w:szCs w:val="20"/>
              </w:rPr>
            </w:pPr>
            <w:r>
              <w:rPr>
                <w:rFonts w:ascii="Calibri" w:eastAsia="Calibri" w:hAnsi="Calibri" w:cs="Calibri"/>
                <w:color w:val="auto"/>
                <w:sz w:val="12"/>
                <w:szCs w:val="12"/>
              </w:rPr>
              <w:t>Acquisiton costs</w:t>
            </w:r>
          </w:p>
        </w:tc>
        <w:tc>
          <w:tcPr>
            <w:tcW w:w="2720" w:type="dxa"/>
            <w:vAlign w:val="bottom"/>
          </w:tcPr>
          <w:p>
            <w:pPr>
              <w:spacing w:after="0"/>
              <w:rPr>
                <w:color w:val="auto"/>
                <w:sz w:val="12"/>
                <w:szCs w:val="12"/>
              </w:rPr>
            </w:pPr>
          </w:p>
        </w:tc>
        <w:tc>
          <w:tcPr>
            <w:tcW w:w="1160" w:type="dxa"/>
            <w:vAlign w:val="bottom"/>
          </w:tcPr>
          <w:p>
            <w:pPr>
              <w:spacing w:after="0" w:line="142" w:lineRule="exact"/>
              <w:ind w:right="162"/>
              <w:jc w:val="right"/>
              <w:rPr>
                <w:color w:val="auto"/>
                <w:sz w:val="20"/>
                <w:szCs w:val="20"/>
              </w:rPr>
            </w:pPr>
            <w:r>
              <w:rPr>
                <w:rFonts w:ascii="Calibri" w:eastAsia="Calibri" w:hAnsi="Calibri" w:cs="Calibri"/>
                <w:color w:val="auto"/>
                <w:sz w:val="12"/>
                <w:szCs w:val="12"/>
              </w:rPr>
              <w:t>13.4</w:t>
            </w:r>
          </w:p>
        </w:tc>
        <w:tc>
          <w:tcPr>
            <w:tcW w:w="380" w:type="dxa"/>
            <w:vAlign w:val="bottom"/>
          </w:tcPr>
          <w:p>
            <w:pPr>
              <w:spacing w:after="0"/>
              <w:rPr>
                <w:color w:val="auto"/>
                <w:sz w:val="12"/>
                <w:szCs w:val="12"/>
              </w:rPr>
            </w:pPr>
          </w:p>
        </w:tc>
        <w:tc>
          <w:tcPr>
            <w:tcW w:w="1160" w:type="dxa"/>
            <w:vAlign w:val="bottom"/>
          </w:tcPr>
          <w:p>
            <w:pPr>
              <w:spacing w:after="0" w:line="142" w:lineRule="exact"/>
              <w:ind w:right="142"/>
              <w:jc w:val="right"/>
              <w:rPr>
                <w:color w:val="auto"/>
                <w:sz w:val="20"/>
                <w:szCs w:val="20"/>
              </w:rPr>
            </w:pPr>
            <w:r>
              <w:rPr>
                <w:rFonts w:ascii="Calibri" w:eastAsia="Calibri" w:hAnsi="Calibri" w:cs="Calibri"/>
                <w:color w:val="auto"/>
                <w:sz w:val="12"/>
                <w:szCs w:val="12"/>
              </w:rPr>
              <w:t>0.2</w:t>
            </w:r>
          </w:p>
        </w:tc>
        <w:tc>
          <w:tcPr>
            <w:tcW w:w="380" w:type="dxa"/>
            <w:vAlign w:val="bottom"/>
          </w:tcPr>
          <w:p>
            <w:pPr>
              <w:spacing w:after="0"/>
              <w:rPr>
                <w:color w:val="auto"/>
                <w:sz w:val="12"/>
                <w:szCs w:val="12"/>
              </w:rPr>
            </w:pPr>
          </w:p>
        </w:tc>
        <w:tc>
          <w:tcPr>
            <w:tcW w:w="1120" w:type="dxa"/>
            <w:gridSpan w:val="2"/>
            <w:vAlign w:val="bottom"/>
          </w:tcPr>
          <w:p>
            <w:pPr>
              <w:spacing w:after="0" w:line="142" w:lineRule="exact"/>
              <w:ind w:right="120"/>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3"/>
        </w:trPr>
        <w:tc>
          <w:tcPr>
            <w:tcW w:w="438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All other, net</w:t>
            </w:r>
          </w:p>
        </w:tc>
        <w:tc>
          <w:tcPr>
            <w:tcW w:w="2720" w:type="dxa"/>
            <w:tcBorders>
              <w:bottom w:val="single" w:sz="8" w:space="0" w:color="auto"/>
            </w:tcBorders>
            <w:shd w:val="clear" w:color="auto" w:fill="CCEEFF"/>
            <w:vAlign w:val="bottom"/>
          </w:tcPr>
          <w:p>
            <w:pPr>
              <w:spacing w:after="0"/>
              <w:rPr>
                <w:color w:val="auto"/>
                <w:sz w:val="13"/>
                <w:szCs w:val="13"/>
              </w:rPr>
            </w:pPr>
          </w:p>
        </w:tc>
        <w:tc>
          <w:tcPr>
            <w:tcW w:w="1160" w:type="dxa"/>
            <w:tcBorders>
              <w:bottom w:val="single" w:sz="8" w:space="0" w:color="auto"/>
            </w:tcBorders>
            <w:shd w:val="clear" w:color="auto" w:fill="CCEEFF"/>
            <w:vAlign w:val="bottom"/>
          </w:tcPr>
          <w:p>
            <w:pPr>
              <w:spacing w:after="0"/>
              <w:ind w:right="122"/>
              <w:jc w:val="right"/>
              <w:rPr>
                <w:color w:val="auto"/>
                <w:sz w:val="20"/>
                <w:szCs w:val="20"/>
              </w:rPr>
            </w:pPr>
            <w:r>
              <w:rPr>
                <w:rFonts w:ascii="Calibri" w:eastAsia="Calibri" w:hAnsi="Calibri" w:cs="Calibri"/>
                <w:color w:val="auto"/>
                <w:sz w:val="12"/>
                <w:szCs w:val="12"/>
              </w:rPr>
              <w:t>(0.1)</w:t>
            </w:r>
          </w:p>
        </w:tc>
        <w:tc>
          <w:tcPr>
            <w:tcW w:w="380" w:type="dxa"/>
            <w:tcBorders>
              <w:bottom w:val="single" w:sz="8" w:space="0" w:color="auto"/>
            </w:tcBorders>
            <w:shd w:val="clear" w:color="auto" w:fill="CCEEFF"/>
            <w:vAlign w:val="bottom"/>
          </w:tcPr>
          <w:p>
            <w:pPr>
              <w:spacing w:after="0"/>
              <w:rPr>
                <w:color w:val="auto"/>
                <w:sz w:val="13"/>
                <w:szCs w:val="13"/>
              </w:rPr>
            </w:pPr>
          </w:p>
        </w:tc>
        <w:tc>
          <w:tcPr>
            <w:tcW w:w="1160" w:type="dxa"/>
            <w:tcBorders>
              <w:bottom w:val="single" w:sz="8" w:space="0" w:color="auto"/>
            </w:tcBorders>
            <w:shd w:val="clear" w:color="auto" w:fill="CCEEFF"/>
            <w:vAlign w:val="bottom"/>
          </w:tcPr>
          <w:p>
            <w:pPr>
              <w:spacing w:after="0"/>
              <w:ind w:right="142"/>
              <w:jc w:val="right"/>
              <w:rPr>
                <w:color w:val="auto"/>
                <w:sz w:val="20"/>
                <w:szCs w:val="20"/>
              </w:rPr>
            </w:pPr>
            <w:r>
              <w:rPr>
                <w:rFonts w:ascii="Calibri" w:eastAsia="Calibri" w:hAnsi="Calibri" w:cs="Calibri"/>
                <w:color w:val="auto"/>
                <w:sz w:val="12"/>
                <w:szCs w:val="12"/>
              </w:rPr>
              <w:t>1.1</w:t>
            </w:r>
          </w:p>
        </w:tc>
        <w:tc>
          <w:tcPr>
            <w:tcW w:w="380" w:type="dxa"/>
            <w:tcBorders>
              <w:bottom w:val="single" w:sz="8" w:space="0" w:color="auto"/>
            </w:tcBorders>
            <w:shd w:val="clear" w:color="auto" w:fill="CCEEFF"/>
            <w:vAlign w:val="bottom"/>
          </w:tcPr>
          <w:p>
            <w:pPr>
              <w:spacing w:after="0"/>
              <w:rPr>
                <w:color w:val="auto"/>
                <w:sz w:val="13"/>
                <w:szCs w:val="13"/>
              </w:rPr>
            </w:pPr>
          </w:p>
        </w:tc>
        <w:tc>
          <w:tcPr>
            <w:tcW w:w="1120" w:type="dxa"/>
            <w:gridSpan w:val="2"/>
            <w:tcBorders>
              <w:bottom w:val="single" w:sz="8" w:space="0" w:color="auto"/>
            </w:tcBorders>
            <w:shd w:val="clear" w:color="auto" w:fill="CCEEFF"/>
            <w:vAlign w:val="bottom"/>
          </w:tcPr>
          <w:p>
            <w:pPr>
              <w:spacing w:after="0"/>
              <w:ind w:right="120"/>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42"/>
        </w:trPr>
        <w:tc>
          <w:tcPr>
            <w:tcW w:w="43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Efectve tax rate</w:t>
            </w:r>
          </w:p>
        </w:tc>
        <w:tc>
          <w:tcPr>
            <w:tcW w:w="272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42"/>
              <w:jc w:val="right"/>
              <w:rPr>
                <w:color w:val="auto"/>
                <w:sz w:val="20"/>
                <w:szCs w:val="20"/>
              </w:rPr>
            </w:pPr>
            <w:r>
              <w:rPr>
                <w:rFonts w:ascii="Calibri" w:eastAsia="Calibri" w:hAnsi="Calibri" w:cs="Calibri"/>
                <w:color w:val="auto"/>
                <w:sz w:val="12"/>
                <w:szCs w:val="12"/>
              </w:rPr>
              <w:t>(15.3)%</w:t>
            </w:r>
          </w:p>
        </w:tc>
        <w:tc>
          <w:tcPr>
            <w:tcW w:w="380" w:type="dxa"/>
            <w:tcBorders>
              <w:bottom w:val="single" w:sz="8" w:space="0" w:color="auto"/>
            </w:tcBorders>
            <w:vAlign w:val="bottom"/>
          </w:tcPr>
          <w:p>
            <w:pPr>
              <w:spacing w:after="0"/>
              <w:rPr>
                <w:color w:val="auto"/>
                <w:sz w:val="12"/>
                <w:szCs w:val="12"/>
              </w:rPr>
            </w:pPr>
          </w:p>
        </w:tc>
        <w:tc>
          <w:tcPr>
            <w:tcW w:w="1160" w:type="dxa"/>
            <w:tcBorders>
              <w:bottom w:val="single" w:sz="8" w:space="0" w:color="auto"/>
            </w:tcBorders>
            <w:vAlign w:val="bottom"/>
          </w:tcPr>
          <w:p>
            <w:pPr>
              <w:spacing w:after="0" w:line="142" w:lineRule="exact"/>
              <w:ind w:right="22"/>
              <w:jc w:val="right"/>
              <w:rPr>
                <w:color w:val="auto"/>
                <w:sz w:val="20"/>
                <w:szCs w:val="20"/>
              </w:rPr>
            </w:pPr>
            <w:r>
              <w:rPr>
                <w:rFonts w:ascii="Calibri" w:eastAsia="Calibri" w:hAnsi="Calibri" w:cs="Calibri"/>
                <w:color w:val="auto"/>
                <w:sz w:val="12"/>
                <w:szCs w:val="12"/>
              </w:rPr>
              <w:t>22.0 %</w:t>
            </w:r>
          </w:p>
        </w:tc>
        <w:tc>
          <w:tcPr>
            <w:tcW w:w="380" w:type="dxa"/>
            <w:tcBorders>
              <w:bottom w:val="single" w:sz="8" w:space="0" w:color="auto"/>
            </w:tcBorders>
            <w:vAlign w:val="bottom"/>
          </w:tcPr>
          <w:p>
            <w:pPr>
              <w:spacing w:after="0"/>
              <w:rPr>
                <w:color w:val="auto"/>
                <w:sz w:val="12"/>
                <w:szCs w:val="12"/>
              </w:rPr>
            </w:pPr>
          </w:p>
        </w:tc>
        <w:tc>
          <w:tcPr>
            <w:tcW w:w="1120" w:type="dxa"/>
            <w:gridSpan w:val="2"/>
            <w:tcBorders>
              <w:bottom w:val="single" w:sz="8" w:space="0" w:color="auto"/>
            </w:tcBorders>
            <w:vAlign w:val="bottom"/>
          </w:tcPr>
          <w:p>
            <w:pPr>
              <w:spacing w:after="0" w:line="142" w:lineRule="exact"/>
              <w:ind w:right="20"/>
              <w:jc w:val="right"/>
              <w:rPr>
                <w:color w:val="auto"/>
                <w:sz w:val="20"/>
                <w:szCs w:val="20"/>
              </w:rPr>
            </w:pPr>
            <w:r>
              <w:rPr>
                <w:rFonts w:ascii="Calibri" w:eastAsia="Calibri" w:hAnsi="Calibri" w:cs="Calibri"/>
                <w:color w:val="auto"/>
                <w:sz w:val="12"/>
                <w:szCs w:val="12"/>
              </w:rPr>
              <w:t>12.1 %</w:t>
            </w:r>
          </w:p>
        </w:tc>
      </w:tr>
      <w:tr>
        <w:tblPrEx>
          <w:tblInd w:w="0" w:type="dxa"/>
          <w:tblLayout w:type="fixed"/>
        </w:tblPrEx>
        <w:trPr>
          <w:trHeight w:val="20"/>
        </w:trPr>
        <w:tc>
          <w:tcPr>
            <w:tcW w:w="4380" w:type="dxa"/>
            <w:tcBorders>
              <w:bottom w:val="single" w:sz="8" w:space="0" w:color="auto"/>
            </w:tcBorders>
            <w:vAlign w:val="bottom"/>
          </w:tcPr>
          <w:p>
            <w:pPr>
              <w:spacing w:after="0" w:line="20" w:lineRule="exact"/>
              <w:rPr>
                <w:color w:val="auto"/>
                <w:sz w:val="1"/>
                <w:szCs w:val="1"/>
              </w:rPr>
            </w:pPr>
          </w:p>
        </w:tc>
        <w:tc>
          <w:tcPr>
            <w:tcW w:w="2720" w:type="dxa"/>
            <w:tcBorders>
              <w:bottom w:val="single" w:sz="8" w:space="0" w:color="auto"/>
            </w:tcBorders>
            <w:vAlign w:val="bottom"/>
          </w:tcPr>
          <w:p>
            <w:pPr>
              <w:spacing w:after="0" w:line="20" w:lineRule="exact"/>
              <w:rPr>
                <w:color w:val="auto"/>
                <w:sz w:val="1"/>
                <w:szCs w:val="1"/>
              </w:rPr>
            </w:pPr>
          </w:p>
        </w:tc>
        <w:tc>
          <w:tcPr>
            <w:tcW w:w="116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116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1100" w:type="dxa"/>
            <w:tcBorders>
              <w:bottom w:val="single" w:sz="8" w:space="0" w:color="auto"/>
            </w:tcBorders>
            <w:vAlign w:val="bottom"/>
          </w:tcPr>
          <w:p>
            <w:pPr>
              <w:spacing w:after="0" w:line="20" w:lineRule="exact"/>
              <w:rPr>
                <w:color w:val="auto"/>
                <w:sz w:val="1"/>
                <w:szCs w:val="1"/>
              </w:rPr>
            </w:pPr>
          </w:p>
        </w:tc>
        <w:tc>
          <w:tcPr>
            <w:tcW w:w="20" w:type="dxa"/>
            <w:tcBorders>
              <w:bottom w:val="single" w:sz="8" w:space="0" w:color="auto"/>
            </w:tcBorders>
            <w:vAlign w:val="bottom"/>
          </w:tcPr>
          <w:p>
            <w:pPr>
              <w:spacing w:after="0" w:line="20" w:lineRule="exact"/>
              <w:rPr>
                <w:color w:val="auto"/>
                <w:sz w:val="1"/>
                <w:szCs w:val="1"/>
              </w:rPr>
            </w:pPr>
          </w:p>
        </w:tc>
      </w:tr>
    </w:tbl>
    <w:p>
      <w:pPr>
        <w:spacing w:after="0" w:line="138" w:lineRule="exact"/>
        <w:rPr>
          <w:color w:val="auto"/>
          <w:sz w:val="20"/>
          <w:szCs w:val="20"/>
        </w:rPr>
      </w:pPr>
    </w:p>
    <w:p>
      <w:pPr>
        <w:spacing w:after="0" w:line="235" w:lineRule="auto"/>
        <w:ind w:right="40" w:firstLine="297"/>
        <w:rPr>
          <w:color w:val="auto"/>
          <w:sz w:val="20"/>
          <w:szCs w:val="20"/>
        </w:rPr>
      </w:pPr>
      <w:r>
        <w:rPr>
          <w:rFonts w:ascii="Calibri" w:eastAsia="Calibri" w:hAnsi="Calibri" w:cs="Calibri"/>
          <w:color w:val="auto"/>
          <w:sz w:val="12"/>
          <w:szCs w:val="12"/>
        </w:rPr>
        <w:t>The efectve income tax rate fuctuates year to year due to the allocaton of the company’s taxable earnings among jurisdictons, as well as certain discrete factors and events in each year, including changes in tax law and business development actvites. The efectve income tax rates in 2024, 2023 and 2022 difered from the statutory tax rate principally due to the impact of foreign operatons with lower income tax rates in locatons outside the United States, the U.S. global minimum tax, changes in fair value of contngent consideraton, tax audits and setlements, tax credits and incentves in the United States, Puerto Rico and other foreign tax jurisdictons, and business development actvites. The efectve income tax rate in 2024 was lower than prior periods due to the resolutons of various tax positons pertaining to multple prior tax years, including the closing of U.S. IRS examinatons covering three tax years, partally ofset by increases in unrecognized tax benefts pertaining to prior years. The lower efectve income tax rate in 2024 also refects an increase due to acquisiton costs related to certain business development actvites and a decrease related to changes in fair value of contngent consideraton. The efectve income tax rate in 2023 was higher than prior periods due to increased changes in fair value of contngent consideraton, intangible asset impairments and the impacts of the transiton from the Puerto Rico excise tax to an income tax.</w:t>
      </w:r>
    </w:p>
    <w:p>
      <w:pPr>
        <w:spacing w:after="0" w:line="103" w:lineRule="exact"/>
        <w:rPr>
          <w:color w:val="auto"/>
          <w:sz w:val="20"/>
          <w:szCs w:val="20"/>
        </w:rPr>
      </w:pPr>
    </w:p>
    <w:p>
      <w:pPr>
        <w:spacing w:after="0" w:line="234" w:lineRule="auto"/>
        <w:ind w:right="340" w:firstLine="297"/>
        <w:rPr>
          <w:color w:val="auto"/>
          <w:sz w:val="20"/>
          <w:szCs w:val="20"/>
        </w:rPr>
      </w:pPr>
      <w:r>
        <w:rPr>
          <w:rFonts w:ascii="Calibri" w:eastAsia="Calibri" w:hAnsi="Calibri" w:cs="Calibri"/>
          <w:color w:val="auto"/>
          <w:sz w:val="12"/>
          <w:szCs w:val="12"/>
        </w:rPr>
        <w:t>In 2022, Puerto Rico enacted Act 52-2022 (the Puerto Rico Act) allowing for a transiton from a Puerto Rico excise tax levied on gross inventory purchases to an income-based tax beginning in 2023. The company completed the transiton requirements of the Puerto Rico Act in 2022, resultng in the remeasurement of certain deferred tax assets and liabilites</w:t>
      </w:r>
    </w:p>
    <w:p>
      <w:pPr>
        <w:spacing w:after="0" w:line="105"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93</w:t>
      </w:r>
      <w:r>
        <w:rPr>
          <w:color w:val="auto"/>
          <w:sz w:val="20"/>
          <w:szCs w:val="20"/>
        </w:rPr>
        <w:tab/>
      </w:r>
      <w:r>
        <w:rPr>
          <w:color w:val="auto"/>
          <w:sz w:val="1"/>
          <w:szCs w:val="1"/>
        </w:rPr>
        <w:drawing>
          <wp:inline distT="0" distB="0" distL="0" distR="0">
            <wp:extent cx="400050" cy="7429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895808" behindDoc="1" locked="0" layoutInCell="0" allowOverlap="1">
            <wp:simplePos x="0" y="0"/>
            <wp:positionH relativeFrom="column">
              <wp:posOffset>-17145</wp:posOffset>
            </wp:positionH>
            <wp:positionV relativeFrom="paragraph">
              <wp:posOffset>133985</wp:posOffset>
            </wp:positionV>
            <wp:extent cx="7203440" cy="3683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804" w:right="299" w:bottom="1440" w:left="300" w:header="0" w:footer="0" w:gutter="0"/>
          <w:cols w:num="1" w:space="720" w:equalWidth="0">
            <w:col w:w="11300" w:space="0"/>
          </w:cols>
        </w:sectPr>
      </w:pPr>
    </w:p>
    <w:bookmarkStart w:id="95" w:name="page96"/>
    <w:bookmarkEnd w:id="95"/>
    <w:p>
      <w:pPr>
        <w:spacing w:after="0"/>
        <w:rPr>
          <w:color w:val="auto"/>
          <w:sz w:val="20"/>
          <w:szCs w:val="20"/>
        </w:rPr>
      </w:pPr>
      <w:r>
        <w:rPr>
          <w:rFonts w:ascii="Calibri" w:eastAsia="Calibri" w:hAnsi="Calibri" w:cs="Calibri"/>
          <w:color w:val="auto"/>
          <w:sz w:val="12"/>
          <w:szCs w:val="12"/>
        </w:rPr>
        <w:t>based on income tax rates at which they are expected to reverse in the future. The net tax beneft recognized in 2022 from the remeasurement of deferred taxes related to the Puerto Rico Act was $323 million.</w:t>
      </w:r>
    </w:p>
    <w:p>
      <w:pPr>
        <w:spacing w:after="0" w:line="92"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The Tax Cuts and Jobs Act (the Act) was signed into law in December 2017, resultng in signifcant changes to the U.S. corporate tax system, including a one-tme transiton tax on a mandatory deemed repatriaton of earnings of certain foreign subsidiaries that were previously untaxed. The Act also created a U.S. global minimum tax on certain foreign sourced earnings. The company’s accountng policy for the minimum tax on foreign sourced earnings is to report the tax efects on the basis that the minimum tax will be recognized in tax expense in the year it is incurred as a period expense.</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Deferred Tax Assets and Liabilites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5440"/>
        <w:gridCol w:w="3220"/>
        <w:gridCol w:w="1140"/>
        <w:gridCol w:w="380"/>
        <w:gridCol w:w="1100"/>
      </w:tblGrid>
      <w:tr>
        <w:tblPrEx>
          <w:tblInd w:w="0" w:type="dxa"/>
          <w:tblLayout w:type="fixed"/>
        </w:tblPrEx>
        <w:trPr>
          <w:trHeight w:val="122"/>
        </w:trPr>
        <w:tc>
          <w:tcPr>
            <w:tcW w:w="544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3220" w:type="dxa"/>
            <w:vAlign w:val="bottom"/>
          </w:tcPr>
          <w:p>
            <w:pPr>
              <w:spacing w:after="0"/>
              <w:rPr>
                <w:color w:val="auto"/>
                <w:sz w:val="10"/>
                <w:szCs w:val="10"/>
              </w:rPr>
            </w:pPr>
          </w:p>
        </w:tc>
        <w:tc>
          <w:tcPr>
            <w:tcW w:w="1140" w:type="dxa"/>
            <w:vAlign w:val="bottom"/>
          </w:tcPr>
          <w:p>
            <w:pPr>
              <w:spacing w:after="0"/>
              <w:ind w:right="621"/>
              <w:jc w:val="right"/>
              <w:rPr>
                <w:color w:val="auto"/>
                <w:sz w:val="20"/>
                <w:szCs w:val="20"/>
              </w:rPr>
            </w:pPr>
            <w:r>
              <w:rPr>
                <w:rFonts w:ascii="Calibri" w:eastAsia="Calibri" w:hAnsi="Calibri" w:cs="Calibri"/>
                <w:b/>
                <w:bCs/>
                <w:color w:val="auto"/>
                <w:sz w:val="10"/>
                <w:szCs w:val="10"/>
              </w:rPr>
              <w:t>2024</w:t>
            </w:r>
          </w:p>
        </w:tc>
        <w:tc>
          <w:tcPr>
            <w:tcW w:w="380" w:type="dxa"/>
            <w:vAlign w:val="bottom"/>
          </w:tcPr>
          <w:p>
            <w:pPr>
              <w:spacing w:after="0"/>
              <w:rPr>
                <w:color w:val="auto"/>
                <w:sz w:val="10"/>
                <w:szCs w:val="10"/>
              </w:rPr>
            </w:pPr>
          </w:p>
        </w:tc>
        <w:tc>
          <w:tcPr>
            <w:tcW w:w="1100" w:type="dxa"/>
            <w:vAlign w:val="bottom"/>
          </w:tcPr>
          <w:p>
            <w:pPr>
              <w:spacing w:after="0"/>
              <w:ind w:right="561"/>
              <w:jc w:val="right"/>
              <w:rPr>
                <w:color w:val="auto"/>
                <w:sz w:val="20"/>
                <w:szCs w:val="20"/>
              </w:rPr>
            </w:pPr>
            <w:r>
              <w:rPr>
                <w:rFonts w:ascii="Calibri" w:eastAsia="Calibri" w:hAnsi="Calibri" w:cs="Calibri"/>
                <w:b/>
                <w:bCs/>
                <w:color w:val="auto"/>
                <w:sz w:val="10"/>
                <w:szCs w:val="10"/>
              </w:rPr>
              <w:t>2023</w:t>
            </w:r>
          </w:p>
        </w:tc>
      </w:tr>
      <w:tr>
        <w:tblPrEx>
          <w:tblInd w:w="0" w:type="dxa"/>
          <w:tblLayout w:type="fixed"/>
        </w:tblPrEx>
        <w:trPr>
          <w:trHeight w:val="32"/>
        </w:trPr>
        <w:tc>
          <w:tcPr>
            <w:tcW w:w="5440" w:type="dxa"/>
            <w:tcBorders>
              <w:bottom w:val="single" w:sz="8" w:space="0" w:color="auto"/>
            </w:tcBorders>
            <w:vAlign w:val="bottom"/>
          </w:tcPr>
          <w:p>
            <w:pPr>
              <w:spacing w:after="0"/>
              <w:rPr>
                <w:color w:val="auto"/>
                <w:sz w:val="2"/>
                <w:szCs w:val="2"/>
              </w:rPr>
            </w:pPr>
          </w:p>
        </w:tc>
        <w:tc>
          <w:tcPr>
            <w:tcW w:w="322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36"/>
        </w:trPr>
        <w:tc>
          <w:tcPr>
            <w:tcW w:w="5440" w:type="dxa"/>
            <w:vAlign w:val="bottom"/>
          </w:tcPr>
          <w:p>
            <w:pPr>
              <w:spacing w:after="0" w:line="137" w:lineRule="exact"/>
              <w:rPr>
                <w:color w:val="auto"/>
                <w:sz w:val="20"/>
                <w:szCs w:val="20"/>
              </w:rPr>
            </w:pPr>
            <w:r>
              <w:rPr>
                <w:rFonts w:ascii="Calibri" w:eastAsia="Calibri" w:hAnsi="Calibri" w:cs="Calibri"/>
                <w:b/>
                <w:bCs/>
                <w:color w:val="auto"/>
                <w:sz w:val="12"/>
                <w:szCs w:val="12"/>
              </w:rPr>
              <w:t>Deferred tax assets</w:t>
            </w:r>
          </w:p>
        </w:tc>
        <w:tc>
          <w:tcPr>
            <w:tcW w:w="3220" w:type="dxa"/>
            <w:vAlign w:val="bottom"/>
          </w:tcPr>
          <w:p>
            <w:pPr>
              <w:spacing w:after="0"/>
              <w:rPr>
                <w:color w:val="auto"/>
                <w:sz w:val="11"/>
                <w:szCs w:val="11"/>
              </w:rPr>
            </w:pPr>
          </w:p>
        </w:tc>
        <w:tc>
          <w:tcPr>
            <w:tcW w:w="1140" w:type="dxa"/>
            <w:vAlign w:val="bottom"/>
          </w:tcPr>
          <w:p>
            <w:pPr>
              <w:spacing w:after="0"/>
              <w:rPr>
                <w:color w:val="auto"/>
                <w:sz w:val="11"/>
                <w:szCs w:val="11"/>
              </w:rPr>
            </w:pPr>
          </w:p>
        </w:tc>
        <w:tc>
          <w:tcPr>
            <w:tcW w:w="380" w:type="dxa"/>
            <w:vAlign w:val="bottom"/>
          </w:tcPr>
          <w:p>
            <w:pPr>
              <w:spacing w:after="0"/>
              <w:rPr>
                <w:color w:val="auto"/>
                <w:sz w:val="11"/>
                <w:szCs w:val="11"/>
              </w:rPr>
            </w:pPr>
          </w:p>
        </w:tc>
        <w:tc>
          <w:tcPr>
            <w:tcW w:w="1100" w:type="dxa"/>
            <w:vAlign w:val="bottom"/>
          </w:tcPr>
          <w:p>
            <w:pPr>
              <w:spacing w:after="0"/>
              <w:rPr>
                <w:color w:val="auto"/>
                <w:sz w:val="11"/>
                <w:szCs w:val="11"/>
              </w:rPr>
            </w:pPr>
          </w:p>
        </w:tc>
      </w:tr>
      <w:tr>
        <w:tblPrEx>
          <w:tblInd w:w="0" w:type="dxa"/>
          <w:tblLayout w:type="fixed"/>
        </w:tblPrEx>
        <w:trPr>
          <w:trHeight w:val="159"/>
        </w:trPr>
        <w:tc>
          <w:tcPr>
            <w:tcW w:w="5440" w:type="dxa"/>
            <w:shd w:val="clear" w:color="auto" w:fill="CCEEFF"/>
            <w:vAlign w:val="bottom"/>
          </w:tcPr>
          <w:p>
            <w:pPr>
              <w:spacing w:after="0"/>
              <w:rPr>
                <w:color w:val="auto"/>
                <w:sz w:val="20"/>
                <w:szCs w:val="20"/>
              </w:rPr>
            </w:pPr>
            <w:r>
              <w:rPr>
                <w:rFonts w:ascii="Calibri" w:eastAsia="Calibri" w:hAnsi="Calibri" w:cs="Calibri"/>
                <w:color w:val="auto"/>
                <w:sz w:val="12"/>
                <w:szCs w:val="12"/>
              </w:rPr>
              <w:t>Compensaton and employee benefts</w:t>
            </w:r>
          </w:p>
        </w:tc>
        <w:tc>
          <w:tcPr>
            <w:tcW w:w="3220" w:type="dxa"/>
            <w:shd w:val="clear" w:color="auto" w:fill="CCEEFF"/>
            <w:vAlign w:val="bottom"/>
          </w:tcPr>
          <w:p>
            <w:pPr>
              <w:spacing w:after="0"/>
              <w:ind w:right="220"/>
              <w:jc w:val="right"/>
              <w:rPr>
                <w:color w:val="auto"/>
                <w:sz w:val="20"/>
                <w:szCs w:val="20"/>
              </w:rPr>
            </w:pPr>
            <w:r>
              <w:rPr>
                <w:rFonts w:ascii="Calibri" w:eastAsia="Calibri" w:hAnsi="Calibri" w:cs="Calibri"/>
                <w:color w:val="auto"/>
                <w:sz w:val="12"/>
                <w:szCs w:val="12"/>
              </w:rPr>
              <w:t>$</w:t>
            </w:r>
          </w:p>
        </w:tc>
        <w:tc>
          <w:tcPr>
            <w:tcW w:w="1140" w:type="dxa"/>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215</w:t>
            </w:r>
          </w:p>
        </w:tc>
        <w:tc>
          <w:tcPr>
            <w:tcW w:w="380" w:type="dxa"/>
            <w:shd w:val="clear" w:color="auto" w:fill="CCEEFF"/>
            <w:vAlign w:val="bottom"/>
          </w:tcPr>
          <w:p>
            <w:pPr>
              <w:spacing w:after="0"/>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519</w:t>
            </w:r>
          </w:p>
        </w:tc>
      </w:tr>
      <w:tr>
        <w:tblPrEx>
          <w:tblInd w:w="0" w:type="dxa"/>
          <w:tblLayout w:type="fixed"/>
        </w:tblPrEx>
        <w:trPr>
          <w:trHeight w:val="147"/>
        </w:trPr>
        <w:tc>
          <w:tcPr>
            <w:tcW w:w="5440" w:type="dxa"/>
            <w:vAlign w:val="bottom"/>
          </w:tcPr>
          <w:p>
            <w:pPr>
              <w:spacing w:after="0" w:line="142" w:lineRule="exact"/>
              <w:rPr>
                <w:color w:val="auto"/>
                <w:sz w:val="20"/>
                <w:szCs w:val="20"/>
              </w:rPr>
            </w:pPr>
            <w:r>
              <w:rPr>
                <w:rFonts w:ascii="Calibri" w:eastAsia="Calibri" w:hAnsi="Calibri" w:cs="Calibri"/>
                <w:color w:val="auto"/>
                <w:sz w:val="12"/>
                <w:szCs w:val="12"/>
              </w:rPr>
              <w:t>Accruals and reserves</w:t>
            </w:r>
          </w:p>
        </w:tc>
        <w:tc>
          <w:tcPr>
            <w:tcW w:w="3220" w:type="dxa"/>
            <w:vAlign w:val="bottom"/>
          </w:tcPr>
          <w:p>
            <w:pPr>
              <w:spacing w:after="0"/>
              <w:rPr>
                <w:color w:val="auto"/>
                <w:sz w:val="12"/>
                <w:szCs w:val="12"/>
              </w:rPr>
            </w:pPr>
          </w:p>
        </w:tc>
        <w:tc>
          <w:tcPr>
            <w:tcW w:w="114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1,253</w:t>
            </w:r>
          </w:p>
        </w:tc>
        <w:tc>
          <w:tcPr>
            <w:tcW w:w="38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1,113</w:t>
            </w:r>
          </w:p>
        </w:tc>
      </w:tr>
      <w:tr>
        <w:tblPrEx>
          <w:tblInd w:w="0" w:type="dxa"/>
          <w:tblLayout w:type="fixed"/>
        </w:tblPrEx>
        <w:trPr>
          <w:trHeight w:val="159"/>
        </w:trPr>
        <w:tc>
          <w:tcPr>
            <w:tcW w:w="5440" w:type="dxa"/>
            <w:shd w:val="clear" w:color="auto" w:fill="CCEEFF"/>
            <w:vAlign w:val="bottom"/>
          </w:tcPr>
          <w:p>
            <w:pPr>
              <w:spacing w:after="0"/>
              <w:rPr>
                <w:color w:val="auto"/>
                <w:sz w:val="20"/>
                <w:szCs w:val="20"/>
              </w:rPr>
            </w:pPr>
            <w:r>
              <w:rPr>
                <w:rFonts w:ascii="Calibri" w:eastAsia="Calibri" w:hAnsi="Calibri" w:cs="Calibri"/>
                <w:color w:val="auto"/>
                <w:sz w:val="12"/>
                <w:szCs w:val="12"/>
              </w:rPr>
              <w:t>Chargebacks and rebates</w:t>
            </w:r>
          </w:p>
        </w:tc>
        <w:tc>
          <w:tcPr>
            <w:tcW w:w="322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1,354</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1,431</w:t>
            </w:r>
          </w:p>
        </w:tc>
      </w:tr>
      <w:tr>
        <w:tblPrEx>
          <w:tblInd w:w="0" w:type="dxa"/>
          <w:tblLayout w:type="fixed"/>
        </w:tblPrEx>
        <w:trPr>
          <w:trHeight w:val="147"/>
        </w:trPr>
        <w:tc>
          <w:tcPr>
            <w:tcW w:w="5440" w:type="dxa"/>
            <w:vAlign w:val="bottom"/>
          </w:tcPr>
          <w:p>
            <w:pPr>
              <w:spacing w:after="0" w:line="142" w:lineRule="exact"/>
              <w:rPr>
                <w:color w:val="auto"/>
                <w:sz w:val="20"/>
                <w:szCs w:val="20"/>
              </w:rPr>
            </w:pPr>
            <w:r>
              <w:rPr>
                <w:rFonts w:ascii="Calibri" w:eastAsia="Calibri" w:hAnsi="Calibri" w:cs="Calibri"/>
                <w:color w:val="auto"/>
                <w:sz w:val="12"/>
                <w:szCs w:val="12"/>
              </w:rPr>
              <w:t>Advance payments</w:t>
            </w:r>
          </w:p>
        </w:tc>
        <w:tc>
          <w:tcPr>
            <w:tcW w:w="3220" w:type="dxa"/>
            <w:vAlign w:val="bottom"/>
          </w:tcPr>
          <w:p>
            <w:pPr>
              <w:spacing w:after="0"/>
              <w:rPr>
                <w:color w:val="auto"/>
                <w:sz w:val="12"/>
                <w:szCs w:val="12"/>
              </w:rPr>
            </w:pPr>
          </w:p>
        </w:tc>
        <w:tc>
          <w:tcPr>
            <w:tcW w:w="114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66</w:t>
            </w:r>
          </w:p>
        </w:tc>
        <w:tc>
          <w:tcPr>
            <w:tcW w:w="38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298</w:t>
            </w:r>
          </w:p>
        </w:tc>
      </w:tr>
      <w:tr>
        <w:tblPrEx>
          <w:tblInd w:w="0" w:type="dxa"/>
          <w:tblLayout w:type="fixed"/>
        </w:tblPrEx>
        <w:trPr>
          <w:trHeight w:val="159"/>
        </w:trPr>
        <w:tc>
          <w:tcPr>
            <w:tcW w:w="5440" w:type="dxa"/>
            <w:shd w:val="clear" w:color="auto" w:fill="CCEEFF"/>
            <w:vAlign w:val="bottom"/>
          </w:tcPr>
          <w:p>
            <w:pPr>
              <w:spacing w:after="0"/>
              <w:rPr>
                <w:color w:val="auto"/>
                <w:sz w:val="20"/>
                <w:szCs w:val="20"/>
              </w:rPr>
            </w:pPr>
            <w:r>
              <w:rPr>
                <w:rFonts w:ascii="Calibri" w:eastAsia="Calibri" w:hAnsi="Calibri" w:cs="Calibri"/>
                <w:color w:val="auto"/>
                <w:sz w:val="12"/>
                <w:szCs w:val="12"/>
              </w:rPr>
              <w:t>Net operatng losses and other carryforwards</w:t>
            </w:r>
          </w:p>
        </w:tc>
        <w:tc>
          <w:tcPr>
            <w:tcW w:w="322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15,815</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14,316</w:t>
            </w:r>
          </w:p>
        </w:tc>
      </w:tr>
      <w:tr>
        <w:tblPrEx>
          <w:tblInd w:w="0" w:type="dxa"/>
          <w:tblLayout w:type="fixed"/>
        </w:tblPrEx>
        <w:trPr>
          <w:trHeight w:val="147"/>
        </w:trPr>
        <w:tc>
          <w:tcPr>
            <w:tcW w:w="54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Other</w:t>
            </w:r>
          </w:p>
        </w:tc>
        <w:tc>
          <w:tcPr>
            <w:tcW w:w="322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41"/>
              <w:jc w:val="right"/>
              <w:rPr>
                <w:color w:val="auto"/>
                <w:sz w:val="20"/>
                <w:szCs w:val="20"/>
              </w:rPr>
            </w:pPr>
            <w:r>
              <w:rPr>
                <w:rFonts w:ascii="Calibri" w:eastAsia="Calibri" w:hAnsi="Calibri" w:cs="Calibri"/>
                <w:color w:val="auto"/>
                <w:sz w:val="12"/>
                <w:szCs w:val="12"/>
              </w:rPr>
              <w:t>2,156</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2,259</w:t>
            </w:r>
          </w:p>
        </w:tc>
      </w:tr>
      <w:tr>
        <w:tblPrEx>
          <w:tblInd w:w="0" w:type="dxa"/>
          <w:tblLayout w:type="fixed"/>
        </w:tblPrEx>
        <w:trPr>
          <w:trHeight w:val="148"/>
        </w:trPr>
        <w:tc>
          <w:tcPr>
            <w:tcW w:w="54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deferred tax assets</w:t>
            </w:r>
          </w:p>
        </w:tc>
        <w:tc>
          <w:tcPr>
            <w:tcW w:w="3220" w:type="dxa"/>
            <w:shd w:val="clear" w:color="auto" w:fill="CCEEFF"/>
            <w:vAlign w:val="bottom"/>
          </w:tcPr>
          <w:p>
            <w:pPr>
              <w:spacing w:after="0"/>
              <w:rPr>
                <w:color w:val="auto"/>
                <w:sz w:val="12"/>
                <w:szCs w:val="12"/>
              </w:rPr>
            </w:pPr>
          </w:p>
        </w:tc>
        <w:tc>
          <w:tcPr>
            <w:tcW w:w="1140" w:type="dxa"/>
            <w:shd w:val="clear" w:color="auto" w:fill="CCEEFF"/>
            <w:vAlign w:val="bottom"/>
          </w:tcPr>
          <w:p>
            <w:pPr>
              <w:spacing w:after="0" w:line="142" w:lineRule="exact"/>
              <w:ind w:right="41"/>
              <w:jc w:val="right"/>
              <w:rPr>
                <w:color w:val="auto"/>
                <w:sz w:val="20"/>
                <w:szCs w:val="20"/>
              </w:rPr>
            </w:pPr>
            <w:r>
              <w:rPr>
                <w:rFonts w:ascii="Calibri" w:eastAsia="Calibri" w:hAnsi="Calibri" w:cs="Calibri"/>
                <w:color w:val="auto"/>
                <w:sz w:val="12"/>
                <w:szCs w:val="12"/>
              </w:rPr>
              <w:t>20,859</w:t>
            </w:r>
          </w:p>
        </w:tc>
        <w:tc>
          <w:tcPr>
            <w:tcW w:w="380" w:type="dxa"/>
            <w:shd w:val="clear" w:color="auto" w:fill="CCEEFF"/>
            <w:vAlign w:val="bottom"/>
          </w:tcPr>
          <w:p>
            <w:pPr>
              <w:spacing w:after="0"/>
              <w:rPr>
                <w:color w:val="auto"/>
                <w:sz w:val="12"/>
                <w:szCs w:val="12"/>
              </w:rPr>
            </w:pPr>
          </w:p>
        </w:tc>
        <w:tc>
          <w:tcPr>
            <w:tcW w:w="1100" w:type="dxa"/>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19,936</w:t>
            </w:r>
          </w:p>
        </w:tc>
      </w:tr>
      <w:tr>
        <w:tblPrEx>
          <w:tblInd w:w="0" w:type="dxa"/>
          <w:tblLayout w:type="fixed"/>
        </w:tblPrEx>
        <w:trPr>
          <w:trHeight w:val="147"/>
        </w:trPr>
        <w:tc>
          <w:tcPr>
            <w:tcW w:w="54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Valuaton allowances</w:t>
            </w:r>
          </w:p>
        </w:tc>
        <w:tc>
          <w:tcPr>
            <w:tcW w:w="322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(14,823)</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(13,478)</w:t>
            </w:r>
          </w:p>
        </w:tc>
      </w:tr>
      <w:tr>
        <w:tblPrEx>
          <w:tblInd w:w="0" w:type="dxa"/>
          <w:tblLayout w:type="fixed"/>
        </w:tblPrEx>
        <w:trPr>
          <w:trHeight w:val="142"/>
        </w:trPr>
        <w:tc>
          <w:tcPr>
            <w:tcW w:w="54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net deferred tax assets</w:t>
            </w:r>
          </w:p>
        </w:tc>
        <w:tc>
          <w:tcPr>
            <w:tcW w:w="3220" w:type="dxa"/>
            <w:tcBorders>
              <w:bottom w:val="single" w:sz="8" w:space="0" w:color="auto"/>
            </w:tcBorders>
            <w:shd w:val="clear" w:color="auto" w:fill="CCEEFF"/>
            <w:vAlign w:val="bottom"/>
          </w:tcPr>
          <w:p>
            <w:pPr>
              <w:spacing w:after="0"/>
              <w:rPr>
                <w:color w:val="auto"/>
                <w:sz w:val="12"/>
                <w:szCs w:val="12"/>
              </w:rPr>
            </w:pPr>
          </w:p>
        </w:tc>
        <w:tc>
          <w:tcPr>
            <w:tcW w:w="1140" w:type="dxa"/>
            <w:tcBorders>
              <w:bottom w:val="single" w:sz="8" w:space="0" w:color="auto"/>
            </w:tcBorders>
            <w:shd w:val="clear" w:color="auto" w:fill="CCEEFF"/>
            <w:vAlign w:val="bottom"/>
          </w:tcPr>
          <w:p>
            <w:pPr>
              <w:spacing w:after="0" w:line="142" w:lineRule="exact"/>
              <w:ind w:right="41"/>
              <w:jc w:val="right"/>
              <w:rPr>
                <w:color w:val="auto"/>
                <w:sz w:val="20"/>
                <w:szCs w:val="20"/>
              </w:rPr>
            </w:pPr>
            <w:r>
              <w:rPr>
                <w:rFonts w:ascii="Calibri" w:eastAsia="Calibri" w:hAnsi="Calibri" w:cs="Calibri"/>
                <w:color w:val="auto"/>
                <w:sz w:val="12"/>
                <w:szCs w:val="12"/>
              </w:rPr>
              <w:t>6,036</w:t>
            </w:r>
          </w:p>
        </w:tc>
        <w:tc>
          <w:tcPr>
            <w:tcW w:w="38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6,458</w:t>
            </w:r>
          </w:p>
        </w:tc>
      </w:tr>
      <w:tr>
        <w:tblPrEx>
          <w:tblInd w:w="0" w:type="dxa"/>
          <w:tblLayout w:type="fixed"/>
        </w:tblPrEx>
        <w:trPr>
          <w:trHeight w:val="142"/>
        </w:trPr>
        <w:tc>
          <w:tcPr>
            <w:tcW w:w="5440" w:type="dxa"/>
            <w:vAlign w:val="bottom"/>
          </w:tcPr>
          <w:p>
            <w:pPr>
              <w:spacing w:after="0" w:line="142" w:lineRule="exact"/>
              <w:rPr>
                <w:color w:val="auto"/>
                <w:sz w:val="20"/>
                <w:szCs w:val="20"/>
              </w:rPr>
            </w:pPr>
            <w:r>
              <w:rPr>
                <w:rFonts w:ascii="Calibri" w:eastAsia="Calibri" w:hAnsi="Calibri" w:cs="Calibri"/>
                <w:b/>
                <w:bCs/>
                <w:color w:val="auto"/>
                <w:sz w:val="12"/>
                <w:szCs w:val="12"/>
              </w:rPr>
              <w:t>Deferred tax liabilites</w:t>
            </w:r>
          </w:p>
        </w:tc>
        <w:tc>
          <w:tcPr>
            <w:tcW w:w="3220" w:type="dxa"/>
            <w:vAlign w:val="bottom"/>
          </w:tcPr>
          <w:p>
            <w:pPr>
              <w:spacing w:after="0"/>
              <w:rPr>
                <w:color w:val="auto"/>
                <w:sz w:val="12"/>
                <w:szCs w:val="12"/>
              </w:rPr>
            </w:pPr>
          </w:p>
        </w:tc>
        <w:tc>
          <w:tcPr>
            <w:tcW w:w="1140" w:type="dxa"/>
            <w:vAlign w:val="bottom"/>
          </w:tcPr>
          <w:p>
            <w:pPr>
              <w:spacing w:after="0"/>
              <w:rPr>
                <w:color w:val="auto"/>
                <w:sz w:val="12"/>
                <w:szCs w:val="12"/>
              </w:rPr>
            </w:pPr>
          </w:p>
        </w:tc>
        <w:tc>
          <w:tcPr>
            <w:tcW w:w="380" w:type="dxa"/>
            <w:vAlign w:val="bottom"/>
          </w:tcPr>
          <w:p>
            <w:pPr>
              <w:spacing w:after="0"/>
              <w:rPr>
                <w:color w:val="auto"/>
                <w:sz w:val="12"/>
                <w:szCs w:val="12"/>
              </w:rPr>
            </w:pPr>
          </w:p>
        </w:tc>
        <w:tc>
          <w:tcPr>
            <w:tcW w:w="1100" w:type="dxa"/>
            <w:vAlign w:val="bottom"/>
          </w:tcPr>
          <w:p>
            <w:pPr>
              <w:spacing w:after="0"/>
              <w:rPr>
                <w:color w:val="auto"/>
                <w:sz w:val="12"/>
                <w:szCs w:val="12"/>
              </w:rPr>
            </w:pPr>
          </w:p>
        </w:tc>
      </w:tr>
      <w:tr>
        <w:tblPrEx>
          <w:tblInd w:w="0" w:type="dxa"/>
          <w:tblLayout w:type="fixed"/>
        </w:tblPrEx>
        <w:trPr>
          <w:trHeight w:val="159"/>
        </w:trPr>
        <w:tc>
          <w:tcPr>
            <w:tcW w:w="5440" w:type="dxa"/>
            <w:shd w:val="clear" w:color="auto" w:fill="CCEEFF"/>
            <w:vAlign w:val="bottom"/>
          </w:tcPr>
          <w:p>
            <w:pPr>
              <w:spacing w:after="0"/>
              <w:rPr>
                <w:color w:val="auto"/>
                <w:sz w:val="20"/>
                <w:szCs w:val="20"/>
              </w:rPr>
            </w:pPr>
            <w:r>
              <w:rPr>
                <w:rFonts w:ascii="Calibri" w:eastAsia="Calibri" w:hAnsi="Calibri" w:cs="Calibri"/>
                <w:color w:val="auto"/>
                <w:sz w:val="12"/>
                <w:szCs w:val="12"/>
              </w:rPr>
              <w:t>Excess of book basis over tax basis of intangible assets</w:t>
            </w:r>
          </w:p>
        </w:tc>
        <w:tc>
          <w:tcPr>
            <w:tcW w:w="322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(1,969)</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(1,535)</w:t>
            </w:r>
          </w:p>
        </w:tc>
      </w:tr>
      <w:tr>
        <w:tblPrEx>
          <w:tblInd w:w="0" w:type="dxa"/>
          <w:tblLayout w:type="fixed"/>
        </w:tblPrEx>
        <w:trPr>
          <w:trHeight w:val="147"/>
        </w:trPr>
        <w:tc>
          <w:tcPr>
            <w:tcW w:w="5440" w:type="dxa"/>
            <w:vAlign w:val="bottom"/>
          </w:tcPr>
          <w:p>
            <w:pPr>
              <w:spacing w:after="0" w:line="142" w:lineRule="exact"/>
              <w:rPr>
                <w:color w:val="auto"/>
                <w:sz w:val="20"/>
                <w:szCs w:val="20"/>
              </w:rPr>
            </w:pPr>
            <w:r>
              <w:rPr>
                <w:rFonts w:ascii="Calibri" w:eastAsia="Calibri" w:hAnsi="Calibri" w:cs="Calibri"/>
                <w:color w:val="auto"/>
                <w:sz w:val="12"/>
                <w:szCs w:val="12"/>
              </w:rPr>
              <w:t>Excess of book basis over tax basis in investments</w:t>
            </w:r>
          </w:p>
        </w:tc>
        <w:tc>
          <w:tcPr>
            <w:tcW w:w="3220" w:type="dxa"/>
            <w:vAlign w:val="bottom"/>
          </w:tcPr>
          <w:p>
            <w:pPr>
              <w:spacing w:after="0"/>
              <w:rPr>
                <w:color w:val="auto"/>
                <w:sz w:val="12"/>
                <w:szCs w:val="12"/>
              </w:rPr>
            </w:pPr>
          </w:p>
        </w:tc>
        <w:tc>
          <w:tcPr>
            <w:tcW w:w="114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(302)</w:t>
            </w:r>
          </w:p>
        </w:tc>
        <w:tc>
          <w:tcPr>
            <w:tcW w:w="380" w:type="dxa"/>
            <w:vAlign w:val="bottom"/>
          </w:tcPr>
          <w:p>
            <w:pPr>
              <w:spacing w:after="0"/>
              <w:rPr>
                <w:color w:val="auto"/>
                <w:sz w:val="12"/>
                <w:szCs w:val="12"/>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(374)</w:t>
            </w:r>
          </w:p>
        </w:tc>
      </w:tr>
      <w:tr>
        <w:tblPrEx>
          <w:tblInd w:w="0" w:type="dxa"/>
          <w:tblLayout w:type="fixed"/>
        </w:tblPrEx>
        <w:trPr>
          <w:trHeight w:val="153"/>
        </w:trPr>
        <w:tc>
          <w:tcPr>
            <w:tcW w:w="544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Other</w:t>
            </w:r>
          </w:p>
        </w:tc>
        <w:tc>
          <w:tcPr>
            <w:tcW w:w="3220" w:type="dxa"/>
            <w:tcBorders>
              <w:bottom w:val="single" w:sz="8" w:space="0" w:color="auto"/>
            </w:tcBorders>
            <w:shd w:val="clear" w:color="auto" w:fill="CCEEFF"/>
            <w:vAlign w:val="bottom"/>
          </w:tcPr>
          <w:p>
            <w:pPr>
              <w:spacing w:after="0"/>
              <w:rPr>
                <w:color w:val="auto"/>
                <w:sz w:val="13"/>
                <w:szCs w:val="13"/>
              </w:rPr>
            </w:pPr>
          </w:p>
        </w:tc>
        <w:tc>
          <w:tcPr>
            <w:tcW w:w="114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(718)</w:t>
            </w:r>
          </w:p>
        </w:tc>
        <w:tc>
          <w:tcPr>
            <w:tcW w:w="380" w:type="dxa"/>
            <w:tcBorders>
              <w:bottom w:val="single" w:sz="8" w:space="0" w:color="auto"/>
            </w:tcBorders>
            <w:shd w:val="clear" w:color="auto" w:fill="CCEEFF"/>
            <w:vAlign w:val="bottom"/>
          </w:tcPr>
          <w:p>
            <w:pPr>
              <w:spacing w:after="0"/>
              <w:rPr>
                <w:color w:val="auto"/>
                <w:sz w:val="13"/>
                <w:szCs w:val="13"/>
              </w:rPr>
            </w:pPr>
          </w:p>
        </w:tc>
        <w:tc>
          <w:tcPr>
            <w:tcW w:w="110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(746)</w:t>
            </w:r>
          </w:p>
        </w:tc>
      </w:tr>
      <w:tr>
        <w:tblPrEx>
          <w:tblInd w:w="0" w:type="dxa"/>
          <w:tblLayout w:type="fixed"/>
        </w:tblPrEx>
        <w:trPr>
          <w:trHeight w:val="142"/>
        </w:trPr>
        <w:tc>
          <w:tcPr>
            <w:tcW w:w="54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deferred tax liabilites</w:t>
            </w:r>
          </w:p>
        </w:tc>
        <w:tc>
          <w:tcPr>
            <w:tcW w:w="3220" w:type="dxa"/>
            <w:tcBorders>
              <w:bottom w:val="single" w:sz="8" w:space="0" w:color="auto"/>
            </w:tcBorders>
            <w:vAlign w:val="bottom"/>
          </w:tcPr>
          <w:p>
            <w:pPr>
              <w:spacing w:after="0"/>
              <w:rPr>
                <w:color w:val="auto"/>
                <w:sz w:val="12"/>
                <w:szCs w:val="12"/>
              </w:rPr>
            </w:pPr>
          </w:p>
        </w:tc>
        <w:tc>
          <w:tcPr>
            <w:tcW w:w="114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(2,989)</w:t>
            </w:r>
          </w:p>
        </w:tc>
        <w:tc>
          <w:tcPr>
            <w:tcW w:w="38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(2,655)</w:t>
            </w:r>
          </w:p>
        </w:tc>
      </w:tr>
      <w:tr>
        <w:tblPrEx>
          <w:tblInd w:w="0" w:type="dxa"/>
          <w:tblLayout w:type="fixed"/>
        </w:tblPrEx>
        <w:trPr>
          <w:trHeight w:val="164"/>
        </w:trPr>
        <w:tc>
          <w:tcPr>
            <w:tcW w:w="54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Net deferred tax assets</w:t>
            </w:r>
          </w:p>
        </w:tc>
        <w:tc>
          <w:tcPr>
            <w:tcW w:w="322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tcBorders>
              <w:bottom w:val="single" w:sz="8" w:space="0" w:color="auto"/>
            </w:tcBorders>
            <w:shd w:val="clear" w:color="auto" w:fill="CCEEFF"/>
            <w:vAlign w:val="bottom"/>
          </w:tcPr>
          <w:p>
            <w:pPr>
              <w:spacing w:after="0" w:line="142" w:lineRule="exact"/>
              <w:ind w:right="41"/>
              <w:jc w:val="right"/>
              <w:rPr>
                <w:color w:val="auto"/>
                <w:sz w:val="20"/>
                <w:szCs w:val="20"/>
              </w:rPr>
            </w:pPr>
            <w:r>
              <w:rPr>
                <w:rFonts w:ascii="Calibri" w:eastAsia="Calibri" w:hAnsi="Calibri" w:cs="Calibri"/>
                <w:color w:val="auto"/>
                <w:sz w:val="12"/>
                <w:szCs w:val="12"/>
              </w:rPr>
              <w:t>3,047</w:t>
            </w:r>
          </w:p>
        </w:tc>
        <w:tc>
          <w:tcPr>
            <w:tcW w:w="38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3,803</w:t>
            </w:r>
          </w:p>
        </w:tc>
      </w:tr>
    </w:tbl>
    <w:p>
      <w:pPr>
        <w:spacing w:after="0" w:line="138" w:lineRule="exact"/>
        <w:rPr>
          <w:color w:val="auto"/>
          <w:sz w:val="20"/>
          <w:szCs w:val="20"/>
        </w:rPr>
      </w:pPr>
    </w:p>
    <w:p>
      <w:pPr>
        <w:spacing w:after="0" w:line="234" w:lineRule="auto"/>
        <w:ind w:right="120" w:firstLine="297"/>
        <w:rPr>
          <w:color w:val="auto"/>
          <w:sz w:val="20"/>
          <w:szCs w:val="20"/>
        </w:rPr>
      </w:pPr>
      <w:r>
        <w:rPr>
          <w:rFonts w:ascii="Calibri" w:eastAsia="Calibri" w:hAnsi="Calibri" w:cs="Calibri"/>
          <w:color w:val="auto"/>
          <w:sz w:val="12"/>
          <w:szCs w:val="12"/>
        </w:rPr>
        <w:t>The decrease in deferred tax assets is primarily related to a decrease in compensaton, employee benefts and advance payments. The increase in deferred tax liabilites is primarily due to the acquisiton of Cerevel Therapeutcs and ImmunoGen in which the company recorded the excess of book basis over tax basis of intangible assets, ofset by amortzaton and impairment of intangible assets.</w:t>
      </w:r>
    </w:p>
    <w:p>
      <w:pPr>
        <w:spacing w:after="0" w:line="92" w:lineRule="exact"/>
        <w:rPr>
          <w:color w:val="auto"/>
          <w:sz w:val="20"/>
          <w:szCs w:val="20"/>
        </w:rPr>
      </w:pPr>
    </w:p>
    <w:p>
      <w:pPr>
        <w:spacing w:after="0" w:line="219" w:lineRule="auto"/>
        <w:ind w:right="60" w:firstLine="297"/>
        <w:rPr>
          <w:color w:val="auto"/>
          <w:sz w:val="20"/>
          <w:szCs w:val="20"/>
        </w:rPr>
      </w:pPr>
      <w:r>
        <w:rPr>
          <w:rFonts w:ascii="Calibri" w:eastAsia="Calibri" w:hAnsi="Calibri" w:cs="Calibri"/>
          <w:color w:val="auto"/>
          <w:sz w:val="12"/>
          <w:szCs w:val="12"/>
        </w:rPr>
        <w:t>The company had valuaton allowances of $14.8 billion as of December 31, 2024 and $13.5 billion as of December 31, 2023. These were principally related to foreign and state net operatng losses and other credit carryforwards that are not expected to be realized.</w:t>
      </w:r>
    </w:p>
    <w:p>
      <w:pPr>
        <w:spacing w:after="0" w:line="93" w:lineRule="exact"/>
        <w:rPr>
          <w:color w:val="auto"/>
          <w:sz w:val="20"/>
          <w:szCs w:val="20"/>
        </w:rPr>
      </w:pPr>
    </w:p>
    <w:p>
      <w:pPr>
        <w:spacing w:after="0" w:line="234" w:lineRule="auto"/>
        <w:ind w:right="40" w:firstLine="297"/>
        <w:rPr>
          <w:color w:val="auto"/>
          <w:sz w:val="20"/>
          <w:szCs w:val="20"/>
        </w:rPr>
      </w:pPr>
      <w:r>
        <w:rPr>
          <w:rFonts w:ascii="Calibri" w:eastAsia="Calibri" w:hAnsi="Calibri" w:cs="Calibri"/>
          <w:color w:val="auto"/>
          <w:sz w:val="12"/>
          <w:szCs w:val="12"/>
        </w:rPr>
        <w:t>The company incurred carryforward deductons in a foreign jurisdicton where realizaton of the future income tax beneft was, in previous reportng periods, considered so remote that the income tax beneft was not recognized as a deferred tax asset. In 2024, the company concluded that the future income tax beneft of the carryforward balances is no longer remote and therefore, a deferred tax asset was recognized. The company also recognized an ofsetng valuaton allowance, resultng in no net impact to deferred tax assets as such carryforward balances are not expected to be realized in the foreseeable future.</w:t>
      </w:r>
    </w:p>
    <w:p>
      <w:pPr>
        <w:spacing w:after="0" w:line="103" w:lineRule="exact"/>
        <w:rPr>
          <w:color w:val="auto"/>
          <w:sz w:val="20"/>
          <w:szCs w:val="20"/>
        </w:rPr>
      </w:pPr>
    </w:p>
    <w:p>
      <w:pPr>
        <w:spacing w:after="0" w:line="234" w:lineRule="auto"/>
        <w:ind w:right="240" w:firstLine="297"/>
        <w:rPr>
          <w:color w:val="auto"/>
          <w:sz w:val="20"/>
          <w:szCs w:val="20"/>
        </w:rPr>
      </w:pPr>
      <w:r>
        <w:rPr>
          <w:rFonts w:ascii="Calibri" w:eastAsia="Calibri" w:hAnsi="Calibri" w:cs="Calibri"/>
          <w:color w:val="auto"/>
          <w:sz w:val="12"/>
          <w:szCs w:val="12"/>
        </w:rPr>
        <w:t>As of December 31, 2024, the company had U.S. federal, state and foreign credit carryforwards of $669 million as well as U.S. federal, state and foreign net operatng loss carryforwards of $38.9 billion, which will expire at various tmes through 2044. The company also had foreign loss carryforwards of $33.3 billion that have no expiraton.</w:t>
      </w:r>
    </w:p>
    <w:p>
      <w:pPr>
        <w:spacing w:after="0" w:line="92" w:lineRule="exact"/>
        <w:rPr>
          <w:color w:val="auto"/>
          <w:sz w:val="20"/>
          <w:szCs w:val="20"/>
        </w:rPr>
      </w:pPr>
    </w:p>
    <w:p>
      <w:pPr>
        <w:spacing w:after="0" w:line="234" w:lineRule="auto"/>
        <w:ind w:right="380" w:firstLine="297"/>
        <w:jc w:val="both"/>
        <w:rPr>
          <w:color w:val="auto"/>
          <w:sz w:val="20"/>
          <w:szCs w:val="20"/>
        </w:rPr>
      </w:pPr>
      <w:r>
        <w:rPr>
          <w:rFonts w:ascii="Calibri" w:eastAsia="Calibri" w:hAnsi="Calibri" w:cs="Calibri"/>
          <w:color w:val="auto"/>
          <w:sz w:val="12"/>
          <w:szCs w:val="12"/>
        </w:rPr>
        <w:t>Unremited foreign earnings subject to the Act’s transiton tax are not considered indefnitely reinvested. Post-2017 earnings subject to the U.S. minimum tax on foreign sourced earnings or eligible for the 100 percent foreign dividends received deducton are also not considered indefnitely reinvested earnings. However, the company generally considers instances of outside basis diferences in foreign subsidiaries that would incur additonal U.S. tax upon reversal (e.g., capital gain distributons) to be permanent in duraton. The unrecognized tax liability is not practcable to determine.</w:t>
      </w:r>
    </w:p>
    <w:p>
      <w:pPr>
        <w:spacing w:after="0" w:line="20" w:lineRule="exact"/>
        <w:rPr>
          <w:color w:val="auto"/>
          <w:sz w:val="20"/>
          <w:szCs w:val="20"/>
        </w:rPr>
      </w:pPr>
      <w:r>
        <w:rPr>
          <w:color w:val="auto"/>
          <w:sz w:val="20"/>
          <w:szCs w:val="20"/>
        </w:rPr>
        <w:drawing>
          <wp:anchor simplePos="0" relativeHeight="251896832" behindDoc="1" locked="0" layoutInCell="0" allowOverlap="1">
            <wp:simplePos x="0" y="0"/>
            <wp:positionH relativeFrom="column">
              <wp:posOffset>6475730</wp:posOffset>
            </wp:positionH>
            <wp:positionV relativeFrom="paragraph">
              <wp:posOffset>251460</wp:posOffset>
            </wp:positionV>
            <wp:extent cx="400050" cy="7429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94</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897856" behindDoc="1" locked="0" layoutInCell="0" allowOverlap="1">
            <wp:simplePos x="0" y="0"/>
            <wp:positionH relativeFrom="column">
              <wp:posOffset>7154545</wp:posOffset>
            </wp:positionH>
            <wp:positionV relativeFrom="paragraph">
              <wp:posOffset>-23495</wp:posOffset>
            </wp:positionV>
            <wp:extent cx="31115" cy="3683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898880" behindDoc="1" locked="0" layoutInCell="0" allowOverlap="1">
            <wp:simplePos x="0" y="0"/>
            <wp:positionH relativeFrom="column">
              <wp:posOffset>-17145</wp:posOffset>
            </wp:positionH>
            <wp:positionV relativeFrom="paragraph">
              <wp:posOffset>-23495</wp:posOffset>
            </wp:positionV>
            <wp:extent cx="31115" cy="3683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96" w:name="page97"/>
    <w:bookmarkEnd w:id="96"/>
    <w:p>
      <w:pPr>
        <w:spacing w:after="0"/>
        <w:rPr>
          <w:color w:val="auto"/>
          <w:sz w:val="20"/>
          <w:szCs w:val="20"/>
        </w:rPr>
      </w:pPr>
      <w:r>
        <w:rPr>
          <w:rFonts w:ascii="Calibri" w:eastAsia="Calibri" w:hAnsi="Calibri" w:cs="Calibri"/>
          <w:b/>
          <w:bCs/>
          <w:color w:val="444867"/>
          <w:sz w:val="12"/>
          <w:szCs w:val="12"/>
        </w:rPr>
        <w:t>Unrecognized Tax Benefts</w:t>
      </w:r>
    </w:p>
    <w:p>
      <w:pPr>
        <w:spacing w:after="0" w:line="16" w:lineRule="exact"/>
        <w:rPr>
          <w:color w:val="auto"/>
          <w:sz w:val="20"/>
          <w:szCs w:val="20"/>
        </w:rPr>
      </w:pPr>
    </w:p>
    <w:tbl>
      <w:tblPr>
        <w:tblInd w:w="0" w:type="dxa"/>
        <w:tblLayout w:type="fixed"/>
        <w:tblCellMar>
          <w:top w:w="0" w:type="dxa"/>
          <w:left w:w="0" w:type="dxa"/>
          <w:bottom w:w="0" w:type="dxa"/>
          <w:right w:w="0" w:type="dxa"/>
        </w:tblCellMar>
      </w:tblPr>
      <w:tblGrid>
        <w:gridCol w:w="4380"/>
        <w:gridCol w:w="2760"/>
        <w:gridCol w:w="1120"/>
        <w:gridCol w:w="400"/>
        <w:gridCol w:w="1140"/>
        <w:gridCol w:w="380"/>
        <w:gridCol w:w="1100"/>
      </w:tblGrid>
      <w:tr>
        <w:tblPrEx>
          <w:tblInd w:w="0" w:type="dxa"/>
          <w:tblLayout w:type="fixed"/>
        </w:tblPrEx>
        <w:trPr>
          <w:trHeight w:val="122"/>
        </w:trPr>
        <w:tc>
          <w:tcPr>
            <w:tcW w:w="438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2760" w:type="dxa"/>
            <w:vAlign w:val="bottom"/>
          </w:tcPr>
          <w:p>
            <w:pPr>
              <w:spacing w:after="0"/>
              <w:rPr>
                <w:color w:val="auto"/>
                <w:sz w:val="10"/>
                <w:szCs w:val="10"/>
              </w:rPr>
            </w:pPr>
          </w:p>
        </w:tc>
        <w:tc>
          <w:tcPr>
            <w:tcW w:w="1120" w:type="dxa"/>
            <w:vAlign w:val="bottom"/>
          </w:tcPr>
          <w:p>
            <w:pPr>
              <w:spacing w:after="0"/>
              <w:ind w:right="601"/>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140" w:type="dxa"/>
            <w:vAlign w:val="bottom"/>
          </w:tcPr>
          <w:p>
            <w:pPr>
              <w:spacing w:after="0"/>
              <w:ind w:right="621"/>
              <w:jc w:val="right"/>
              <w:rPr>
                <w:color w:val="auto"/>
                <w:sz w:val="20"/>
                <w:szCs w:val="20"/>
              </w:rPr>
            </w:pPr>
            <w:r>
              <w:rPr>
                <w:rFonts w:ascii="Calibri" w:eastAsia="Calibri" w:hAnsi="Calibri" w:cs="Calibri"/>
                <w:b/>
                <w:bCs/>
                <w:color w:val="auto"/>
                <w:sz w:val="10"/>
                <w:szCs w:val="10"/>
              </w:rPr>
              <w:t>2023</w:t>
            </w:r>
          </w:p>
        </w:tc>
        <w:tc>
          <w:tcPr>
            <w:tcW w:w="380" w:type="dxa"/>
            <w:vAlign w:val="bottom"/>
          </w:tcPr>
          <w:p>
            <w:pPr>
              <w:spacing w:after="0"/>
              <w:rPr>
                <w:color w:val="auto"/>
                <w:sz w:val="10"/>
                <w:szCs w:val="10"/>
              </w:rPr>
            </w:pPr>
          </w:p>
        </w:tc>
        <w:tc>
          <w:tcPr>
            <w:tcW w:w="1100" w:type="dxa"/>
            <w:vAlign w:val="bottom"/>
          </w:tcPr>
          <w:p>
            <w:pPr>
              <w:spacing w:after="0"/>
              <w:ind w:right="561"/>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4380" w:type="dxa"/>
            <w:tcBorders>
              <w:bottom w:val="single" w:sz="8" w:space="0" w:color="auto"/>
            </w:tcBorders>
            <w:vAlign w:val="bottom"/>
          </w:tcPr>
          <w:p>
            <w:pPr>
              <w:spacing w:after="0"/>
              <w:rPr>
                <w:color w:val="auto"/>
                <w:sz w:val="2"/>
                <w:szCs w:val="2"/>
              </w:rPr>
            </w:pPr>
          </w:p>
        </w:tc>
        <w:tc>
          <w:tcPr>
            <w:tcW w:w="276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40" w:type="dxa"/>
            <w:tcBorders>
              <w:bottom w:val="single" w:sz="8" w:space="0" w:color="auto"/>
            </w:tcBorders>
            <w:vAlign w:val="bottom"/>
          </w:tcPr>
          <w:p>
            <w:pPr>
              <w:spacing w:after="0"/>
              <w:rPr>
                <w:color w:val="auto"/>
                <w:sz w:val="2"/>
                <w:szCs w:val="2"/>
              </w:rPr>
            </w:pPr>
          </w:p>
        </w:tc>
        <w:tc>
          <w:tcPr>
            <w:tcW w:w="38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438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Beginning balance</w:t>
            </w:r>
          </w:p>
        </w:tc>
        <w:tc>
          <w:tcPr>
            <w:tcW w:w="276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5,762</w:t>
            </w: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shd w:val="clear" w:color="auto" w:fill="CCEEFF"/>
            <w:vAlign w:val="bottom"/>
          </w:tcPr>
          <w:p>
            <w:pPr>
              <w:spacing w:after="0" w:line="142" w:lineRule="exact"/>
              <w:ind w:right="41"/>
              <w:jc w:val="right"/>
              <w:rPr>
                <w:color w:val="auto"/>
                <w:sz w:val="20"/>
                <w:szCs w:val="20"/>
              </w:rPr>
            </w:pPr>
            <w:r>
              <w:rPr>
                <w:rFonts w:ascii="Calibri" w:eastAsia="Calibri" w:hAnsi="Calibri" w:cs="Calibri"/>
                <w:color w:val="auto"/>
                <w:sz w:val="12"/>
                <w:szCs w:val="12"/>
              </w:rPr>
              <w:t>5,670</w:t>
            </w:r>
          </w:p>
        </w:tc>
        <w:tc>
          <w:tcPr>
            <w:tcW w:w="38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5,489</w:t>
            </w:r>
          </w:p>
        </w:tc>
      </w:tr>
      <w:tr>
        <w:tblPrEx>
          <w:tblInd w:w="0" w:type="dxa"/>
          <w:tblLayout w:type="fixed"/>
        </w:tblPrEx>
        <w:trPr>
          <w:trHeight w:val="147"/>
        </w:trPr>
        <w:tc>
          <w:tcPr>
            <w:tcW w:w="4380" w:type="dxa"/>
            <w:vAlign w:val="bottom"/>
          </w:tcPr>
          <w:p>
            <w:pPr>
              <w:spacing w:after="0" w:line="142" w:lineRule="exact"/>
              <w:rPr>
                <w:color w:val="auto"/>
                <w:sz w:val="20"/>
                <w:szCs w:val="20"/>
              </w:rPr>
            </w:pPr>
            <w:r>
              <w:rPr>
                <w:rFonts w:ascii="Calibri" w:eastAsia="Calibri" w:hAnsi="Calibri" w:cs="Calibri"/>
                <w:color w:val="auto"/>
                <w:sz w:val="12"/>
                <w:szCs w:val="12"/>
              </w:rPr>
              <w:t>Increase due to current year tax positons</w:t>
            </w:r>
          </w:p>
        </w:tc>
        <w:tc>
          <w:tcPr>
            <w:tcW w:w="276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173</w:t>
            </w:r>
          </w:p>
        </w:tc>
        <w:tc>
          <w:tcPr>
            <w:tcW w:w="400" w:type="dxa"/>
            <w:vAlign w:val="bottom"/>
          </w:tcPr>
          <w:p>
            <w:pPr>
              <w:spacing w:after="0"/>
              <w:rPr>
                <w:color w:val="auto"/>
                <w:sz w:val="12"/>
                <w:szCs w:val="12"/>
              </w:rPr>
            </w:pPr>
          </w:p>
        </w:tc>
        <w:tc>
          <w:tcPr>
            <w:tcW w:w="114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129</w:t>
            </w:r>
          </w:p>
        </w:tc>
        <w:tc>
          <w:tcPr>
            <w:tcW w:w="38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88</w:t>
            </w:r>
          </w:p>
        </w:tc>
      </w:tr>
      <w:tr>
        <w:tblPrEx>
          <w:tblInd w:w="0" w:type="dxa"/>
          <w:tblLayout w:type="fixed"/>
        </w:tblPrEx>
        <w:trPr>
          <w:trHeight w:val="159"/>
        </w:trPr>
        <w:tc>
          <w:tcPr>
            <w:tcW w:w="4380" w:type="dxa"/>
            <w:shd w:val="clear" w:color="auto" w:fill="CCEEFF"/>
            <w:vAlign w:val="bottom"/>
          </w:tcPr>
          <w:p>
            <w:pPr>
              <w:spacing w:after="0"/>
              <w:rPr>
                <w:color w:val="auto"/>
                <w:sz w:val="20"/>
                <w:szCs w:val="20"/>
              </w:rPr>
            </w:pPr>
            <w:r>
              <w:rPr>
                <w:rFonts w:ascii="Calibri" w:eastAsia="Calibri" w:hAnsi="Calibri" w:cs="Calibri"/>
                <w:color w:val="auto"/>
                <w:sz w:val="12"/>
                <w:szCs w:val="12"/>
              </w:rPr>
              <w:t>Increase due to prior year tax positons</w:t>
            </w:r>
          </w:p>
        </w:tc>
        <w:tc>
          <w:tcPr>
            <w:tcW w:w="27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454</w:t>
            </w:r>
          </w:p>
        </w:tc>
        <w:tc>
          <w:tcPr>
            <w:tcW w:w="40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41"/>
              <w:jc w:val="right"/>
              <w:rPr>
                <w:color w:val="auto"/>
                <w:sz w:val="20"/>
                <w:szCs w:val="20"/>
              </w:rPr>
            </w:pPr>
            <w:r>
              <w:rPr>
                <w:rFonts w:ascii="Calibri" w:eastAsia="Calibri" w:hAnsi="Calibri" w:cs="Calibri"/>
                <w:color w:val="auto"/>
                <w:sz w:val="12"/>
                <w:szCs w:val="12"/>
              </w:rPr>
              <w:t>109</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243</w:t>
            </w:r>
          </w:p>
        </w:tc>
      </w:tr>
      <w:tr>
        <w:tblPrEx>
          <w:tblInd w:w="0" w:type="dxa"/>
          <w:tblLayout w:type="fixed"/>
        </w:tblPrEx>
        <w:trPr>
          <w:trHeight w:val="147"/>
        </w:trPr>
        <w:tc>
          <w:tcPr>
            <w:tcW w:w="4380" w:type="dxa"/>
            <w:vAlign w:val="bottom"/>
          </w:tcPr>
          <w:p>
            <w:pPr>
              <w:spacing w:after="0" w:line="142" w:lineRule="exact"/>
              <w:rPr>
                <w:color w:val="auto"/>
                <w:sz w:val="20"/>
                <w:szCs w:val="20"/>
              </w:rPr>
            </w:pPr>
            <w:r>
              <w:rPr>
                <w:rFonts w:ascii="Calibri" w:eastAsia="Calibri" w:hAnsi="Calibri" w:cs="Calibri"/>
                <w:color w:val="auto"/>
                <w:sz w:val="12"/>
                <w:szCs w:val="12"/>
              </w:rPr>
              <w:t>Decrease due to prior year tax positons</w:t>
            </w:r>
          </w:p>
        </w:tc>
        <w:tc>
          <w:tcPr>
            <w:tcW w:w="2760" w:type="dxa"/>
            <w:vAlign w:val="bottom"/>
          </w:tcPr>
          <w:p>
            <w:pPr>
              <w:spacing w:after="0"/>
              <w:rPr>
                <w:color w:val="auto"/>
                <w:sz w:val="12"/>
                <w:szCs w:val="12"/>
              </w:rPr>
            </w:pPr>
          </w:p>
        </w:tc>
        <w:tc>
          <w:tcPr>
            <w:tcW w:w="1120" w:type="dxa"/>
            <w:vAlign w:val="bottom"/>
          </w:tcPr>
          <w:p>
            <w:pPr>
              <w:spacing w:after="0" w:line="142" w:lineRule="exact"/>
              <w:jc w:val="right"/>
              <w:rPr>
                <w:color w:val="auto"/>
                <w:sz w:val="20"/>
                <w:szCs w:val="20"/>
              </w:rPr>
            </w:pPr>
            <w:r>
              <w:rPr>
                <w:rFonts w:ascii="Calibri" w:eastAsia="Calibri" w:hAnsi="Calibri" w:cs="Calibri"/>
                <w:color w:val="auto"/>
                <w:sz w:val="12"/>
                <w:szCs w:val="12"/>
              </w:rPr>
              <w:t>(1,741)</w:t>
            </w:r>
          </w:p>
        </w:tc>
        <w:tc>
          <w:tcPr>
            <w:tcW w:w="400" w:type="dxa"/>
            <w:vAlign w:val="bottom"/>
          </w:tcPr>
          <w:p>
            <w:pPr>
              <w:spacing w:after="0"/>
              <w:rPr>
                <w:color w:val="auto"/>
                <w:sz w:val="12"/>
                <w:szCs w:val="12"/>
              </w:rPr>
            </w:pPr>
          </w:p>
        </w:tc>
        <w:tc>
          <w:tcPr>
            <w:tcW w:w="114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(21)</w:t>
            </w:r>
          </w:p>
        </w:tc>
        <w:tc>
          <w:tcPr>
            <w:tcW w:w="380" w:type="dxa"/>
            <w:vAlign w:val="bottom"/>
          </w:tcPr>
          <w:p>
            <w:pPr>
              <w:spacing w:after="0"/>
              <w:rPr>
                <w:color w:val="auto"/>
                <w:sz w:val="12"/>
                <w:szCs w:val="12"/>
              </w:rPr>
            </w:pPr>
          </w:p>
        </w:tc>
        <w:tc>
          <w:tcPr>
            <w:tcW w:w="1100" w:type="dxa"/>
            <w:vAlign w:val="bottom"/>
          </w:tcPr>
          <w:p>
            <w:pPr>
              <w:spacing w:after="0" w:line="142" w:lineRule="exact"/>
              <w:jc w:val="right"/>
              <w:rPr>
                <w:color w:val="auto"/>
                <w:sz w:val="20"/>
                <w:szCs w:val="20"/>
              </w:rPr>
            </w:pPr>
            <w:r>
              <w:rPr>
                <w:rFonts w:ascii="Calibri" w:eastAsia="Calibri" w:hAnsi="Calibri" w:cs="Calibri"/>
                <w:color w:val="auto"/>
                <w:sz w:val="12"/>
                <w:szCs w:val="12"/>
              </w:rPr>
              <w:t>(33)</w:t>
            </w:r>
          </w:p>
        </w:tc>
      </w:tr>
      <w:tr>
        <w:tblPrEx>
          <w:tblInd w:w="0" w:type="dxa"/>
          <w:tblLayout w:type="fixed"/>
        </w:tblPrEx>
        <w:trPr>
          <w:trHeight w:val="159"/>
        </w:trPr>
        <w:tc>
          <w:tcPr>
            <w:tcW w:w="4380" w:type="dxa"/>
            <w:shd w:val="clear" w:color="auto" w:fill="CCEEFF"/>
            <w:vAlign w:val="bottom"/>
          </w:tcPr>
          <w:p>
            <w:pPr>
              <w:spacing w:after="0"/>
              <w:rPr>
                <w:color w:val="auto"/>
                <w:sz w:val="20"/>
                <w:szCs w:val="20"/>
              </w:rPr>
            </w:pPr>
            <w:r>
              <w:rPr>
                <w:rFonts w:ascii="Calibri" w:eastAsia="Calibri" w:hAnsi="Calibri" w:cs="Calibri"/>
                <w:color w:val="auto"/>
                <w:sz w:val="12"/>
                <w:szCs w:val="12"/>
              </w:rPr>
              <w:t>Setlements</w:t>
            </w:r>
          </w:p>
        </w:tc>
        <w:tc>
          <w:tcPr>
            <w:tcW w:w="276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(284)</w:t>
            </w:r>
          </w:p>
        </w:tc>
        <w:tc>
          <w:tcPr>
            <w:tcW w:w="400" w:type="dxa"/>
            <w:shd w:val="clear" w:color="auto" w:fill="CCEEFF"/>
            <w:vAlign w:val="bottom"/>
          </w:tcPr>
          <w:p>
            <w:pPr>
              <w:spacing w:after="0"/>
              <w:rPr>
                <w:color w:val="auto"/>
                <w:sz w:val="13"/>
                <w:szCs w:val="13"/>
              </w:rPr>
            </w:pPr>
          </w:p>
        </w:tc>
        <w:tc>
          <w:tcPr>
            <w:tcW w:w="114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(86)</w:t>
            </w:r>
          </w:p>
        </w:tc>
        <w:tc>
          <w:tcPr>
            <w:tcW w:w="38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(7)</w:t>
            </w:r>
          </w:p>
        </w:tc>
      </w:tr>
      <w:tr>
        <w:tblPrEx>
          <w:tblInd w:w="0" w:type="dxa"/>
          <w:tblLayout w:type="fixed"/>
        </w:tblPrEx>
        <w:trPr>
          <w:trHeight w:val="147"/>
        </w:trPr>
        <w:tc>
          <w:tcPr>
            <w:tcW w:w="4380" w:type="dxa"/>
            <w:vAlign w:val="bottom"/>
          </w:tcPr>
          <w:p>
            <w:pPr>
              <w:spacing w:after="0" w:line="142" w:lineRule="exact"/>
              <w:rPr>
                <w:color w:val="auto"/>
                <w:sz w:val="20"/>
                <w:szCs w:val="20"/>
              </w:rPr>
            </w:pPr>
            <w:r>
              <w:rPr>
                <w:rFonts w:ascii="Calibri" w:eastAsia="Calibri" w:hAnsi="Calibri" w:cs="Calibri"/>
                <w:color w:val="auto"/>
                <w:sz w:val="12"/>
                <w:szCs w:val="12"/>
              </w:rPr>
              <w:t>Increase due to acquisitons</w:t>
            </w:r>
          </w:p>
        </w:tc>
        <w:tc>
          <w:tcPr>
            <w:tcW w:w="276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82</w:t>
            </w:r>
          </w:p>
        </w:tc>
        <w:tc>
          <w:tcPr>
            <w:tcW w:w="400" w:type="dxa"/>
            <w:vAlign w:val="bottom"/>
          </w:tcPr>
          <w:p>
            <w:pPr>
              <w:spacing w:after="0"/>
              <w:rPr>
                <w:color w:val="auto"/>
                <w:sz w:val="12"/>
                <w:szCs w:val="12"/>
              </w:rPr>
            </w:pPr>
          </w:p>
        </w:tc>
        <w:tc>
          <w:tcPr>
            <w:tcW w:w="1140" w:type="dxa"/>
            <w:vAlign w:val="bottom"/>
          </w:tcPr>
          <w:p>
            <w:pPr>
              <w:spacing w:after="0" w:line="142" w:lineRule="exact"/>
              <w:ind w:right="41"/>
              <w:jc w:val="right"/>
              <w:rPr>
                <w:color w:val="auto"/>
                <w:sz w:val="20"/>
                <w:szCs w:val="20"/>
              </w:rPr>
            </w:pPr>
            <w:r>
              <w:rPr>
                <w:rFonts w:ascii="Calibri" w:eastAsia="Calibri" w:hAnsi="Calibri" w:cs="Calibri"/>
                <w:color w:val="auto"/>
                <w:sz w:val="12"/>
                <w:szCs w:val="12"/>
              </w:rPr>
              <w:t>—</w:t>
            </w:r>
          </w:p>
        </w:tc>
        <w:tc>
          <w:tcPr>
            <w:tcW w:w="38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w:t>
            </w:r>
          </w:p>
        </w:tc>
      </w:tr>
      <w:tr>
        <w:tblPrEx>
          <w:tblInd w:w="0" w:type="dxa"/>
          <w:tblLayout w:type="fixed"/>
        </w:tblPrEx>
        <w:trPr>
          <w:trHeight w:val="153"/>
        </w:trPr>
        <w:tc>
          <w:tcPr>
            <w:tcW w:w="438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Lapse of statutes of limitatons</w:t>
            </w:r>
          </w:p>
        </w:tc>
        <w:tc>
          <w:tcPr>
            <w:tcW w:w="276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(45)</w:t>
            </w:r>
          </w:p>
        </w:tc>
        <w:tc>
          <w:tcPr>
            <w:tcW w:w="400" w:type="dxa"/>
            <w:tcBorders>
              <w:bottom w:val="single" w:sz="8" w:space="0" w:color="auto"/>
            </w:tcBorders>
            <w:shd w:val="clear" w:color="auto" w:fill="CCEEFF"/>
            <w:vAlign w:val="bottom"/>
          </w:tcPr>
          <w:p>
            <w:pPr>
              <w:spacing w:after="0"/>
              <w:rPr>
                <w:color w:val="auto"/>
                <w:sz w:val="13"/>
                <w:szCs w:val="13"/>
              </w:rPr>
            </w:pPr>
          </w:p>
        </w:tc>
        <w:tc>
          <w:tcPr>
            <w:tcW w:w="114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(39)</w:t>
            </w:r>
          </w:p>
        </w:tc>
        <w:tc>
          <w:tcPr>
            <w:tcW w:w="380" w:type="dxa"/>
            <w:tcBorders>
              <w:bottom w:val="single" w:sz="8" w:space="0" w:color="auto"/>
            </w:tcBorders>
            <w:shd w:val="clear" w:color="auto" w:fill="CCEEFF"/>
            <w:vAlign w:val="bottom"/>
          </w:tcPr>
          <w:p>
            <w:pPr>
              <w:spacing w:after="0"/>
              <w:rPr>
                <w:color w:val="auto"/>
                <w:sz w:val="13"/>
                <w:szCs w:val="13"/>
              </w:rPr>
            </w:pPr>
          </w:p>
        </w:tc>
        <w:tc>
          <w:tcPr>
            <w:tcW w:w="1100" w:type="dxa"/>
            <w:tcBorders>
              <w:bottom w:val="single" w:sz="8" w:space="0" w:color="auto"/>
            </w:tcBorders>
            <w:shd w:val="clear" w:color="auto" w:fill="CCEEFF"/>
            <w:vAlign w:val="bottom"/>
          </w:tcPr>
          <w:p>
            <w:pPr>
              <w:spacing w:after="0"/>
              <w:jc w:val="right"/>
              <w:rPr>
                <w:color w:val="auto"/>
                <w:sz w:val="20"/>
                <w:szCs w:val="20"/>
              </w:rPr>
            </w:pPr>
            <w:r>
              <w:rPr>
                <w:rFonts w:ascii="Calibri" w:eastAsia="Calibri" w:hAnsi="Calibri" w:cs="Calibri"/>
                <w:color w:val="auto"/>
                <w:sz w:val="12"/>
                <w:szCs w:val="12"/>
              </w:rPr>
              <w:t>(110)</w:t>
            </w:r>
          </w:p>
        </w:tc>
      </w:tr>
      <w:tr>
        <w:tblPrEx>
          <w:tblInd w:w="0" w:type="dxa"/>
          <w:tblLayout w:type="fixed"/>
        </w:tblPrEx>
        <w:trPr>
          <w:trHeight w:val="142"/>
        </w:trPr>
        <w:tc>
          <w:tcPr>
            <w:tcW w:w="438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Ending balance</w:t>
            </w:r>
          </w:p>
        </w:tc>
        <w:tc>
          <w:tcPr>
            <w:tcW w:w="276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4,401</w:t>
            </w: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40" w:type="dxa"/>
            <w:tcBorders>
              <w:bottom w:val="single" w:sz="8" w:space="0" w:color="auto"/>
            </w:tcBorders>
            <w:vAlign w:val="bottom"/>
          </w:tcPr>
          <w:p>
            <w:pPr>
              <w:spacing w:after="0" w:line="142" w:lineRule="exact"/>
              <w:ind w:right="41"/>
              <w:jc w:val="right"/>
              <w:rPr>
                <w:color w:val="auto"/>
                <w:sz w:val="20"/>
                <w:szCs w:val="20"/>
              </w:rPr>
            </w:pPr>
            <w:r>
              <w:rPr>
                <w:rFonts w:ascii="Calibri" w:eastAsia="Calibri" w:hAnsi="Calibri" w:cs="Calibri"/>
                <w:color w:val="auto"/>
                <w:sz w:val="12"/>
                <w:szCs w:val="12"/>
              </w:rPr>
              <w:t>5,762</w:t>
            </w:r>
          </w:p>
        </w:tc>
        <w:tc>
          <w:tcPr>
            <w:tcW w:w="380" w:type="dxa"/>
            <w:tcBorders>
              <w:bottom w:val="single" w:sz="8" w:space="0" w:color="auto"/>
            </w:tcBorders>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5,670</w:t>
            </w:r>
          </w:p>
        </w:tc>
      </w:tr>
      <w:tr>
        <w:tblPrEx>
          <w:tblInd w:w="0" w:type="dxa"/>
          <w:tblLayout w:type="fixed"/>
        </w:tblPrEx>
        <w:trPr>
          <w:trHeight w:val="20"/>
        </w:trPr>
        <w:tc>
          <w:tcPr>
            <w:tcW w:w="4380" w:type="dxa"/>
            <w:tcBorders>
              <w:bottom w:val="single" w:sz="8" w:space="0" w:color="auto"/>
            </w:tcBorders>
            <w:vAlign w:val="bottom"/>
          </w:tcPr>
          <w:p>
            <w:pPr>
              <w:spacing w:after="0" w:line="20" w:lineRule="exact"/>
              <w:rPr>
                <w:color w:val="auto"/>
                <w:sz w:val="1"/>
                <w:szCs w:val="1"/>
              </w:rPr>
            </w:pPr>
          </w:p>
        </w:tc>
        <w:tc>
          <w:tcPr>
            <w:tcW w:w="276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400" w:type="dxa"/>
            <w:tcBorders>
              <w:bottom w:val="single" w:sz="8" w:space="0" w:color="auto"/>
            </w:tcBorders>
            <w:vAlign w:val="bottom"/>
          </w:tcPr>
          <w:p>
            <w:pPr>
              <w:spacing w:after="0" w:line="20" w:lineRule="exact"/>
              <w:rPr>
                <w:color w:val="auto"/>
                <w:sz w:val="1"/>
                <w:szCs w:val="1"/>
              </w:rPr>
            </w:pPr>
          </w:p>
        </w:tc>
        <w:tc>
          <w:tcPr>
            <w:tcW w:w="1140" w:type="dxa"/>
            <w:tcBorders>
              <w:bottom w:val="single" w:sz="8" w:space="0" w:color="auto"/>
            </w:tcBorders>
            <w:vAlign w:val="bottom"/>
          </w:tcPr>
          <w:p>
            <w:pPr>
              <w:spacing w:after="0" w:line="20" w:lineRule="exact"/>
              <w:rPr>
                <w:color w:val="auto"/>
                <w:sz w:val="1"/>
                <w:szCs w:val="1"/>
              </w:rPr>
            </w:pPr>
          </w:p>
        </w:tc>
        <w:tc>
          <w:tcPr>
            <w:tcW w:w="380" w:type="dxa"/>
            <w:tcBorders>
              <w:bottom w:val="single" w:sz="8" w:space="0" w:color="auto"/>
            </w:tcBorders>
            <w:vAlign w:val="bottom"/>
          </w:tcPr>
          <w:p>
            <w:pPr>
              <w:spacing w:after="0" w:line="20" w:lineRule="exact"/>
              <w:rPr>
                <w:color w:val="auto"/>
                <w:sz w:val="1"/>
                <w:szCs w:val="1"/>
              </w:rPr>
            </w:pPr>
          </w:p>
        </w:tc>
        <w:tc>
          <w:tcPr>
            <w:tcW w:w="1100" w:type="dxa"/>
            <w:tcBorders>
              <w:bottom w:val="single" w:sz="8" w:space="0" w:color="auto"/>
            </w:tcBorders>
            <w:vAlign w:val="bottom"/>
          </w:tcPr>
          <w:p>
            <w:pPr>
              <w:spacing w:after="0" w:line="20" w:lineRule="exact"/>
              <w:rPr>
                <w:color w:val="auto"/>
                <w:sz w:val="1"/>
                <w:szCs w:val="1"/>
              </w:rPr>
            </w:pPr>
          </w:p>
        </w:tc>
      </w:tr>
    </w:tbl>
    <w:p>
      <w:pPr>
        <w:spacing w:after="0" w:line="138" w:lineRule="exact"/>
        <w:rPr>
          <w:color w:val="auto"/>
          <w:sz w:val="20"/>
          <w:szCs w:val="20"/>
        </w:rPr>
      </w:pPr>
    </w:p>
    <w:p>
      <w:pPr>
        <w:spacing w:after="0" w:line="234" w:lineRule="auto"/>
        <w:ind w:right="20" w:firstLine="297"/>
        <w:jc w:val="both"/>
        <w:rPr>
          <w:color w:val="auto"/>
          <w:sz w:val="20"/>
          <w:szCs w:val="20"/>
        </w:rPr>
      </w:pPr>
      <w:r>
        <w:rPr>
          <w:rFonts w:ascii="Calibri" w:eastAsia="Calibri" w:hAnsi="Calibri" w:cs="Calibri"/>
          <w:color w:val="auto"/>
          <w:sz w:val="12"/>
          <w:szCs w:val="12"/>
        </w:rPr>
        <w:t>If recognized, the net amount of potental tax benefts that would impact the company's efectve tax rate is $4.3 billion in 2024 and $5.6 billion in 2023. The "Increase due to current year tax positons" and "Increase due to prior year tax positons" in the table above include amounts related to federal, state and internatonal tax items.</w:t>
      </w:r>
    </w:p>
    <w:p>
      <w:pPr>
        <w:spacing w:after="0" w:line="101" w:lineRule="exact"/>
        <w:rPr>
          <w:color w:val="auto"/>
          <w:sz w:val="20"/>
          <w:szCs w:val="20"/>
        </w:rPr>
      </w:pPr>
    </w:p>
    <w:p>
      <w:pPr>
        <w:spacing w:after="0" w:line="234" w:lineRule="auto"/>
        <w:ind w:right="120" w:firstLine="297"/>
        <w:jc w:val="both"/>
        <w:rPr>
          <w:color w:val="auto"/>
          <w:sz w:val="20"/>
          <w:szCs w:val="20"/>
        </w:rPr>
      </w:pPr>
      <w:r>
        <w:rPr>
          <w:rFonts w:ascii="Calibri" w:eastAsia="Calibri" w:hAnsi="Calibri" w:cs="Calibri"/>
          <w:color w:val="auto"/>
          <w:sz w:val="12"/>
          <w:szCs w:val="12"/>
        </w:rPr>
        <w:t>AbbVie recognizes interest and penaltes related to income tax maters in income tax expense in the consolidated statements of earnings. AbbVie recognized a gross income tax beneft of $179 million in 2024 and gross income tax expense of $430 million in 2023 and $339 million in 2022 for interest and penaltes related to income tax maters. AbbVie had an accrual for the payment of gross interest and penaltes of $1.4 billion at December 31, 2024, $1.6 billion at December 31, 2023 and $1.1 billion at December 31, 2022.</w:t>
      </w:r>
    </w:p>
    <w:p>
      <w:pPr>
        <w:spacing w:after="0" w:line="94"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The company is routnely audited by the tax authorites in signifcant jurisdictons and a number of audits are currently underway. It is reasonably possible that the company’s gross unrecognized tax benefts balance may change within the next 12 months by up to $40 million in connecton with statute of limitaton expiratons. The company has various federal, state and foreign examinatons ongoing. Finalizing examinatons with the relevant taxing authorites can include formal administratve and legal proceedings, and as a result, we cannot reasonably estmate the tming of resoluton for certain unrecognized tax benefts. All signifcant federal, state and internatonal tax maters have been concluded for years before 2009. The company believes adequate provision has been made for all income tax uncertaintes.</w:t>
      </w:r>
    </w:p>
    <w:p>
      <w:pPr>
        <w:spacing w:after="0" w:line="14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15 Legal Proceedings and Contngencies</w:t>
      </w:r>
    </w:p>
    <w:p>
      <w:pPr>
        <w:spacing w:after="0" w:line="20" w:lineRule="exact"/>
        <w:rPr>
          <w:color w:val="auto"/>
          <w:sz w:val="20"/>
          <w:szCs w:val="20"/>
        </w:rPr>
      </w:pPr>
      <w:r>
        <w:rPr>
          <w:color w:val="auto"/>
          <w:sz w:val="20"/>
          <w:szCs w:val="20"/>
        </w:rPr>
        <w:drawing>
          <wp:anchor simplePos="0" relativeHeight="251899904" behindDoc="1" locked="0" layoutInCell="0" allowOverlap="1">
            <wp:simplePos x="0" y="0"/>
            <wp:positionH relativeFrom="column">
              <wp:posOffset>-4445</wp:posOffset>
            </wp:positionH>
            <wp:positionV relativeFrom="paragraph">
              <wp:posOffset>24130</wp:posOffset>
            </wp:positionV>
            <wp:extent cx="7166610" cy="5715"/>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390" w:lineRule="exact"/>
        <w:rPr>
          <w:color w:val="auto"/>
          <w:sz w:val="20"/>
          <w:szCs w:val="20"/>
        </w:rPr>
      </w:pPr>
    </w:p>
    <w:p>
      <w:pPr>
        <w:spacing w:after="0" w:line="235" w:lineRule="auto"/>
        <w:ind w:right="60" w:firstLine="297"/>
        <w:rPr>
          <w:color w:val="auto"/>
          <w:sz w:val="20"/>
          <w:szCs w:val="20"/>
        </w:rPr>
      </w:pPr>
      <w:r>
        <w:rPr>
          <w:rFonts w:ascii="Calibri" w:eastAsia="Calibri" w:hAnsi="Calibri" w:cs="Calibri"/>
          <w:color w:val="auto"/>
          <w:sz w:val="12"/>
          <w:szCs w:val="12"/>
        </w:rPr>
        <w:t>AbbVie is subject to contngencies, such as various claims, legal proceedings and investgatons regarding product liability, intellectual property, commercial, securites and other maters that arise in the normal course of business. Loss contngency provisions are recorded for probable losses at management’s best estmate of a loss, or when a best estmate cannot be made, a minimum loss contngency amount within a probable range is recorded. The recorded accrual balance for litgaton was approximately $2.5 billion as of December 31, 2024 and $2.0 billion as of December 31, 2023. For litgaton maters discussed below for which a loss is probable or reasonably possible, the company is unable to estmate the possible loss or range of loss, if any, beyond the amounts accrued. Initaton of new legal proceedings or a change in the status of existng proceedings may result in a change in the estmated loss accrued by AbbVie. While it is not feasible to predict the outcome of all proceedings and exposures with certainty, management believes that their ultmate dispositon should not have a material adverse efect on AbbVie’s consolidated fnancial positon, results of operatons or cash fows.</w:t>
      </w:r>
    </w:p>
    <w:p>
      <w:pPr>
        <w:spacing w:after="0" w:line="102"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Subject to certain exceptons specifed in the separaton agreement by and between Abbot Laboratories (Abbot) and AbbVie, AbbVie assumed the liability for, and control of, all pending and threatened legal maters related to its business, including liabilites for any claims or legal proceedings related to products that had been part of its business, but were discontnued prior to the distributon, as well as assumed or retained liabilites, and will indemnify Abbot for any liability arising out of or resultng from such assumed legal maters.</w:t>
      </w:r>
    </w:p>
    <w:p>
      <w:pPr>
        <w:spacing w:after="0" w:line="89"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Anttrust Litgaton</w:t>
      </w:r>
    </w:p>
    <w:p>
      <w:pPr>
        <w:spacing w:after="0" w:line="101" w:lineRule="exact"/>
        <w:rPr>
          <w:color w:val="auto"/>
          <w:sz w:val="20"/>
          <w:szCs w:val="20"/>
        </w:rPr>
      </w:pPr>
    </w:p>
    <w:p>
      <w:pPr>
        <w:spacing w:after="0" w:line="235" w:lineRule="auto"/>
        <w:ind w:right="100" w:firstLine="297"/>
        <w:rPr>
          <w:color w:val="auto"/>
          <w:sz w:val="20"/>
          <w:szCs w:val="20"/>
        </w:rPr>
      </w:pPr>
      <w:r>
        <w:rPr>
          <w:rFonts w:ascii="Calibri" w:eastAsia="Calibri" w:hAnsi="Calibri" w:cs="Calibri"/>
          <w:color w:val="auto"/>
          <w:sz w:val="12"/>
          <w:szCs w:val="12"/>
        </w:rPr>
        <w:t>Lawsuits are pending against AbbVie and others generally alleging that the 2005 patent litgaton setlement involving Niaspan entered into between Kos Pharmaceutcals, Inc. (a company acquired by Abbot in 2006 and presently a subsidiary of AbbVie) and a generic company violated federal and state anttrust laws and state unfair and deceptve trade practces and unjust enrichment laws. Plaintfs generally seek monetary damages and/or injunctve relief and atorneys' fees. The lawsuits pending in federal court consist of six individual plaintf lawsuits and a certfed class acton by Niaspan direct purchasers. The cases are pending in the United States District Court for the Eastern District of Pennsylvania for coordinated or consolidated</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95</w:t>
      </w:r>
      <w:r>
        <w:rPr>
          <w:color w:val="auto"/>
          <w:sz w:val="20"/>
          <w:szCs w:val="20"/>
        </w:rPr>
        <w:tab/>
      </w:r>
      <w:r>
        <w:rPr>
          <w:color w:val="auto"/>
          <w:sz w:val="1"/>
          <w:szCs w:val="1"/>
        </w:rPr>
        <w:drawing>
          <wp:inline distT="0" distB="0" distL="0" distR="0">
            <wp:extent cx="400050" cy="7429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900928" behindDoc="1" locked="0" layoutInCell="0" allowOverlap="1">
            <wp:simplePos x="0" y="0"/>
            <wp:positionH relativeFrom="column">
              <wp:posOffset>-17145</wp:posOffset>
            </wp:positionH>
            <wp:positionV relativeFrom="paragraph">
              <wp:posOffset>133985</wp:posOffset>
            </wp:positionV>
            <wp:extent cx="7203440" cy="3683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97" w:name="page98"/>
    <w:bookmarkEnd w:id="97"/>
    <w:p>
      <w:pPr>
        <w:spacing w:after="0" w:line="234" w:lineRule="auto"/>
        <w:ind w:right="20"/>
        <w:rPr>
          <w:color w:val="auto"/>
          <w:sz w:val="20"/>
          <w:szCs w:val="20"/>
        </w:rPr>
      </w:pPr>
      <w:r>
        <w:rPr>
          <w:rFonts w:ascii="Calibri" w:eastAsia="Calibri" w:hAnsi="Calibri" w:cs="Calibri"/>
          <w:color w:val="auto"/>
          <w:sz w:val="12"/>
          <w:szCs w:val="12"/>
        </w:rPr>
        <w:t>pre-trial proceedings under the federal mult-district litgaton (MDL) Rules as In re: Niaspan Anttrust Litgaton, MDL No. 2460. In October 2016, the Orange County, California District Atorney’s Ofce fled a lawsuit on behalf of the State of California regarding the Niaspan patent litgaton setlement in Orange County Superior Court, assertng a claim under the unfair competton provision of the California Business and Professions Code seeking injunctve relief, resttuton, civil penaltes and atorneys’ fees.</w:t>
      </w:r>
    </w:p>
    <w:p>
      <w:pPr>
        <w:spacing w:after="0" w:line="85" w:lineRule="exact"/>
        <w:rPr>
          <w:color w:val="auto"/>
          <w:sz w:val="20"/>
          <w:szCs w:val="20"/>
        </w:rPr>
      </w:pPr>
    </w:p>
    <w:p>
      <w:pPr>
        <w:spacing w:after="0" w:line="239" w:lineRule="auto"/>
        <w:ind w:right="20" w:firstLine="297"/>
        <w:jc w:val="both"/>
        <w:rPr>
          <w:color w:val="auto"/>
          <w:sz w:val="20"/>
          <w:szCs w:val="20"/>
        </w:rPr>
      </w:pPr>
      <w:r>
        <w:rPr>
          <w:rFonts w:ascii="Calibri" w:eastAsia="Calibri" w:hAnsi="Calibri" w:cs="Calibri"/>
          <w:color w:val="auto"/>
          <w:sz w:val="12"/>
          <w:szCs w:val="12"/>
        </w:rPr>
        <w:t>In November 2022, the State of Oregon fled a lawsuit in the Multnomah County, Oregon Circuit Court, alleging that 2011 patent litgaton by Abbot with a generic company regarding AndroGel was sham litgaton and the setlement of that litgaton violated state anttrust law. Oregon also brought a claim under the Oregon False Claims Act, which the court dismissed on October 31, 2024. In November 2024, the partes reached an agreement in principle to resolve this lawsuit.</w:t>
      </w:r>
    </w:p>
    <w:p>
      <w:pPr>
        <w:spacing w:after="0" w:line="161"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Government Proceedings</w:t>
      </w:r>
    </w:p>
    <w:p>
      <w:pPr>
        <w:spacing w:after="0" w:line="74" w:lineRule="exact"/>
        <w:rPr>
          <w:color w:val="auto"/>
          <w:sz w:val="20"/>
          <w:szCs w:val="20"/>
        </w:rPr>
      </w:pPr>
    </w:p>
    <w:p>
      <w:pPr>
        <w:spacing w:after="0" w:line="235" w:lineRule="auto"/>
        <w:ind w:right="80" w:firstLine="297"/>
        <w:rPr>
          <w:color w:val="auto"/>
          <w:sz w:val="20"/>
          <w:szCs w:val="20"/>
        </w:rPr>
      </w:pPr>
      <w:r>
        <w:rPr>
          <w:rFonts w:ascii="Calibri" w:eastAsia="Calibri" w:hAnsi="Calibri" w:cs="Calibri"/>
          <w:color w:val="auto"/>
          <w:sz w:val="12"/>
          <w:szCs w:val="12"/>
        </w:rPr>
        <w:t>Lawsuits are pending against Allergan and several other manufacturers generally alleging that they improperly promoted and sold prescripton opioid products. Approximately 435 lawsuits are pending against Allergan in federal and state courts. Most of the federal court lawsuits are consolidated for pre-trial purposes in the United States District Court for the Northern District of Ohio under the MDL rules as In re: Natonal Prescripton Opiate Litgaton, MDL No. 2804. Approximately 35 of the lawsuits are pending in various state courts. The plaintfs in these lawsuits, which include states, countes, cites, other municipal enttes, Natve American tribes, union trust funds and other third-party payors, private hospitals and personal injury claimants, generally seek compensatory and punitve damages. Of these approximately 435 lawsuits, approximately 25 of them are brought by states, countes, cites, and other municipal enttes, approximately 5 of which are in the process of being dismissed pursuant to the previously announced setlement. Another approximately 45 of the approximately 435 lawsuits are covered by a proposed class setlement between Allergan and a class of acute care hospitals, which is subject to court approval and other contngencies.</w:t>
      </w:r>
    </w:p>
    <w:p>
      <w:pPr>
        <w:spacing w:after="0" w:line="102"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In March 2023, AbbVie Inc. fled a petton in the United States Tax Court, AbbVie Inc. and Subsidiaries v. Commissioner of Internal Revenue. The petton disputes the Internal Revenue Service determinaton concerning a $572 million income tax beneft recorded in 2014 related to a payment made to a third party for the terminaton of a proposed business combinaton.</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Shareholder and Securites Litgaton</w:t>
      </w:r>
    </w:p>
    <w:p>
      <w:pPr>
        <w:spacing w:after="0" w:line="92"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In October 2018, a federal securites lawsuit, Holwill v. AbbVie Inc., et al., was fled in the United States District Court for the Northern District of Illinois against AbbVie, its chief executve ofcer and former chief fnancial ofcer, alleging that reasons stated for Humira sales growth in fnancial flings between 2013 and 2018 were misleading because they omited alleged misconduct in connecton with Humira patent and reimbursement support services and other services and items of value that allegedly induced Humira prescriptons. In September 2021, the court granted plaintfs' moton to certfy a class.</w:t>
      </w:r>
    </w:p>
    <w:p>
      <w:pPr>
        <w:spacing w:after="0" w:line="94" w:lineRule="exact"/>
        <w:rPr>
          <w:color w:val="auto"/>
          <w:sz w:val="20"/>
          <w:szCs w:val="20"/>
        </w:rPr>
      </w:pPr>
    </w:p>
    <w:p>
      <w:pPr>
        <w:spacing w:after="0" w:line="224" w:lineRule="auto"/>
        <w:ind w:right="40" w:firstLine="297"/>
        <w:rPr>
          <w:color w:val="auto"/>
          <w:sz w:val="20"/>
          <w:szCs w:val="20"/>
        </w:rPr>
      </w:pPr>
      <w:r>
        <w:rPr>
          <w:rFonts w:ascii="Calibri" w:eastAsia="Calibri" w:hAnsi="Calibri" w:cs="Calibri"/>
          <w:color w:val="auto"/>
          <w:sz w:val="12"/>
          <w:szCs w:val="12"/>
        </w:rPr>
        <w:t>In May and July 2022, two shareholder derivatve lawsuits, Treppel Family Trust v. Gonzalez et al., and Katcher v. Gonzalez, et al., were fled in the United States District Court for the Northern District of Illinois, alleging that certain AbbVie directors and ofcers breached fduciary and other legal dutes in making or allowing alleged misstatements regarding the potental efect that safety informaton about another company’s product would have on the Food and Drug Administraton’s approval and labeling for AbbVie’s Rinvoq. In October 2024, the court granted defendants’ moton to dismiss without prejudice. In November 2024, the dismissal was converted to one with prejudice.</w:t>
      </w:r>
    </w:p>
    <w:p>
      <w:pPr>
        <w:spacing w:after="0" w:line="161"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Product Liability and General Litgaton</w:t>
      </w:r>
    </w:p>
    <w:p>
      <w:pPr>
        <w:spacing w:after="0" w:line="92" w:lineRule="exact"/>
        <w:rPr>
          <w:color w:val="auto"/>
          <w:sz w:val="20"/>
          <w:szCs w:val="20"/>
        </w:rPr>
      </w:pPr>
    </w:p>
    <w:p>
      <w:pPr>
        <w:spacing w:after="0" w:line="234" w:lineRule="auto"/>
        <w:ind w:right="20" w:firstLine="297"/>
        <w:rPr>
          <w:color w:val="auto"/>
          <w:sz w:val="20"/>
          <w:szCs w:val="20"/>
        </w:rPr>
      </w:pPr>
      <w:r>
        <w:rPr>
          <w:rFonts w:ascii="Calibri" w:eastAsia="Calibri" w:hAnsi="Calibri" w:cs="Calibri"/>
          <w:color w:val="auto"/>
          <w:sz w:val="12"/>
          <w:szCs w:val="12"/>
        </w:rPr>
        <w:t>In April 2023, a putatve class acton lawsuit, Camargo v. AbbVie Inc., was fled in the United States District Court for the Northern District of Illinois on behalf of Humira patents who paid for Humira based on its list price or who, afer losing insurance coverage, discontnued Humira because they could not pay based on its list price, alleging that Humira’s list price is excessive in violaton of multple states’ unfair and deceptve trade practces statutes. The plaintf generally seeks monetary damages, injunctve relief, and atorneys’ fees.</w:t>
      </w:r>
    </w:p>
    <w:p>
      <w:pPr>
        <w:spacing w:after="0" w:line="103" w:lineRule="exact"/>
        <w:rPr>
          <w:color w:val="auto"/>
          <w:sz w:val="20"/>
          <w:szCs w:val="20"/>
        </w:rPr>
      </w:pPr>
    </w:p>
    <w:p>
      <w:pPr>
        <w:spacing w:after="0" w:line="235" w:lineRule="auto"/>
        <w:ind w:right="160" w:firstLine="297"/>
        <w:rPr>
          <w:color w:val="auto"/>
          <w:sz w:val="20"/>
          <w:szCs w:val="20"/>
        </w:rPr>
      </w:pPr>
      <w:r>
        <w:rPr>
          <w:rFonts w:ascii="Calibri" w:eastAsia="Calibri" w:hAnsi="Calibri" w:cs="Calibri"/>
          <w:color w:val="auto"/>
          <w:sz w:val="12"/>
          <w:szCs w:val="12"/>
        </w:rPr>
        <w:t>In 2018, a qui tam lawsuit, U.S. ex rel. Silbersher v. Allergan Inc., et al., was fled in the United States District Court for the Northern District of California against several Allergan enttes and others, alleging that their conduct before the U.S. Patent Ofce resulted in false claims for payment being made to federal and state healthcare payors for Namenda XR and Namzaric. The plaintf-relator sought damages and atorneys' fees under the federal False Claims Act and state law analogues. The federal government and state governments declined to intervene in the lawsuit. In March 2023, the court granted Allergan’s moton to dismiss, dismissing plaintf-relator’s federal law claims with prejudice and state law claims without prejudice. The plaintf-relator is appealing the court’s moton to dismiss ruling.</w:t>
      </w:r>
    </w:p>
    <w:p>
      <w:pPr>
        <w:spacing w:after="0" w:line="101" w:lineRule="exact"/>
        <w:rPr>
          <w:color w:val="auto"/>
          <w:sz w:val="20"/>
          <w:szCs w:val="20"/>
        </w:rPr>
      </w:pPr>
    </w:p>
    <w:p>
      <w:pPr>
        <w:spacing w:after="0" w:line="234" w:lineRule="auto"/>
        <w:ind w:right="280" w:firstLine="297"/>
        <w:rPr>
          <w:color w:val="auto"/>
          <w:sz w:val="20"/>
          <w:szCs w:val="20"/>
        </w:rPr>
      </w:pPr>
      <w:r>
        <w:rPr>
          <w:rFonts w:ascii="Calibri" w:eastAsia="Calibri" w:hAnsi="Calibri" w:cs="Calibri"/>
          <w:color w:val="auto"/>
          <w:sz w:val="12"/>
          <w:szCs w:val="12"/>
        </w:rPr>
        <w:t>Lawsuits are pending against various Allergan enttes in the United States and other countries including Brazil, Canada, South Korea, and the Netherlands, in which plaintfs generally allege that they developed, or may develop, breast implant-</w:t>
      </w:r>
    </w:p>
    <w:p>
      <w:pPr>
        <w:spacing w:after="0" w:line="20" w:lineRule="exact"/>
        <w:rPr>
          <w:color w:val="auto"/>
          <w:sz w:val="20"/>
          <w:szCs w:val="20"/>
        </w:rPr>
      </w:pPr>
      <w:r>
        <w:rPr>
          <w:color w:val="auto"/>
          <w:sz w:val="20"/>
          <w:szCs w:val="20"/>
        </w:rPr>
        <w:drawing>
          <wp:anchor simplePos="0" relativeHeight="251901952" behindDoc="1" locked="0" layoutInCell="0" allowOverlap="1">
            <wp:simplePos x="0" y="0"/>
            <wp:positionH relativeFrom="column">
              <wp:posOffset>6475730</wp:posOffset>
            </wp:positionH>
            <wp:positionV relativeFrom="paragraph">
              <wp:posOffset>187960</wp:posOffset>
            </wp:positionV>
            <wp:extent cx="400050" cy="74295"/>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1"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96</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902976" behindDoc="1" locked="0" layoutInCell="0" allowOverlap="1">
            <wp:simplePos x="0" y="0"/>
            <wp:positionH relativeFrom="column">
              <wp:posOffset>7154545</wp:posOffset>
            </wp:positionH>
            <wp:positionV relativeFrom="paragraph">
              <wp:posOffset>-23495</wp:posOffset>
            </wp:positionV>
            <wp:extent cx="31115" cy="3683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04000" behindDoc="1" locked="0" layoutInCell="0" allowOverlap="1">
            <wp:simplePos x="0" y="0"/>
            <wp:positionH relativeFrom="column">
              <wp:posOffset>-17145</wp:posOffset>
            </wp:positionH>
            <wp:positionV relativeFrom="paragraph">
              <wp:posOffset>-23495</wp:posOffset>
            </wp:positionV>
            <wp:extent cx="31115" cy="3683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98" w:name="page99"/>
    <w:bookmarkEnd w:id="98"/>
    <w:p>
      <w:pPr>
        <w:spacing w:after="0" w:line="235" w:lineRule="auto"/>
        <w:ind w:right="40"/>
        <w:rPr>
          <w:color w:val="auto"/>
          <w:sz w:val="20"/>
          <w:szCs w:val="20"/>
        </w:rPr>
      </w:pPr>
      <w:r>
        <w:rPr>
          <w:rFonts w:ascii="Calibri" w:eastAsia="Calibri" w:hAnsi="Calibri" w:cs="Calibri"/>
          <w:color w:val="auto"/>
          <w:sz w:val="12"/>
          <w:szCs w:val="12"/>
        </w:rPr>
        <w:t>associated anaplastc large cell lymphoma (ALCL) or other injuries from Allergan’s Biocell® textured breast implants, which were voluntarily withdrawn from worldwide markets in 2019. Approximately 135 ALCL lawsuits and 1,100 other lawsuits are coordinated for pre-trial purposes in the United States District Court for the District of New Jersey under the MDL rules as In re: Allergan Biocell Textured Breast Implant Product Liability Litgaton, MDL No. 2921. Approximately 75 ALCL lawsuits and 460 other lawsuits are pending in various state courts. Approximately 60 ALCL and 1,000 other lawsuits are pending in other countries. Plaintfs generally seek monetary damages, medical monitoring, and atorneys’ fees.</w:t>
      </w:r>
    </w:p>
    <w:p>
      <w:pPr>
        <w:spacing w:after="0" w:line="101" w:lineRule="exact"/>
        <w:rPr>
          <w:color w:val="auto"/>
          <w:sz w:val="20"/>
          <w:szCs w:val="20"/>
        </w:rPr>
      </w:pPr>
    </w:p>
    <w:p>
      <w:pPr>
        <w:spacing w:after="0" w:line="234" w:lineRule="auto"/>
        <w:ind w:right="60" w:firstLine="297"/>
        <w:rPr>
          <w:color w:val="auto"/>
          <w:sz w:val="20"/>
          <w:szCs w:val="20"/>
        </w:rPr>
      </w:pPr>
      <w:r>
        <w:rPr>
          <w:rFonts w:ascii="Calibri" w:eastAsia="Calibri" w:hAnsi="Calibri" w:cs="Calibri"/>
          <w:color w:val="auto"/>
          <w:sz w:val="12"/>
          <w:szCs w:val="12"/>
        </w:rPr>
        <w:t>In January 2025, a putatve class acton lawsuit, Sheet Metal Workers’ Health Plan of Southern California, Arizona, and Nevada v. AbbVie Inc., was fled in the United States District Court for the Northern District of Illinois on behalf of third-party payors of Humira, alleging that AbbVie’s rebatng practces are impairing biosimilar competton with Humira in violaton of federal and state anttrust laws. The plaintf generally seeks monetary damages, injunctve relief and atorneys' fees.</w:t>
      </w:r>
    </w:p>
    <w:p>
      <w:pPr>
        <w:spacing w:after="0" w:line="89" w:lineRule="exact"/>
        <w:rPr>
          <w:color w:val="auto"/>
          <w:sz w:val="20"/>
          <w:szCs w:val="20"/>
        </w:rPr>
      </w:pPr>
    </w:p>
    <w:p>
      <w:pPr>
        <w:spacing w:after="0"/>
        <w:rPr>
          <w:color w:val="auto"/>
          <w:sz w:val="20"/>
          <w:szCs w:val="20"/>
        </w:rPr>
      </w:pPr>
      <w:r>
        <w:rPr>
          <w:rFonts w:ascii="Calibri" w:eastAsia="Calibri" w:hAnsi="Calibri" w:cs="Calibri"/>
          <w:b/>
          <w:bCs/>
          <w:color w:val="444867"/>
          <w:sz w:val="12"/>
          <w:szCs w:val="12"/>
        </w:rPr>
        <w:t>Intellectual Property Litgaton</w:t>
      </w:r>
    </w:p>
    <w:p>
      <w:pPr>
        <w:spacing w:after="0" w:line="101" w:lineRule="exact"/>
        <w:rPr>
          <w:color w:val="auto"/>
          <w:sz w:val="20"/>
          <w:szCs w:val="20"/>
        </w:rPr>
      </w:pPr>
    </w:p>
    <w:p>
      <w:pPr>
        <w:spacing w:after="0" w:line="234" w:lineRule="auto"/>
        <w:ind w:right="240" w:firstLine="297"/>
        <w:jc w:val="both"/>
        <w:rPr>
          <w:color w:val="auto"/>
          <w:sz w:val="20"/>
          <w:szCs w:val="20"/>
        </w:rPr>
      </w:pPr>
      <w:r>
        <w:rPr>
          <w:rFonts w:ascii="Calibri" w:eastAsia="Calibri" w:hAnsi="Calibri" w:cs="Calibri"/>
          <w:color w:val="auto"/>
          <w:sz w:val="12"/>
          <w:szCs w:val="12"/>
        </w:rPr>
        <w:t>AbbVie Inc. is seeking to enforce patent rights relatng to upadacitnib (a drug sold under the trademark Rinvoq). Litgaton was fled in the United States District Court for the District of Delaware in November 2023 against Hetero USA, Inc., Hetero Labs Limited, Hetero Labs Limited Unit-V, Aurobindo Pharma USA, Inc., Aurobindo Pharma Ltd., Sandoz, Inc., Sandoz Private Limited, Sandoz GMBH, and Sun Pharmaceutcal Industries, Ltd. AbbVie alleges defendants’ proposed generic upadacitnib products infringe certain patents and seeks declaratory and injunctve relief.</w:t>
      </w:r>
    </w:p>
    <w:p>
      <w:pPr>
        <w:spacing w:after="0" w:line="103" w:lineRule="exact"/>
        <w:rPr>
          <w:color w:val="auto"/>
          <w:sz w:val="20"/>
          <w:szCs w:val="20"/>
        </w:rPr>
      </w:pPr>
    </w:p>
    <w:p>
      <w:pPr>
        <w:spacing w:after="0" w:line="235" w:lineRule="auto"/>
        <w:ind w:firstLine="297"/>
        <w:rPr>
          <w:color w:val="auto"/>
          <w:sz w:val="20"/>
          <w:szCs w:val="20"/>
        </w:rPr>
      </w:pPr>
      <w:r>
        <w:rPr>
          <w:rFonts w:ascii="Calibri" w:eastAsia="Calibri" w:hAnsi="Calibri" w:cs="Calibri"/>
          <w:color w:val="auto"/>
          <w:sz w:val="12"/>
          <w:szCs w:val="12"/>
        </w:rPr>
        <w:t>AbbVie Inc. is seeking to enforce patent rights related to ubrogepant (a drug sold under the trademark Ubrelvy). Litgaton was fled in the United States District Court for the District of New Jersey in March 2024 against Aurobindo Pharma U.S.A., Inc., Aurobindo Pharma Limited, and Apitoria Pharma Private Limited; Zydus Pharmaceutcals (USA) Inc. and Zydus Lifesciences Limited; MSN Pharmaceutcals Inc., MSN Laboratories Private Limited, and MSN Life Sciences Private Limited; and Hetero USA Inc., Hetero Labs Limited Unit-III, and Hetero Labs Limited. AbbVie alleges defendants’ proposed generic ubrogepant products infringe certain patents and seeks declaratory and injunctve relief. Merck Sharp &amp; Dohme LLC, which exclusively licenses certain patents to AbbVie, is a co-plaintf in the litgaton.</w:t>
      </w:r>
    </w:p>
    <w:p>
      <w:pPr>
        <w:spacing w:after="0" w:line="14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16 Segment and Geographic Area Informaton</w:t>
      </w:r>
    </w:p>
    <w:p>
      <w:pPr>
        <w:spacing w:after="0" w:line="20" w:lineRule="exact"/>
        <w:rPr>
          <w:color w:val="auto"/>
          <w:sz w:val="20"/>
          <w:szCs w:val="20"/>
        </w:rPr>
      </w:pPr>
      <w:r>
        <w:rPr>
          <w:color w:val="auto"/>
          <w:sz w:val="20"/>
          <w:szCs w:val="20"/>
        </w:rPr>
        <w:drawing>
          <wp:anchor simplePos="0" relativeHeight="251905024" behindDoc="1" locked="0" layoutInCell="0" allowOverlap="1">
            <wp:simplePos x="0" y="0"/>
            <wp:positionH relativeFrom="column">
              <wp:posOffset>-4445</wp:posOffset>
            </wp:positionH>
            <wp:positionV relativeFrom="paragraph">
              <wp:posOffset>24130</wp:posOffset>
            </wp:positionV>
            <wp:extent cx="7166610" cy="571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29" w:lineRule="exact"/>
        <w:rPr>
          <w:color w:val="auto"/>
          <w:sz w:val="20"/>
          <w:szCs w:val="20"/>
        </w:rPr>
      </w:pPr>
    </w:p>
    <w:p>
      <w:pPr>
        <w:spacing w:after="0" w:line="235" w:lineRule="auto"/>
        <w:ind w:right="100" w:firstLine="297"/>
        <w:rPr>
          <w:color w:val="auto"/>
          <w:sz w:val="20"/>
          <w:szCs w:val="20"/>
        </w:rPr>
      </w:pPr>
      <w:r>
        <w:rPr>
          <w:rFonts w:ascii="Calibri" w:eastAsia="Calibri" w:hAnsi="Calibri" w:cs="Calibri"/>
          <w:color w:val="auto"/>
          <w:sz w:val="12"/>
          <w:szCs w:val="12"/>
        </w:rPr>
        <w:t>AbbVie operates as a single global business segment dedicated to the research and development, manufacturing, commercializaton and sale of innovatve medicines and therapies. This operatng structure enables the Chief Executve Ofcer, as Chief Operatng Decision Maker (CODM), to allocate resources and assess business performance on a global basis in order to achieve established long-term strategic goals. Consistent with this structure, a global research and development and supply chain organizaton is responsible for the discovery, manufacturing and supply of products. Commercial eforts that coordinate the marketng, sales and distributon of these products are organized by geographic region or therapeutc area. All of these actvites are supported by a global corporate administratve staf. The determinaton of a single business segment is consistent with the consolidated fnancial informaton regularly reviewed by the CODM for purposes of assessing performance, allocatng resources and planning and forecastng future periods.</w:t>
      </w:r>
    </w:p>
    <w:p>
      <w:pPr>
        <w:spacing w:after="0" w:line="102" w:lineRule="exact"/>
        <w:rPr>
          <w:color w:val="auto"/>
          <w:sz w:val="20"/>
          <w:szCs w:val="20"/>
        </w:rPr>
      </w:pPr>
    </w:p>
    <w:p>
      <w:pPr>
        <w:spacing w:after="0" w:line="264" w:lineRule="auto"/>
        <w:ind w:right="120" w:firstLine="297"/>
        <w:jc w:val="both"/>
        <w:rPr>
          <w:color w:val="auto"/>
          <w:sz w:val="20"/>
          <w:szCs w:val="20"/>
        </w:rPr>
      </w:pPr>
      <w:r>
        <w:rPr>
          <w:rFonts w:ascii="Calibri" w:eastAsia="Calibri" w:hAnsi="Calibri" w:cs="Calibri"/>
          <w:color w:val="auto"/>
          <w:sz w:val="11"/>
          <w:szCs w:val="11"/>
        </w:rPr>
        <w:t>The CODM regularly reviews net revenues, net earnings and signifcant segment expenses and uses net earnings as its principal measure of segment proft or loss. Net earnings and signifcant segment expenses reviewed by CODM are reported on the Consolidated Statement of Earnings for the years ended December 31, 2024, 2023 and 2022. The CODM uses net earnings as its principal measure of segment proft or loss to compare past fnancial performance with current performance and analyze underlying business performance and trends. The CODM does not use segment assets to make decisions regarding resources; therefore, the total asset disclosure has not been included.</w:t>
      </w:r>
    </w:p>
    <w:p>
      <w:pPr>
        <w:spacing w:after="0" w:line="92"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97</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906048" behindDoc="1" locked="0" layoutInCell="0" allowOverlap="1">
            <wp:simplePos x="0" y="0"/>
            <wp:positionH relativeFrom="column">
              <wp:posOffset>-17145</wp:posOffset>
            </wp:positionH>
            <wp:positionV relativeFrom="paragraph">
              <wp:posOffset>133985</wp:posOffset>
            </wp:positionV>
            <wp:extent cx="7203440" cy="3683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907072" behindDoc="1" locked="0" layoutInCell="0" allowOverlap="1">
            <wp:simplePos x="0" y="0"/>
            <wp:positionH relativeFrom="column">
              <wp:posOffset>292100</wp:posOffset>
            </wp:positionH>
            <wp:positionV relativeFrom="paragraph">
              <wp:posOffset>-75565</wp:posOffset>
            </wp:positionV>
            <wp:extent cx="400050" cy="7429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665" w:right="299" w:bottom="1440" w:left="300" w:header="0" w:footer="0" w:gutter="0"/>
          <w:cols w:num="1" w:space="720" w:equalWidth="0">
            <w:col w:w="11300" w:space="0"/>
          </w:cols>
        </w:sectPr>
      </w:pPr>
    </w:p>
    <w:bookmarkStart w:id="99" w:name="page100"/>
    <w:bookmarkEnd w:id="99"/>
    <w:p>
      <w:pPr>
        <w:spacing w:after="0" w:line="234" w:lineRule="auto"/>
        <w:ind w:right="180" w:firstLine="297"/>
        <w:rPr>
          <w:color w:val="auto"/>
          <w:sz w:val="20"/>
          <w:szCs w:val="20"/>
        </w:rPr>
      </w:pPr>
      <w:r>
        <w:rPr>
          <w:rFonts w:ascii="Calibri" w:eastAsia="Calibri" w:hAnsi="Calibri" w:cs="Calibri"/>
          <w:color w:val="auto"/>
          <w:sz w:val="12"/>
          <w:szCs w:val="12"/>
        </w:rPr>
        <w:t>Substantally all of AbbVie's pharmaceutcal product net revenues in the United States are to three wholesalers. Outside the United States, products are sold primarily to health care providers or through distributors, depending on the market served. The following tables detail AbbVie's worldwide net revenues:</w:t>
      </w:r>
    </w:p>
    <w:p>
      <w:pPr>
        <w:spacing w:after="0" w:line="106" w:lineRule="exact"/>
        <w:rPr>
          <w:color w:val="auto"/>
          <w:sz w:val="20"/>
          <w:szCs w:val="20"/>
        </w:rPr>
      </w:pPr>
    </w:p>
    <w:tbl>
      <w:tblPr>
        <w:tblInd w:w="0" w:type="dxa"/>
        <w:tblLayout w:type="fixed"/>
        <w:tblCellMar>
          <w:top w:w="0" w:type="dxa"/>
          <w:left w:w="0" w:type="dxa"/>
          <w:bottom w:w="0" w:type="dxa"/>
          <w:right w:w="0" w:type="dxa"/>
        </w:tblCellMar>
      </w:tblPr>
      <w:tblGrid>
        <w:gridCol w:w="2140"/>
        <w:gridCol w:w="3160"/>
        <w:gridCol w:w="1840"/>
        <w:gridCol w:w="1120"/>
        <w:gridCol w:w="400"/>
        <w:gridCol w:w="1120"/>
        <w:gridCol w:w="420"/>
        <w:gridCol w:w="1100"/>
      </w:tblGrid>
      <w:tr>
        <w:tblPrEx>
          <w:tblInd w:w="0" w:type="dxa"/>
          <w:tblLayout w:type="fixed"/>
        </w:tblPrEx>
        <w:trPr>
          <w:trHeight w:val="122"/>
        </w:trPr>
        <w:tc>
          <w:tcPr>
            <w:tcW w:w="214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3160" w:type="dxa"/>
            <w:vAlign w:val="bottom"/>
          </w:tcPr>
          <w:p>
            <w:pPr>
              <w:spacing w:after="0"/>
              <w:rPr>
                <w:color w:val="auto"/>
                <w:sz w:val="10"/>
                <w:szCs w:val="10"/>
              </w:rPr>
            </w:pPr>
          </w:p>
        </w:tc>
        <w:tc>
          <w:tcPr>
            <w:tcW w:w="1840" w:type="dxa"/>
            <w:vAlign w:val="bottom"/>
          </w:tcPr>
          <w:p>
            <w:pPr>
              <w:spacing w:after="0"/>
              <w:rPr>
                <w:color w:val="auto"/>
                <w:sz w:val="10"/>
                <w:szCs w:val="10"/>
              </w:rPr>
            </w:pPr>
          </w:p>
        </w:tc>
        <w:tc>
          <w:tcPr>
            <w:tcW w:w="1120" w:type="dxa"/>
            <w:vAlign w:val="bottom"/>
          </w:tcPr>
          <w:p>
            <w:pPr>
              <w:spacing w:after="0"/>
              <w:ind w:right="586"/>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120" w:type="dxa"/>
            <w:vAlign w:val="bottom"/>
          </w:tcPr>
          <w:p>
            <w:pPr>
              <w:spacing w:after="0"/>
              <w:ind w:right="586"/>
              <w:jc w:val="right"/>
              <w:rPr>
                <w:color w:val="auto"/>
                <w:sz w:val="20"/>
                <w:szCs w:val="20"/>
              </w:rPr>
            </w:pPr>
            <w:r>
              <w:rPr>
                <w:rFonts w:ascii="Calibri" w:eastAsia="Calibri" w:hAnsi="Calibri" w:cs="Calibri"/>
                <w:b/>
                <w:bCs/>
                <w:color w:val="auto"/>
                <w:sz w:val="10"/>
                <w:szCs w:val="10"/>
              </w:rPr>
              <w:t>2023</w:t>
            </w:r>
          </w:p>
        </w:tc>
        <w:tc>
          <w:tcPr>
            <w:tcW w:w="420" w:type="dxa"/>
            <w:vAlign w:val="bottom"/>
          </w:tcPr>
          <w:p>
            <w:pPr>
              <w:spacing w:after="0"/>
              <w:rPr>
                <w:color w:val="auto"/>
                <w:sz w:val="10"/>
                <w:szCs w:val="10"/>
              </w:rPr>
            </w:pPr>
          </w:p>
        </w:tc>
        <w:tc>
          <w:tcPr>
            <w:tcW w:w="1100" w:type="dxa"/>
            <w:vAlign w:val="bottom"/>
          </w:tcPr>
          <w:p>
            <w:pPr>
              <w:spacing w:after="0"/>
              <w:ind w:right="586"/>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2140" w:type="dxa"/>
            <w:tcBorders>
              <w:bottom w:val="single" w:sz="8" w:space="0" w:color="auto"/>
            </w:tcBorders>
            <w:vAlign w:val="bottom"/>
          </w:tcPr>
          <w:p>
            <w:pPr>
              <w:spacing w:after="0"/>
              <w:rPr>
                <w:color w:val="auto"/>
                <w:sz w:val="2"/>
                <w:szCs w:val="2"/>
              </w:rPr>
            </w:pPr>
          </w:p>
        </w:tc>
        <w:tc>
          <w:tcPr>
            <w:tcW w:w="3160" w:type="dxa"/>
            <w:tcBorders>
              <w:bottom w:val="single" w:sz="8" w:space="0" w:color="auto"/>
            </w:tcBorders>
            <w:vAlign w:val="bottom"/>
          </w:tcPr>
          <w:p>
            <w:pPr>
              <w:spacing w:after="0"/>
              <w:rPr>
                <w:color w:val="auto"/>
                <w:sz w:val="2"/>
                <w:szCs w:val="2"/>
              </w:rPr>
            </w:pPr>
          </w:p>
        </w:tc>
        <w:tc>
          <w:tcPr>
            <w:tcW w:w="184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25"/>
        </w:trPr>
        <w:tc>
          <w:tcPr>
            <w:tcW w:w="2140" w:type="dxa"/>
            <w:vAlign w:val="bottom"/>
          </w:tcPr>
          <w:p>
            <w:pPr>
              <w:spacing w:after="0" w:line="125" w:lineRule="exact"/>
              <w:rPr>
                <w:color w:val="auto"/>
                <w:sz w:val="20"/>
                <w:szCs w:val="20"/>
              </w:rPr>
            </w:pPr>
            <w:r>
              <w:rPr>
                <w:rFonts w:ascii="Calibri" w:eastAsia="Calibri" w:hAnsi="Calibri" w:cs="Calibri"/>
                <w:b/>
                <w:bCs/>
                <w:color w:val="auto"/>
                <w:sz w:val="11"/>
                <w:szCs w:val="11"/>
              </w:rPr>
              <w:t>Immunology</w:t>
            </w:r>
          </w:p>
        </w:tc>
        <w:tc>
          <w:tcPr>
            <w:tcW w:w="3160" w:type="dxa"/>
            <w:vAlign w:val="bottom"/>
          </w:tcPr>
          <w:p>
            <w:pPr>
              <w:spacing w:after="0"/>
              <w:rPr>
                <w:color w:val="auto"/>
                <w:sz w:val="10"/>
                <w:szCs w:val="10"/>
              </w:rPr>
            </w:pPr>
          </w:p>
        </w:tc>
        <w:tc>
          <w:tcPr>
            <w:tcW w:w="184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400" w:type="dxa"/>
            <w:vAlign w:val="bottom"/>
          </w:tcPr>
          <w:p>
            <w:pPr>
              <w:spacing w:after="0"/>
              <w:rPr>
                <w:color w:val="auto"/>
                <w:sz w:val="10"/>
                <w:szCs w:val="10"/>
              </w:rPr>
            </w:pPr>
          </w:p>
        </w:tc>
        <w:tc>
          <w:tcPr>
            <w:tcW w:w="1120" w:type="dxa"/>
            <w:vAlign w:val="bottom"/>
          </w:tcPr>
          <w:p>
            <w:pPr>
              <w:spacing w:after="0"/>
              <w:rPr>
                <w:color w:val="auto"/>
                <w:sz w:val="10"/>
                <w:szCs w:val="10"/>
              </w:rPr>
            </w:pPr>
          </w:p>
        </w:tc>
        <w:tc>
          <w:tcPr>
            <w:tcW w:w="420" w:type="dxa"/>
            <w:vAlign w:val="bottom"/>
          </w:tcPr>
          <w:p>
            <w:pPr>
              <w:spacing w:after="0"/>
              <w:rPr>
                <w:color w:val="auto"/>
                <w:sz w:val="10"/>
                <w:szCs w:val="10"/>
              </w:rPr>
            </w:pPr>
          </w:p>
        </w:tc>
        <w:tc>
          <w:tcPr>
            <w:tcW w:w="1100" w:type="dxa"/>
            <w:vAlign w:val="bottom"/>
          </w:tcPr>
          <w:p>
            <w:pPr>
              <w:spacing w:after="0"/>
              <w:rPr>
                <w:color w:val="auto"/>
                <w:sz w:val="10"/>
                <w:szCs w:val="10"/>
              </w:rPr>
            </w:pPr>
          </w:p>
        </w:tc>
      </w:tr>
      <w:tr>
        <w:tblPrEx>
          <w:tblInd w:w="0" w:type="dxa"/>
          <w:tblLayout w:type="fixed"/>
        </w:tblPrEx>
        <w:trPr>
          <w:trHeight w:val="152"/>
        </w:trPr>
        <w:tc>
          <w:tcPr>
            <w:tcW w:w="2140" w:type="dxa"/>
            <w:shd w:val="clear" w:color="auto" w:fill="CCEEFF"/>
            <w:vAlign w:val="bottom"/>
          </w:tcPr>
          <w:p>
            <w:pPr>
              <w:spacing w:after="0"/>
              <w:rPr>
                <w:color w:val="auto"/>
                <w:sz w:val="20"/>
                <w:szCs w:val="20"/>
              </w:rPr>
            </w:pPr>
            <w:r>
              <w:rPr>
                <w:rFonts w:ascii="Calibri" w:eastAsia="Calibri" w:hAnsi="Calibri" w:cs="Calibri"/>
                <w:color w:val="auto"/>
                <w:sz w:val="11"/>
                <w:szCs w:val="11"/>
              </w:rPr>
              <w:t>Humira</w:t>
            </w:r>
          </w:p>
        </w:tc>
        <w:tc>
          <w:tcPr>
            <w:tcW w:w="3160" w:type="dxa"/>
            <w:shd w:val="clear" w:color="auto" w:fill="CCEEFF"/>
            <w:vAlign w:val="bottom"/>
          </w:tcPr>
          <w:p>
            <w:pPr>
              <w:spacing w:after="0"/>
              <w:ind w:left="620"/>
              <w:rPr>
                <w:color w:val="auto"/>
                <w:sz w:val="20"/>
                <w:szCs w:val="20"/>
              </w:rPr>
            </w:pPr>
            <w:r>
              <w:rPr>
                <w:rFonts w:ascii="Calibri" w:eastAsia="Calibri" w:hAnsi="Calibri" w:cs="Calibri"/>
                <w:color w:val="auto"/>
                <w:sz w:val="11"/>
                <w:szCs w:val="11"/>
              </w:rPr>
              <w:t>United States</w:t>
            </w:r>
          </w:p>
        </w:tc>
        <w:tc>
          <w:tcPr>
            <w:tcW w:w="1840" w:type="dxa"/>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7,142</w:t>
            </w:r>
          </w:p>
        </w:tc>
        <w:tc>
          <w:tcPr>
            <w:tcW w:w="400" w:type="dxa"/>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12,160</w:t>
            </w:r>
          </w:p>
        </w:tc>
        <w:tc>
          <w:tcPr>
            <w:tcW w:w="420" w:type="dxa"/>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18,619</w:t>
            </w:r>
          </w:p>
        </w:tc>
      </w:tr>
      <w:tr>
        <w:tblPrEx>
          <w:tblInd w:w="0" w:type="dxa"/>
          <w:tblLayout w:type="fixed"/>
        </w:tblPrEx>
        <w:trPr>
          <w:trHeight w:val="135"/>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1,851</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2,244</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2,618</w:t>
            </w:r>
          </w:p>
        </w:tc>
      </w:tr>
      <w:tr>
        <w:tblPrEx>
          <w:tblInd w:w="0" w:type="dxa"/>
          <w:tblLayout w:type="fixed"/>
        </w:tblPrEx>
        <w:trPr>
          <w:trHeight w:val="133"/>
        </w:trPr>
        <w:tc>
          <w:tcPr>
            <w:tcW w:w="2140" w:type="dxa"/>
            <w:tcBorders>
              <w:bottom w:val="single" w:sz="8" w:space="0" w:color="auto"/>
            </w:tcBorders>
            <w:shd w:val="clear" w:color="auto" w:fill="CCEEFF"/>
            <w:vAlign w:val="bottom"/>
          </w:tcPr>
          <w:p>
            <w:pPr>
              <w:spacing w:after="0"/>
              <w:rPr>
                <w:color w:val="auto"/>
                <w:sz w:val="11"/>
                <w:szCs w:val="11"/>
              </w:rPr>
            </w:pPr>
          </w:p>
        </w:tc>
        <w:tc>
          <w:tcPr>
            <w:tcW w:w="3160" w:type="dxa"/>
            <w:tcBorders>
              <w:bottom w:val="single" w:sz="8" w:space="0" w:color="auto"/>
            </w:tcBorders>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8,993</w:t>
            </w:r>
          </w:p>
        </w:tc>
        <w:tc>
          <w:tcPr>
            <w:tcW w:w="40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14,404</w:t>
            </w:r>
          </w:p>
        </w:tc>
        <w:tc>
          <w:tcPr>
            <w:tcW w:w="420" w:type="dxa"/>
            <w:tcBorders>
              <w:bottom w:val="single" w:sz="8" w:space="0" w:color="auto"/>
            </w:tcBorders>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21,237</w:t>
            </w:r>
          </w:p>
        </w:tc>
      </w:tr>
      <w:tr>
        <w:tblPrEx>
          <w:tblInd w:w="0" w:type="dxa"/>
          <w:tblLayout w:type="fixed"/>
        </w:tblPrEx>
        <w:trPr>
          <w:trHeight w:val="133"/>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Skyrizi</w:t>
            </w:r>
          </w:p>
        </w:tc>
        <w:tc>
          <w:tcPr>
            <w:tcW w:w="316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10,086</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6,753</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4,484</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316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1,632</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1,010</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681</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11,718</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7,763</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5,165</w:t>
            </w:r>
          </w:p>
        </w:tc>
      </w:tr>
      <w:tr>
        <w:tblPrEx>
          <w:tblInd w:w="0" w:type="dxa"/>
          <w:tblLayout w:type="fixed"/>
        </w:tblPrEx>
        <w:trPr>
          <w:trHeight w:val="142"/>
        </w:trPr>
        <w:tc>
          <w:tcPr>
            <w:tcW w:w="2140" w:type="dxa"/>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Rinvoq</w:t>
            </w:r>
          </w:p>
        </w:tc>
        <w:tc>
          <w:tcPr>
            <w:tcW w:w="316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4,259</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2,824</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1,794</w:t>
            </w:r>
          </w:p>
        </w:tc>
      </w:tr>
      <w:tr>
        <w:tblPrEx>
          <w:tblInd w:w="0" w:type="dxa"/>
          <w:tblLayout w:type="fixed"/>
        </w:tblPrEx>
        <w:trPr>
          <w:trHeight w:val="135"/>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1,712</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1,145</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728</w:t>
            </w:r>
          </w:p>
        </w:tc>
      </w:tr>
      <w:tr>
        <w:tblPrEx>
          <w:tblInd w:w="0" w:type="dxa"/>
          <w:tblLayout w:type="fixed"/>
        </w:tblPrEx>
        <w:trPr>
          <w:trHeight w:val="133"/>
        </w:trPr>
        <w:tc>
          <w:tcPr>
            <w:tcW w:w="2140" w:type="dxa"/>
            <w:tcBorders>
              <w:bottom w:val="single" w:sz="8" w:space="0" w:color="auto"/>
            </w:tcBorders>
            <w:shd w:val="clear" w:color="auto" w:fill="CCEEFF"/>
            <w:vAlign w:val="bottom"/>
          </w:tcPr>
          <w:p>
            <w:pPr>
              <w:spacing w:after="0"/>
              <w:rPr>
                <w:color w:val="auto"/>
                <w:sz w:val="11"/>
                <w:szCs w:val="11"/>
              </w:rPr>
            </w:pPr>
          </w:p>
        </w:tc>
        <w:tc>
          <w:tcPr>
            <w:tcW w:w="3160" w:type="dxa"/>
            <w:tcBorders>
              <w:bottom w:val="single" w:sz="8" w:space="0" w:color="auto"/>
            </w:tcBorders>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5,971</w:t>
            </w:r>
          </w:p>
        </w:tc>
        <w:tc>
          <w:tcPr>
            <w:tcW w:w="40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3,969</w:t>
            </w:r>
          </w:p>
        </w:tc>
        <w:tc>
          <w:tcPr>
            <w:tcW w:w="420" w:type="dxa"/>
            <w:tcBorders>
              <w:bottom w:val="single" w:sz="8" w:space="0" w:color="auto"/>
            </w:tcBorders>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2,522</w:t>
            </w:r>
          </w:p>
        </w:tc>
      </w:tr>
      <w:tr>
        <w:tblPrEx>
          <w:tblInd w:w="0" w:type="dxa"/>
          <w:tblLayout w:type="fixed"/>
        </w:tblPrEx>
        <w:trPr>
          <w:trHeight w:val="133"/>
        </w:trPr>
        <w:tc>
          <w:tcPr>
            <w:tcW w:w="2140" w:type="dxa"/>
            <w:vAlign w:val="bottom"/>
          </w:tcPr>
          <w:p>
            <w:pPr>
              <w:spacing w:after="0" w:line="127" w:lineRule="exact"/>
              <w:rPr>
                <w:color w:val="auto"/>
                <w:sz w:val="20"/>
                <w:szCs w:val="20"/>
              </w:rPr>
            </w:pPr>
            <w:r>
              <w:rPr>
                <w:rFonts w:ascii="Calibri" w:eastAsia="Calibri" w:hAnsi="Calibri" w:cs="Calibri"/>
                <w:b/>
                <w:bCs/>
                <w:color w:val="auto"/>
                <w:sz w:val="11"/>
                <w:szCs w:val="11"/>
              </w:rPr>
              <w:t>Oncology</w:t>
            </w:r>
          </w:p>
        </w:tc>
        <w:tc>
          <w:tcPr>
            <w:tcW w:w="3160" w:type="dxa"/>
            <w:vAlign w:val="bottom"/>
          </w:tcPr>
          <w:p>
            <w:pPr>
              <w:spacing w:after="0"/>
              <w:rPr>
                <w:color w:val="auto"/>
                <w:sz w:val="11"/>
                <w:szCs w:val="11"/>
              </w:rPr>
            </w:pPr>
          </w:p>
        </w:tc>
        <w:tc>
          <w:tcPr>
            <w:tcW w:w="184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20" w:type="dxa"/>
            <w:vAlign w:val="bottom"/>
          </w:tcPr>
          <w:p>
            <w:pPr>
              <w:spacing w:after="0"/>
              <w:rPr>
                <w:color w:val="auto"/>
                <w:sz w:val="11"/>
                <w:szCs w:val="11"/>
              </w:rPr>
            </w:pPr>
          </w:p>
        </w:tc>
        <w:tc>
          <w:tcPr>
            <w:tcW w:w="1100" w:type="dxa"/>
            <w:vAlign w:val="bottom"/>
          </w:tcPr>
          <w:p>
            <w:pPr>
              <w:spacing w:after="0"/>
              <w:rPr>
                <w:color w:val="auto"/>
                <w:sz w:val="11"/>
                <w:szCs w:val="11"/>
              </w:rPr>
            </w:pPr>
          </w:p>
        </w:tc>
      </w:tr>
      <w:tr>
        <w:tblPrEx>
          <w:tblInd w:w="0" w:type="dxa"/>
          <w:tblLayout w:type="fixed"/>
        </w:tblPrEx>
        <w:trPr>
          <w:trHeight w:val="153"/>
        </w:trPr>
        <w:tc>
          <w:tcPr>
            <w:tcW w:w="2140" w:type="dxa"/>
            <w:shd w:val="clear" w:color="auto" w:fill="CCEEFF"/>
            <w:vAlign w:val="bottom"/>
          </w:tcPr>
          <w:p>
            <w:pPr>
              <w:spacing w:after="0"/>
              <w:rPr>
                <w:color w:val="auto"/>
                <w:sz w:val="20"/>
                <w:szCs w:val="20"/>
              </w:rPr>
            </w:pPr>
            <w:r>
              <w:rPr>
                <w:rFonts w:ascii="Calibri" w:eastAsia="Calibri" w:hAnsi="Calibri" w:cs="Calibri"/>
                <w:color w:val="auto"/>
                <w:sz w:val="11"/>
                <w:szCs w:val="11"/>
              </w:rPr>
              <w:t>Imbruvica</w:t>
            </w:r>
          </w:p>
        </w:tc>
        <w:tc>
          <w:tcPr>
            <w:tcW w:w="3160" w:type="dxa"/>
            <w:shd w:val="clear" w:color="auto" w:fill="CCEEFF"/>
            <w:vAlign w:val="bottom"/>
          </w:tcPr>
          <w:p>
            <w:pPr>
              <w:spacing w:after="0"/>
              <w:ind w:left="620"/>
              <w:rPr>
                <w:color w:val="auto"/>
                <w:sz w:val="20"/>
                <w:szCs w:val="20"/>
              </w:rPr>
            </w:pPr>
            <w:r>
              <w:rPr>
                <w:rFonts w:ascii="Calibri" w:eastAsia="Calibri" w:hAnsi="Calibri" w:cs="Calibri"/>
                <w:color w:val="auto"/>
                <w:sz w:val="11"/>
                <w:szCs w:val="11"/>
              </w:rPr>
              <w:t>United States</w:t>
            </w:r>
          </w:p>
        </w:tc>
        <w:tc>
          <w:tcPr>
            <w:tcW w:w="1840" w:type="dxa"/>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2,448</w:t>
            </w:r>
          </w:p>
        </w:tc>
        <w:tc>
          <w:tcPr>
            <w:tcW w:w="400" w:type="dxa"/>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2,665</w:t>
            </w:r>
          </w:p>
        </w:tc>
        <w:tc>
          <w:tcPr>
            <w:tcW w:w="420" w:type="dxa"/>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3,426</w:t>
            </w:r>
          </w:p>
        </w:tc>
      </w:tr>
      <w:tr>
        <w:tblPrEx>
          <w:tblInd w:w="0" w:type="dxa"/>
          <w:tblLayout w:type="fixed"/>
        </w:tblPrEx>
        <w:trPr>
          <w:trHeight w:val="136"/>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Collaboraton revenues</w:t>
            </w:r>
          </w:p>
        </w:tc>
        <w:tc>
          <w:tcPr>
            <w:tcW w:w="184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899</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931</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1,142</w:t>
            </w:r>
          </w:p>
        </w:tc>
      </w:tr>
      <w:tr>
        <w:tblPrEx>
          <w:tblInd w:w="0" w:type="dxa"/>
          <w:tblLayout w:type="fixed"/>
        </w:tblPrEx>
        <w:trPr>
          <w:trHeight w:val="133"/>
        </w:trPr>
        <w:tc>
          <w:tcPr>
            <w:tcW w:w="2140" w:type="dxa"/>
            <w:tcBorders>
              <w:bottom w:val="single" w:sz="8" w:space="0" w:color="auto"/>
            </w:tcBorders>
            <w:shd w:val="clear" w:color="auto" w:fill="CCEEFF"/>
            <w:vAlign w:val="bottom"/>
          </w:tcPr>
          <w:p>
            <w:pPr>
              <w:spacing w:after="0"/>
              <w:rPr>
                <w:color w:val="auto"/>
                <w:sz w:val="11"/>
                <w:szCs w:val="11"/>
              </w:rPr>
            </w:pPr>
          </w:p>
        </w:tc>
        <w:tc>
          <w:tcPr>
            <w:tcW w:w="3160" w:type="dxa"/>
            <w:tcBorders>
              <w:bottom w:val="single" w:sz="8" w:space="0" w:color="auto"/>
            </w:tcBorders>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3,347</w:t>
            </w:r>
          </w:p>
        </w:tc>
        <w:tc>
          <w:tcPr>
            <w:tcW w:w="40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3,596</w:t>
            </w:r>
          </w:p>
        </w:tc>
        <w:tc>
          <w:tcPr>
            <w:tcW w:w="420" w:type="dxa"/>
            <w:tcBorders>
              <w:bottom w:val="single" w:sz="8" w:space="0" w:color="auto"/>
            </w:tcBorders>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4,568</w:t>
            </w:r>
          </w:p>
        </w:tc>
      </w:tr>
      <w:tr>
        <w:tblPrEx>
          <w:tblInd w:w="0" w:type="dxa"/>
          <w:tblLayout w:type="fixed"/>
        </w:tblPrEx>
        <w:trPr>
          <w:trHeight w:val="133"/>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Venclexta</w:t>
            </w:r>
          </w:p>
        </w:tc>
        <w:tc>
          <w:tcPr>
            <w:tcW w:w="316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1,234</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1,087</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1,009</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316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1,349</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1,201</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1,000</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2,583</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2,288</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2,009</w:t>
            </w:r>
          </w:p>
        </w:tc>
      </w:tr>
      <w:tr>
        <w:tblPrEx>
          <w:tblInd w:w="0" w:type="dxa"/>
          <w:tblLayout w:type="fixed"/>
        </w:tblPrEx>
        <w:trPr>
          <w:trHeight w:val="142"/>
        </w:trPr>
        <w:tc>
          <w:tcPr>
            <w:tcW w:w="2140" w:type="dxa"/>
            <w:shd w:val="clear" w:color="auto" w:fill="CCEEFF"/>
            <w:vAlign w:val="bottom"/>
          </w:tcPr>
          <w:p>
            <w:pPr>
              <w:spacing w:after="0" w:line="141" w:lineRule="exact"/>
              <w:rPr>
                <w:color w:val="auto"/>
                <w:sz w:val="20"/>
                <w:szCs w:val="20"/>
              </w:rPr>
            </w:pPr>
            <w:r>
              <w:rPr>
                <w:rFonts w:ascii="Calibri" w:eastAsia="Calibri" w:hAnsi="Calibri" w:cs="Calibri"/>
                <w:color w:val="auto"/>
                <w:sz w:val="11"/>
                <w:szCs w:val="11"/>
              </w:rPr>
              <w:t>Elahere</w:t>
            </w:r>
            <w:r>
              <w:rPr>
                <w:rFonts w:ascii="Calibri" w:eastAsia="Calibri" w:hAnsi="Calibri" w:cs="Calibri"/>
                <w:color w:val="auto"/>
                <w:sz w:val="14"/>
                <w:szCs w:val="14"/>
                <w:vertAlign w:val="superscript"/>
              </w:rPr>
              <w:t>(a)</w:t>
            </w:r>
          </w:p>
        </w:tc>
        <w:tc>
          <w:tcPr>
            <w:tcW w:w="316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477</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r>
      <w:tr>
        <w:tblPrEx>
          <w:tblInd w:w="0" w:type="dxa"/>
          <w:tblLayout w:type="fixed"/>
        </w:tblPrEx>
        <w:trPr>
          <w:trHeight w:val="136"/>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r>
      <w:tr>
        <w:tblPrEx>
          <w:tblInd w:w="0" w:type="dxa"/>
          <w:tblLayout w:type="fixed"/>
        </w:tblPrEx>
        <w:trPr>
          <w:trHeight w:val="133"/>
        </w:trPr>
        <w:tc>
          <w:tcPr>
            <w:tcW w:w="2140" w:type="dxa"/>
            <w:tcBorders>
              <w:bottom w:val="single" w:sz="8" w:space="0" w:color="auto"/>
            </w:tcBorders>
            <w:shd w:val="clear" w:color="auto" w:fill="CCEEFF"/>
            <w:vAlign w:val="bottom"/>
          </w:tcPr>
          <w:p>
            <w:pPr>
              <w:spacing w:after="0"/>
              <w:rPr>
                <w:color w:val="auto"/>
                <w:sz w:val="11"/>
                <w:szCs w:val="11"/>
              </w:rPr>
            </w:pPr>
          </w:p>
        </w:tc>
        <w:tc>
          <w:tcPr>
            <w:tcW w:w="3160" w:type="dxa"/>
            <w:tcBorders>
              <w:bottom w:val="single" w:sz="8" w:space="0" w:color="auto"/>
            </w:tcBorders>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479</w:t>
            </w:r>
          </w:p>
        </w:tc>
        <w:tc>
          <w:tcPr>
            <w:tcW w:w="40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c>
          <w:tcPr>
            <w:tcW w:w="420" w:type="dxa"/>
            <w:tcBorders>
              <w:bottom w:val="single" w:sz="8" w:space="0" w:color="auto"/>
            </w:tcBorders>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r>
      <w:tr>
        <w:tblPrEx>
          <w:tblInd w:w="0" w:type="dxa"/>
          <w:tblLayout w:type="fixed"/>
        </w:tblPrEx>
        <w:trPr>
          <w:trHeight w:val="133"/>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Epkinly</w:t>
            </w:r>
          </w:p>
        </w:tc>
        <w:tc>
          <w:tcPr>
            <w:tcW w:w="3160" w:type="dxa"/>
            <w:vAlign w:val="bottom"/>
          </w:tcPr>
          <w:p>
            <w:pPr>
              <w:spacing w:after="0" w:line="127" w:lineRule="exact"/>
              <w:ind w:left="620"/>
              <w:rPr>
                <w:color w:val="auto"/>
                <w:sz w:val="20"/>
                <w:szCs w:val="20"/>
              </w:rPr>
            </w:pPr>
            <w:r>
              <w:rPr>
                <w:rFonts w:ascii="Calibri" w:eastAsia="Calibri" w:hAnsi="Calibri" w:cs="Calibri"/>
                <w:color w:val="auto"/>
                <w:sz w:val="11"/>
                <w:szCs w:val="11"/>
              </w:rPr>
              <w:t>Collaboraton revenues</w:t>
            </w:r>
          </w:p>
        </w:tc>
        <w:tc>
          <w:tcPr>
            <w:tcW w:w="184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118</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28</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316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28</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146</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31</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r>
      <w:tr>
        <w:tblPrEx>
          <w:tblInd w:w="0" w:type="dxa"/>
          <w:tblLayout w:type="fixed"/>
        </w:tblPrEx>
        <w:trPr>
          <w:trHeight w:val="142"/>
        </w:trPr>
        <w:tc>
          <w:tcPr>
            <w:tcW w:w="2140" w:type="dxa"/>
            <w:shd w:val="clear" w:color="auto" w:fill="CCEEFF"/>
            <w:vAlign w:val="bottom"/>
          </w:tcPr>
          <w:p>
            <w:pPr>
              <w:spacing w:after="0" w:line="127" w:lineRule="exact"/>
              <w:rPr>
                <w:color w:val="auto"/>
                <w:sz w:val="20"/>
                <w:szCs w:val="20"/>
              </w:rPr>
            </w:pPr>
            <w:r>
              <w:rPr>
                <w:rFonts w:ascii="Calibri" w:eastAsia="Calibri" w:hAnsi="Calibri" w:cs="Calibri"/>
                <w:b/>
                <w:bCs/>
                <w:color w:val="auto"/>
                <w:sz w:val="11"/>
                <w:szCs w:val="11"/>
              </w:rPr>
              <w:t>Aesthetcs</w:t>
            </w:r>
          </w:p>
        </w:tc>
        <w:tc>
          <w:tcPr>
            <w:tcW w:w="3160" w:type="dxa"/>
            <w:shd w:val="clear" w:color="auto" w:fill="CCEEFF"/>
            <w:vAlign w:val="bottom"/>
          </w:tcPr>
          <w:p>
            <w:pPr>
              <w:spacing w:after="0"/>
              <w:rPr>
                <w:color w:val="auto"/>
                <w:sz w:val="12"/>
                <w:szCs w:val="12"/>
              </w:rPr>
            </w:pPr>
          </w:p>
        </w:tc>
        <w:tc>
          <w:tcPr>
            <w:tcW w:w="184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0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20" w:type="dxa"/>
            <w:shd w:val="clear" w:color="auto" w:fill="CCEEFF"/>
            <w:vAlign w:val="bottom"/>
          </w:tcPr>
          <w:p>
            <w:pPr>
              <w:spacing w:after="0"/>
              <w:rPr>
                <w:color w:val="auto"/>
                <w:sz w:val="12"/>
                <w:szCs w:val="12"/>
              </w:rPr>
            </w:pPr>
          </w:p>
        </w:tc>
        <w:tc>
          <w:tcPr>
            <w:tcW w:w="1100" w:type="dxa"/>
            <w:shd w:val="clear" w:color="auto" w:fill="CCEEFF"/>
            <w:vAlign w:val="bottom"/>
          </w:tcPr>
          <w:p>
            <w:pPr>
              <w:spacing w:after="0"/>
              <w:rPr>
                <w:color w:val="auto"/>
                <w:sz w:val="12"/>
                <w:szCs w:val="12"/>
              </w:rPr>
            </w:pPr>
          </w:p>
        </w:tc>
      </w:tr>
      <w:tr>
        <w:tblPrEx>
          <w:tblInd w:w="0" w:type="dxa"/>
          <w:tblLayout w:type="fixed"/>
        </w:tblPrEx>
        <w:trPr>
          <w:trHeight w:val="136"/>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Botox Cosmetc</w:t>
            </w:r>
          </w:p>
        </w:tc>
        <w:tc>
          <w:tcPr>
            <w:tcW w:w="316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1,682</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1,670</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1,654</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316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1,038</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1,012</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961</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2,720</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2,682</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2,615</w:t>
            </w:r>
          </w:p>
        </w:tc>
      </w:tr>
      <w:tr>
        <w:tblPrEx>
          <w:tblInd w:w="0" w:type="dxa"/>
          <w:tblLayout w:type="fixed"/>
        </w:tblPrEx>
        <w:trPr>
          <w:trHeight w:val="142"/>
        </w:trPr>
        <w:tc>
          <w:tcPr>
            <w:tcW w:w="2140" w:type="dxa"/>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Juvederm Collecton</w:t>
            </w:r>
          </w:p>
        </w:tc>
        <w:tc>
          <w:tcPr>
            <w:tcW w:w="316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469</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519</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548</w:t>
            </w:r>
          </w:p>
        </w:tc>
      </w:tr>
      <w:tr>
        <w:tblPrEx>
          <w:tblInd w:w="0" w:type="dxa"/>
          <w:tblLayout w:type="fixed"/>
        </w:tblPrEx>
        <w:trPr>
          <w:trHeight w:val="135"/>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708</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859</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880</w:t>
            </w:r>
          </w:p>
        </w:tc>
      </w:tr>
      <w:tr>
        <w:tblPrEx>
          <w:tblInd w:w="0" w:type="dxa"/>
          <w:tblLayout w:type="fixed"/>
        </w:tblPrEx>
        <w:trPr>
          <w:trHeight w:val="133"/>
        </w:trPr>
        <w:tc>
          <w:tcPr>
            <w:tcW w:w="2140" w:type="dxa"/>
            <w:tcBorders>
              <w:bottom w:val="single" w:sz="8" w:space="0" w:color="auto"/>
            </w:tcBorders>
            <w:shd w:val="clear" w:color="auto" w:fill="CCEEFF"/>
            <w:vAlign w:val="bottom"/>
          </w:tcPr>
          <w:p>
            <w:pPr>
              <w:spacing w:after="0"/>
              <w:rPr>
                <w:color w:val="auto"/>
                <w:sz w:val="11"/>
                <w:szCs w:val="11"/>
              </w:rPr>
            </w:pPr>
          </w:p>
        </w:tc>
        <w:tc>
          <w:tcPr>
            <w:tcW w:w="3160" w:type="dxa"/>
            <w:tcBorders>
              <w:bottom w:val="single" w:sz="8" w:space="0" w:color="auto"/>
            </w:tcBorders>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1,177</w:t>
            </w:r>
          </w:p>
        </w:tc>
        <w:tc>
          <w:tcPr>
            <w:tcW w:w="40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1,378</w:t>
            </w:r>
          </w:p>
        </w:tc>
        <w:tc>
          <w:tcPr>
            <w:tcW w:w="420" w:type="dxa"/>
            <w:tcBorders>
              <w:bottom w:val="single" w:sz="8" w:space="0" w:color="auto"/>
            </w:tcBorders>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1,428</w:t>
            </w:r>
          </w:p>
        </w:tc>
      </w:tr>
      <w:tr>
        <w:tblPrEx>
          <w:tblInd w:w="0" w:type="dxa"/>
          <w:tblLayout w:type="fixed"/>
        </w:tblPrEx>
        <w:trPr>
          <w:trHeight w:val="133"/>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Other Aesthetcs</w:t>
            </w:r>
          </w:p>
        </w:tc>
        <w:tc>
          <w:tcPr>
            <w:tcW w:w="316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1,118</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1,060</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1,122</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316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161</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174</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168</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1,279</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1,234</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1,290</w:t>
            </w:r>
          </w:p>
        </w:tc>
      </w:tr>
      <w:tr>
        <w:tblPrEx>
          <w:tblInd w:w="0" w:type="dxa"/>
          <w:tblLayout w:type="fixed"/>
        </w:tblPrEx>
        <w:trPr>
          <w:trHeight w:val="142"/>
        </w:trPr>
        <w:tc>
          <w:tcPr>
            <w:tcW w:w="2140" w:type="dxa"/>
            <w:shd w:val="clear" w:color="auto" w:fill="CCEEFF"/>
            <w:vAlign w:val="bottom"/>
          </w:tcPr>
          <w:p>
            <w:pPr>
              <w:spacing w:after="0" w:line="127" w:lineRule="exact"/>
              <w:rPr>
                <w:color w:val="auto"/>
                <w:sz w:val="20"/>
                <w:szCs w:val="20"/>
              </w:rPr>
            </w:pPr>
            <w:r>
              <w:rPr>
                <w:rFonts w:ascii="Calibri" w:eastAsia="Calibri" w:hAnsi="Calibri" w:cs="Calibri"/>
                <w:b/>
                <w:bCs/>
                <w:color w:val="auto"/>
                <w:sz w:val="11"/>
                <w:szCs w:val="11"/>
              </w:rPr>
              <w:t>Neuroscience</w:t>
            </w:r>
          </w:p>
        </w:tc>
        <w:tc>
          <w:tcPr>
            <w:tcW w:w="3160" w:type="dxa"/>
            <w:shd w:val="clear" w:color="auto" w:fill="CCEEFF"/>
            <w:vAlign w:val="bottom"/>
          </w:tcPr>
          <w:p>
            <w:pPr>
              <w:spacing w:after="0"/>
              <w:rPr>
                <w:color w:val="auto"/>
                <w:sz w:val="12"/>
                <w:szCs w:val="12"/>
              </w:rPr>
            </w:pPr>
          </w:p>
        </w:tc>
        <w:tc>
          <w:tcPr>
            <w:tcW w:w="184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0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20" w:type="dxa"/>
            <w:shd w:val="clear" w:color="auto" w:fill="CCEEFF"/>
            <w:vAlign w:val="bottom"/>
          </w:tcPr>
          <w:p>
            <w:pPr>
              <w:spacing w:after="0"/>
              <w:rPr>
                <w:color w:val="auto"/>
                <w:sz w:val="12"/>
                <w:szCs w:val="12"/>
              </w:rPr>
            </w:pPr>
          </w:p>
        </w:tc>
        <w:tc>
          <w:tcPr>
            <w:tcW w:w="1100" w:type="dxa"/>
            <w:shd w:val="clear" w:color="auto" w:fill="CCEEFF"/>
            <w:vAlign w:val="bottom"/>
          </w:tcPr>
          <w:p>
            <w:pPr>
              <w:spacing w:after="0"/>
              <w:rPr>
                <w:color w:val="auto"/>
                <w:sz w:val="12"/>
                <w:szCs w:val="12"/>
              </w:rPr>
            </w:pPr>
          </w:p>
        </w:tc>
      </w:tr>
      <w:tr>
        <w:tblPrEx>
          <w:tblInd w:w="0" w:type="dxa"/>
          <w:tblLayout w:type="fixed"/>
        </w:tblPrEx>
        <w:trPr>
          <w:trHeight w:val="135"/>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Botox Therapeutc</w:t>
            </w:r>
          </w:p>
        </w:tc>
        <w:tc>
          <w:tcPr>
            <w:tcW w:w="316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2,718</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2,476</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2,255</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316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565</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515</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464</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3,283</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2,991</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2,719</w:t>
            </w:r>
          </w:p>
        </w:tc>
      </w:tr>
      <w:tr>
        <w:tblPrEx>
          <w:tblInd w:w="0" w:type="dxa"/>
          <w:tblLayout w:type="fixed"/>
        </w:tblPrEx>
        <w:trPr>
          <w:trHeight w:val="141"/>
        </w:trPr>
        <w:tc>
          <w:tcPr>
            <w:tcW w:w="2140" w:type="dxa"/>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Vraylar</w:t>
            </w:r>
          </w:p>
        </w:tc>
        <w:tc>
          <w:tcPr>
            <w:tcW w:w="316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3,260</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2,755</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2,037</w:t>
            </w:r>
          </w:p>
        </w:tc>
      </w:tr>
      <w:tr>
        <w:tblPrEx>
          <w:tblInd w:w="0" w:type="dxa"/>
          <w:tblLayout w:type="fixed"/>
        </w:tblPrEx>
        <w:trPr>
          <w:trHeight w:val="135"/>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7</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w:t>
            </w:r>
          </w:p>
        </w:tc>
      </w:tr>
      <w:tr>
        <w:tblPrEx>
          <w:tblInd w:w="0" w:type="dxa"/>
          <w:tblLayout w:type="fixed"/>
        </w:tblPrEx>
        <w:trPr>
          <w:trHeight w:val="133"/>
        </w:trPr>
        <w:tc>
          <w:tcPr>
            <w:tcW w:w="2140" w:type="dxa"/>
            <w:tcBorders>
              <w:bottom w:val="single" w:sz="8" w:space="0" w:color="auto"/>
            </w:tcBorders>
            <w:shd w:val="clear" w:color="auto" w:fill="CCEEFF"/>
            <w:vAlign w:val="bottom"/>
          </w:tcPr>
          <w:p>
            <w:pPr>
              <w:spacing w:after="0"/>
              <w:rPr>
                <w:color w:val="auto"/>
                <w:sz w:val="11"/>
                <w:szCs w:val="11"/>
              </w:rPr>
            </w:pPr>
          </w:p>
        </w:tc>
        <w:tc>
          <w:tcPr>
            <w:tcW w:w="3160" w:type="dxa"/>
            <w:tcBorders>
              <w:bottom w:val="single" w:sz="8" w:space="0" w:color="auto"/>
            </w:tcBorders>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3,267</w:t>
            </w:r>
          </w:p>
        </w:tc>
        <w:tc>
          <w:tcPr>
            <w:tcW w:w="40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2,759</w:t>
            </w:r>
          </w:p>
        </w:tc>
        <w:tc>
          <w:tcPr>
            <w:tcW w:w="420" w:type="dxa"/>
            <w:tcBorders>
              <w:bottom w:val="single" w:sz="8" w:space="0" w:color="auto"/>
            </w:tcBorders>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2,038</w:t>
            </w:r>
          </w:p>
        </w:tc>
      </w:tr>
      <w:tr>
        <w:tblPrEx>
          <w:tblInd w:w="0" w:type="dxa"/>
          <w:tblLayout w:type="fixed"/>
        </w:tblPrEx>
        <w:trPr>
          <w:trHeight w:val="133"/>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Duodopa</w:t>
            </w:r>
          </w:p>
        </w:tc>
        <w:tc>
          <w:tcPr>
            <w:tcW w:w="316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96</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97</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95</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316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351</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371</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363</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447</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468</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458</w:t>
            </w:r>
          </w:p>
        </w:tc>
      </w:tr>
      <w:tr>
        <w:tblPrEx>
          <w:tblInd w:w="0" w:type="dxa"/>
          <w:tblLayout w:type="fixed"/>
        </w:tblPrEx>
        <w:trPr>
          <w:trHeight w:val="142"/>
        </w:trPr>
        <w:tc>
          <w:tcPr>
            <w:tcW w:w="2140" w:type="dxa"/>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Ubrelvy</w:t>
            </w:r>
          </w:p>
        </w:tc>
        <w:tc>
          <w:tcPr>
            <w:tcW w:w="316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981</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803</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680</w:t>
            </w:r>
          </w:p>
        </w:tc>
      </w:tr>
      <w:tr>
        <w:tblPrEx>
          <w:tblInd w:w="0" w:type="dxa"/>
          <w:tblLayout w:type="fixed"/>
        </w:tblPrEx>
        <w:trPr>
          <w:trHeight w:val="135"/>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25</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12</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w:t>
            </w:r>
          </w:p>
        </w:tc>
      </w:tr>
      <w:tr>
        <w:tblPrEx>
          <w:tblInd w:w="0" w:type="dxa"/>
          <w:tblLayout w:type="fixed"/>
        </w:tblPrEx>
        <w:trPr>
          <w:trHeight w:val="133"/>
        </w:trPr>
        <w:tc>
          <w:tcPr>
            <w:tcW w:w="2140" w:type="dxa"/>
            <w:tcBorders>
              <w:bottom w:val="single" w:sz="8" w:space="0" w:color="auto"/>
            </w:tcBorders>
            <w:shd w:val="clear" w:color="auto" w:fill="CCEEFF"/>
            <w:vAlign w:val="bottom"/>
          </w:tcPr>
          <w:p>
            <w:pPr>
              <w:spacing w:after="0"/>
              <w:rPr>
                <w:color w:val="auto"/>
                <w:sz w:val="11"/>
                <w:szCs w:val="11"/>
              </w:rPr>
            </w:pPr>
          </w:p>
        </w:tc>
        <w:tc>
          <w:tcPr>
            <w:tcW w:w="3160" w:type="dxa"/>
            <w:tcBorders>
              <w:bottom w:val="single" w:sz="8" w:space="0" w:color="auto"/>
            </w:tcBorders>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1,006</w:t>
            </w:r>
          </w:p>
        </w:tc>
        <w:tc>
          <w:tcPr>
            <w:tcW w:w="40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815</w:t>
            </w:r>
          </w:p>
        </w:tc>
        <w:tc>
          <w:tcPr>
            <w:tcW w:w="420" w:type="dxa"/>
            <w:tcBorders>
              <w:bottom w:val="single" w:sz="8" w:space="0" w:color="auto"/>
            </w:tcBorders>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680</w:t>
            </w:r>
          </w:p>
        </w:tc>
      </w:tr>
      <w:tr>
        <w:tblPrEx>
          <w:tblInd w:w="0" w:type="dxa"/>
          <w:tblLayout w:type="fixed"/>
        </w:tblPrEx>
        <w:trPr>
          <w:trHeight w:val="133"/>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Qulipta</w:t>
            </w:r>
          </w:p>
        </w:tc>
        <w:tc>
          <w:tcPr>
            <w:tcW w:w="316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184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628</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405</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158</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316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184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30</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316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184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658</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408</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158</w:t>
            </w:r>
          </w:p>
        </w:tc>
      </w:tr>
    </w:tbl>
    <w:p>
      <w:pPr>
        <w:spacing w:after="0" w:line="20" w:lineRule="exact"/>
        <w:rPr>
          <w:color w:val="auto"/>
          <w:sz w:val="20"/>
          <w:szCs w:val="20"/>
        </w:rPr>
      </w:pPr>
      <w:r>
        <w:rPr>
          <w:color w:val="auto"/>
          <w:sz w:val="20"/>
          <w:szCs w:val="20"/>
        </w:rPr>
        <w:drawing>
          <wp:anchor simplePos="0" relativeHeight="251908096" behindDoc="1" locked="0" layoutInCell="0" allowOverlap="1">
            <wp:simplePos x="0" y="0"/>
            <wp:positionH relativeFrom="column">
              <wp:posOffset>6475730</wp:posOffset>
            </wp:positionH>
            <wp:positionV relativeFrom="paragraph">
              <wp:posOffset>280035</wp:posOffset>
            </wp:positionV>
            <wp:extent cx="400050" cy="74295"/>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56" w:lineRule="exact"/>
        <w:rPr>
          <w:color w:val="auto"/>
          <w:sz w:val="20"/>
          <w:szCs w:val="20"/>
        </w:rPr>
      </w:pPr>
    </w:p>
    <w:tbl>
      <w:tblPr>
        <w:tblInd w:w="0" w:type="dxa"/>
        <w:tblLayout w:type="fixed"/>
        <w:tblCellMar>
          <w:top w:w="0" w:type="dxa"/>
          <w:left w:w="0" w:type="dxa"/>
          <w:bottom w:w="0" w:type="dxa"/>
          <w:right w:w="0" w:type="dxa"/>
        </w:tblCellMar>
      </w:tblPr>
      <w:tblGrid>
        <w:gridCol w:w="10660"/>
        <w:gridCol w:w="640"/>
      </w:tblGrid>
      <w:tr>
        <w:tblPrEx>
          <w:tblInd w:w="0" w:type="dxa"/>
          <w:tblLayout w:type="fixed"/>
        </w:tblPrEx>
        <w:trPr>
          <w:trHeight w:val="146"/>
        </w:trPr>
        <w:tc>
          <w:tcPr>
            <w:tcW w:w="1066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98</w:t>
            </w:r>
          </w:p>
        </w:tc>
      </w:tr>
      <w:tr>
        <w:tblPrEx>
          <w:tblInd w:w="0" w:type="dxa"/>
          <w:tblLayout w:type="fixed"/>
        </w:tblPrEx>
        <w:trPr>
          <w:trHeight w:val="152"/>
        </w:trPr>
        <w:tc>
          <w:tcPr>
            <w:tcW w:w="10660" w:type="dxa"/>
            <w:tcBorders>
              <w:bottom w:val="single" w:sz="8" w:space="0" w:color="9A9A9A"/>
            </w:tcBorders>
            <w:vAlign w:val="bottom"/>
          </w:tcPr>
          <w:p>
            <w:pPr>
              <w:spacing w:after="0"/>
              <w:rPr>
                <w:color w:val="auto"/>
                <w:sz w:val="13"/>
                <w:szCs w:val="13"/>
              </w:rPr>
            </w:pPr>
          </w:p>
        </w:tc>
        <w:tc>
          <w:tcPr>
            <w:tcW w:w="64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909120" behindDoc="1" locked="0" layoutInCell="0" allowOverlap="1">
            <wp:simplePos x="0" y="0"/>
            <wp:positionH relativeFrom="column">
              <wp:posOffset>7154545</wp:posOffset>
            </wp:positionH>
            <wp:positionV relativeFrom="paragraph">
              <wp:posOffset>-23495</wp:posOffset>
            </wp:positionV>
            <wp:extent cx="31115" cy="3683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10144" behindDoc="1" locked="0" layoutInCell="0" allowOverlap="1">
            <wp:simplePos x="0" y="0"/>
            <wp:positionH relativeFrom="column">
              <wp:posOffset>-17145</wp:posOffset>
            </wp:positionH>
            <wp:positionV relativeFrom="paragraph">
              <wp:posOffset>-23495</wp:posOffset>
            </wp:positionV>
            <wp:extent cx="31115" cy="3683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764" w:right="299" w:bottom="1440" w:left="300" w:header="0" w:footer="0" w:gutter="0"/>
          <w:cols w:num="1" w:space="720" w:equalWidth="0">
            <w:col w:w="11300" w:space="0"/>
          </w:cols>
        </w:sectPr>
      </w:pPr>
    </w:p>
    <w:bookmarkStart w:id="100" w:name="page101"/>
    <w:bookmarkEnd w:id="100"/>
    <w:tbl>
      <w:tblPr>
        <w:tblInd w:w="0" w:type="dxa"/>
        <w:tblLayout w:type="fixed"/>
        <w:tblCellMar>
          <w:top w:w="0" w:type="dxa"/>
          <w:left w:w="0" w:type="dxa"/>
          <w:bottom w:w="0" w:type="dxa"/>
          <w:right w:w="0" w:type="dxa"/>
        </w:tblCellMar>
      </w:tblPr>
      <w:tblGrid>
        <w:gridCol w:w="2140"/>
        <w:gridCol w:w="2940"/>
        <w:gridCol w:w="2060"/>
        <w:gridCol w:w="1120"/>
        <w:gridCol w:w="400"/>
        <w:gridCol w:w="1120"/>
        <w:gridCol w:w="420"/>
        <w:gridCol w:w="1100"/>
      </w:tblGrid>
      <w:tr>
        <w:tblPrEx>
          <w:tblInd w:w="0" w:type="dxa"/>
          <w:tblLayout w:type="fixed"/>
        </w:tblPrEx>
        <w:trPr>
          <w:trHeight w:val="122"/>
        </w:trPr>
        <w:tc>
          <w:tcPr>
            <w:tcW w:w="214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2940" w:type="dxa"/>
            <w:vAlign w:val="bottom"/>
          </w:tcPr>
          <w:p>
            <w:pPr>
              <w:spacing w:after="0"/>
              <w:rPr>
                <w:color w:val="auto"/>
                <w:sz w:val="10"/>
                <w:szCs w:val="10"/>
              </w:rPr>
            </w:pPr>
          </w:p>
        </w:tc>
        <w:tc>
          <w:tcPr>
            <w:tcW w:w="2060" w:type="dxa"/>
            <w:vAlign w:val="bottom"/>
          </w:tcPr>
          <w:p>
            <w:pPr>
              <w:spacing w:after="0"/>
              <w:rPr>
                <w:color w:val="auto"/>
                <w:sz w:val="10"/>
                <w:szCs w:val="10"/>
              </w:rPr>
            </w:pPr>
          </w:p>
        </w:tc>
        <w:tc>
          <w:tcPr>
            <w:tcW w:w="1120" w:type="dxa"/>
            <w:vAlign w:val="bottom"/>
          </w:tcPr>
          <w:p>
            <w:pPr>
              <w:spacing w:after="0"/>
              <w:ind w:right="586"/>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120" w:type="dxa"/>
            <w:vAlign w:val="bottom"/>
          </w:tcPr>
          <w:p>
            <w:pPr>
              <w:spacing w:after="0"/>
              <w:ind w:right="586"/>
              <w:jc w:val="right"/>
              <w:rPr>
                <w:color w:val="auto"/>
                <w:sz w:val="20"/>
                <w:szCs w:val="20"/>
              </w:rPr>
            </w:pPr>
            <w:r>
              <w:rPr>
                <w:rFonts w:ascii="Calibri" w:eastAsia="Calibri" w:hAnsi="Calibri" w:cs="Calibri"/>
                <w:b/>
                <w:bCs/>
                <w:color w:val="auto"/>
                <w:sz w:val="10"/>
                <w:szCs w:val="10"/>
              </w:rPr>
              <w:t>2023</w:t>
            </w:r>
          </w:p>
        </w:tc>
        <w:tc>
          <w:tcPr>
            <w:tcW w:w="420" w:type="dxa"/>
            <w:vAlign w:val="bottom"/>
          </w:tcPr>
          <w:p>
            <w:pPr>
              <w:spacing w:after="0"/>
              <w:rPr>
                <w:color w:val="auto"/>
                <w:sz w:val="10"/>
                <w:szCs w:val="10"/>
              </w:rPr>
            </w:pPr>
          </w:p>
        </w:tc>
        <w:tc>
          <w:tcPr>
            <w:tcW w:w="1100" w:type="dxa"/>
            <w:vAlign w:val="bottom"/>
          </w:tcPr>
          <w:p>
            <w:pPr>
              <w:spacing w:after="0"/>
              <w:ind w:right="586"/>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2140" w:type="dxa"/>
            <w:tcBorders>
              <w:bottom w:val="single" w:sz="8" w:space="0" w:color="auto"/>
            </w:tcBorders>
            <w:vAlign w:val="bottom"/>
          </w:tcPr>
          <w:p>
            <w:pPr>
              <w:spacing w:after="0"/>
              <w:rPr>
                <w:color w:val="auto"/>
                <w:sz w:val="2"/>
                <w:szCs w:val="2"/>
              </w:rPr>
            </w:pPr>
          </w:p>
        </w:tc>
        <w:tc>
          <w:tcPr>
            <w:tcW w:w="2940" w:type="dxa"/>
            <w:tcBorders>
              <w:bottom w:val="single" w:sz="8" w:space="0" w:color="auto"/>
            </w:tcBorders>
            <w:vAlign w:val="bottom"/>
          </w:tcPr>
          <w:p>
            <w:pPr>
              <w:spacing w:after="0"/>
              <w:rPr>
                <w:color w:val="auto"/>
                <w:sz w:val="2"/>
                <w:szCs w:val="2"/>
              </w:rPr>
            </w:pPr>
          </w:p>
        </w:tc>
        <w:tc>
          <w:tcPr>
            <w:tcW w:w="206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2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33"/>
        </w:trPr>
        <w:tc>
          <w:tcPr>
            <w:tcW w:w="2140" w:type="dxa"/>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Other Neuroscience</w:t>
            </w:r>
          </w:p>
        </w:tc>
        <w:tc>
          <w:tcPr>
            <w:tcW w:w="294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206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224</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254</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456</w:t>
            </w:r>
          </w:p>
        </w:tc>
      </w:tr>
      <w:tr>
        <w:tblPrEx>
          <w:tblInd w:w="0" w:type="dxa"/>
          <w:tblLayout w:type="fixed"/>
        </w:tblPrEx>
        <w:trPr>
          <w:trHeight w:val="136"/>
        </w:trPr>
        <w:tc>
          <w:tcPr>
            <w:tcW w:w="2140" w:type="dxa"/>
            <w:tcBorders>
              <w:bottom w:val="single" w:sz="8" w:space="0" w:color="auto"/>
            </w:tcBorders>
            <w:vAlign w:val="bottom"/>
          </w:tcPr>
          <w:p>
            <w:pPr>
              <w:spacing w:after="0"/>
              <w:rPr>
                <w:color w:val="auto"/>
                <w:sz w:val="11"/>
                <w:szCs w:val="11"/>
              </w:rPr>
            </w:pP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206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114</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22</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19</w:t>
            </w:r>
          </w:p>
        </w:tc>
      </w:tr>
      <w:tr>
        <w:tblPrEx>
          <w:tblInd w:w="0" w:type="dxa"/>
          <w:tblLayout w:type="fixed"/>
        </w:tblPrEx>
        <w:trPr>
          <w:trHeight w:val="150"/>
        </w:trPr>
        <w:tc>
          <w:tcPr>
            <w:tcW w:w="2140" w:type="dxa"/>
            <w:tcBorders>
              <w:bottom w:val="single" w:sz="8" w:space="0" w:color="auto"/>
            </w:tcBorders>
            <w:shd w:val="clear" w:color="auto" w:fill="CCEEFF"/>
            <w:vAlign w:val="bottom"/>
          </w:tcPr>
          <w:p>
            <w:pPr>
              <w:spacing w:after="0"/>
              <w:rPr>
                <w:color w:val="auto"/>
                <w:sz w:val="13"/>
                <w:szCs w:val="13"/>
              </w:rPr>
            </w:pPr>
          </w:p>
        </w:tc>
        <w:tc>
          <w:tcPr>
            <w:tcW w:w="2940" w:type="dxa"/>
            <w:tcBorders>
              <w:bottom w:val="single" w:sz="8" w:space="0" w:color="auto"/>
            </w:tcBorders>
            <w:shd w:val="clear" w:color="auto" w:fill="CCEEFF"/>
            <w:vAlign w:val="bottom"/>
          </w:tcPr>
          <w:p>
            <w:pPr>
              <w:spacing w:after="0" w:line="132" w:lineRule="exact"/>
              <w:ind w:left="620"/>
              <w:rPr>
                <w:color w:val="auto"/>
                <w:sz w:val="20"/>
                <w:szCs w:val="20"/>
              </w:rPr>
            </w:pPr>
            <w:r>
              <w:rPr>
                <w:rFonts w:ascii="Calibri" w:eastAsia="Calibri" w:hAnsi="Calibri" w:cs="Calibri"/>
                <w:color w:val="auto"/>
                <w:sz w:val="11"/>
                <w:szCs w:val="11"/>
              </w:rPr>
              <w:t>Total</w:t>
            </w:r>
          </w:p>
        </w:tc>
        <w:tc>
          <w:tcPr>
            <w:tcW w:w="206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338</w:t>
            </w:r>
          </w:p>
        </w:tc>
        <w:tc>
          <w:tcPr>
            <w:tcW w:w="40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276</w:t>
            </w:r>
          </w:p>
        </w:tc>
        <w:tc>
          <w:tcPr>
            <w:tcW w:w="42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475</w:t>
            </w:r>
          </w:p>
        </w:tc>
      </w:tr>
      <w:tr>
        <w:tblPrEx>
          <w:tblInd w:w="0" w:type="dxa"/>
          <w:tblLayout w:type="fixed"/>
        </w:tblPrEx>
        <w:trPr>
          <w:trHeight w:val="134"/>
        </w:trPr>
        <w:tc>
          <w:tcPr>
            <w:tcW w:w="2140" w:type="dxa"/>
            <w:vAlign w:val="bottom"/>
          </w:tcPr>
          <w:p>
            <w:pPr>
              <w:spacing w:after="0" w:line="127" w:lineRule="exact"/>
              <w:rPr>
                <w:color w:val="auto"/>
                <w:sz w:val="20"/>
                <w:szCs w:val="20"/>
              </w:rPr>
            </w:pPr>
            <w:r>
              <w:rPr>
                <w:rFonts w:ascii="Calibri" w:eastAsia="Calibri" w:hAnsi="Calibri" w:cs="Calibri"/>
                <w:b/>
                <w:bCs/>
                <w:color w:val="auto"/>
                <w:sz w:val="11"/>
                <w:szCs w:val="11"/>
              </w:rPr>
              <w:t>Eye Care</w:t>
            </w:r>
          </w:p>
        </w:tc>
        <w:tc>
          <w:tcPr>
            <w:tcW w:w="2940" w:type="dxa"/>
            <w:vAlign w:val="bottom"/>
          </w:tcPr>
          <w:p>
            <w:pPr>
              <w:spacing w:after="0"/>
              <w:rPr>
                <w:color w:val="auto"/>
                <w:sz w:val="11"/>
                <w:szCs w:val="11"/>
              </w:rPr>
            </w:pPr>
          </w:p>
        </w:tc>
        <w:tc>
          <w:tcPr>
            <w:tcW w:w="206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20" w:type="dxa"/>
            <w:vAlign w:val="bottom"/>
          </w:tcPr>
          <w:p>
            <w:pPr>
              <w:spacing w:after="0"/>
              <w:rPr>
                <w:color w:val="auto"/>
                <w:sz w:val="11"/>
                <w:szCs w:val="11"/>
              </w:rPr>
            </w:pPr>
          </w:p>
        </w:tc>
        <w:tc>
          <w:tcPr>
            <w:tcW w:w="1100" w:type="dxa"/>
            <w:vAlign w:val="bottom"/>
          </w:tcPr>
          <w:p>
            <w:pPr>
              <w:spacing w:after="0"/>
              <w:rPr>
                <w:color w:val="auto"/>
                <w:sz w:val="11"/>
                <w:szCs w:val="11"/>
              </w:rPr>
            </w:pPr>
          </w:p>
        </w:tc>
      </w:tr>
      <w:tr>
        <w:tblPrEx>
          <w:tblInd w:w="0" w:type="dxa"/>
          <w:tblLayout w:type="fixed"/>
        </w:tblPrEx>
        <w:trPr>
          <w:trHeight w:val="153"/>
        </w:trPr>
        <w:tc>
          <w:tcPr>
            <w:tcW w:w="2140" w:type="dxa"/>
            <w:shd w:val="clear" w:color="auto" w:fill="CCEEFF"/>
            <w:vAlign w:val="bottom"/>
          </w:tcPr>
          <w:p>
            <w:pPr>
              <w:spacing w:after="0"/>
              <w:rPr>
                <w:color w:val="auto"/>
                <w:sz w:val="20"/>
                <w:szCs w:val="20"/>
              </w:rPr>
            </w:pPr>
            <w:r>
              <w:rPr>
                <w:rFonts w:ascii="Calibri" w:eastAsia="Calibri" w:hAnsi="Calibri" w:cs="Calibri"/>
                <w:color w:val="auto"/>
                <w:sz w:val="11"/>
                <w:szCs w:val="11"/>
              </w:rPr>
              <w:t>Ozurdex</w:t>
            </w:r>
          </w:p>
        </w:tc>
        <w:tc>
          <w:tcPr>
            <w:tcW w:w="2940" w:type="dxa"/>
            <w:shd w:val="clear" w:color="auto" w:fill="CCEEFF"/>
            <w:vAlign w:val="bottom"/>
          </w:tcPr>
          <w:p>
            <w:pPr>
              <w:spacing w:after="0"/>
              <w:ind w:left="620"/>
              <w:rPr>
                <w:color w:val="auto"/>
                <w:sz w:val="20"/>
                <w:szCs w:val="20"/>
              </w:rPr>
            </w:pPr>
            <w:r>
              <w:rPr>
                <w:rFonts w:ascii="Calibri" w:eastAsia="Calibri" w:hAnsi="Calibri" w:cs="Calibri"/>
                <w:color w:val="auto"/>
                <w:sz w:val="11"/>
                <w:szCs w:val="11"/>
              </w:rPr>
              <w:t>United States</w:t>
            </w:r>
          </w:p>
        </w:tc>
        <w:tc>
          <w:tcPr>
            <w:tcW w:w="2060" w:type="dxa"/>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138</w:t>
            </w:r>
          </w:p>
        </w:tc>
        <w:tc>
          <w:tcPr>
            <w:tcW w:w="400" w:type="dxa"/>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143</w:t>
            </w:r>
          </w:p>
        </w:tc>
        <w:tc>
          <w:tcPr>
            <w:tcW w:w="420" w:type="dxa"/>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139</w:t>
            </w:r>
          </w:p>
        </w:tc>
      </w:tr>
      <w:tr>
        <w:tblPrEx>
          <w:tblInd w:w="0" w:type="dxa"/>
          <w:tblLayout w:type="fixed"/>
        </w:tblPrEx>
        <w:trPr>
          <w:trHeight w:val="135"/>
        </w:trPr>
        <w:tc>
          <w:tcPr>
            <w:tcW w:w="2140" w:type="dxa"/>
            <w:tcBorders>
              <w:bottom w:val="single" w:sz="8" w:space="0" w:color="auto"/>
            </w:tcBorders>
            <w:vAlign w:val="bottom"/>
          </w:tcPr>
          <w:p>
            <w:pPr>
              <w:spacing w:after="0"/>
              <w:rPr>
                <w:color w:val="auto"/>
                <w:sz w:val="11"/>
                <w:szCs w:val="11"/>
              </w:rPr>
            </w:pP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206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356</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329</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289</w:t>
            </w:r>
          </w:p>
        </w:tc>
      </w:tr>
      <w:tr>
        <w:tblPrEx>
          <w:tblInd w:w="0" w:type="dxa"/>
          <w:tblLayout w:type="fixed"/>
        </w:tblPrEx>
        <w:trPr>
          <w:trHeight w:val="150"/>
        </w:trPr>
        <w:tc>
          <w:tcPr>
            <w:tcW w:w="2140" w:type="dxa"/>
            <w:tcBorders>
              <w:bottom w:val="single" w:sz="8" w:space="0" w:color="auto"/>
            </w:tcBorders>
            <w:shd w:val="clear" w:color="auto" w:fill="CCEEFF"/>
            <w:vAlign w:val="bottom"/>
          </w:tcPr>
          <w:p>
            <w:pPr>
              <w:spacing w:after="0"/>
              <w:rPr>
                <w:color w:val="auto"/>
                <w:sz w:val="13"/>
                <w:szCs w:val="13"/>
              </w:rPr>
            </w:pPr>
          </w:p>
        </w:tc>
        <w:tc>
          <w:tcPr>
            <w:tcW w:w="2940" w:type="dxa"/>
            <w:tcBorders>
              <w:bottom w:val="single" w:sz="8" w:space="0" w:color="auto"/>
            </w:tcBorders>
            <w:shd w:val="clear" w:color="auto" w:fill="CCEEFF"/>
            <w:vAlign w:val="bottom"/>
          </w:tcPr>
          <w:p>
            <w:pPr>
              <w:spacing w:after="0" w:line="132" w:lineRule="exact"/>
              <w:ind w:left="620"/>
              <w:rPr>
                <w:color w:val="auto"/>
                <w:sz w:val="20"/>
                <w:szCs w:val="20"/>
              </w:rPr>
            </w:pPr>
            <w:r>
              <w:rPr>
                <w:rFonts w:ascii="Calibri" w:eastAsia="Calibri" w:hAnsi="Calibri" w:cs="Calibri"/>
                <w:color w:val="auto"/>
                <w:sz w:val="11"/>
                <w:szCs w:val="11"/>
              </w:rPr>
              <w:t>Total</w:t>
            </w:r>
          </w:p>
        </w:tc>
        <w:tc>
          <w:tcPr>
            <w:tcW w:w="206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494</w:t>
            </w:r>
          </w:p>
        </w:tc>
        <w:tc>
          <w:tcPr>
            <w:tcW w:w="40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472</w:t>
            </w:r>
          </w:p>
        </w:tc>
        <w:tc>
          <w:tcPr>
            <w:tcW w:w="42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428</w:t>
            </w:r>
          </w:p>
        </w:tc>
      </w:tr>
      <w:tr>
        <w:tblPrEx>
          <w:tblInd w:w="0" w:type="dxa"/>
          <w:tblLayout w:type="fixed"/>
        </w:tblPrEx>
        <w:trPr>
          <w:trHeight w:val="134"/>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Lumigan/Ganfort</w:t>
            </w:r>
          </w:p>
        </w:tc>
        <w:tc>
          <w:tcPr>
            <w:tcW w:w="294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206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187</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173</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242</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294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206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242</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259</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272</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206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429</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432</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514</w:t>
            </w:r>
          </w:p>
        </w:tc>
      </w:tr>
      <w:tr>
        <w:tblPrEx>
          <w:tblInd w:w="0" w:type="dxa"/>
          <w:tblLayout w:type="fixed"/>
        </w:tblPrEx>
        <w:trPr>
          <w:trHeight w:val="141"/>
        </w:trPr>
        <w:tc>
          <w:tcPr>
            <w:tcW w:w="2140" w:type="dxa"/>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Alphagan/Combigan</w:t>
            </w:r>
          </w:p>
        </w:tc>
        <w:tc>
          <w:tcPr>
            <w:tcW w:w="294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206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95</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121</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202</w:t>
            </w:r>
          </w:p>
        </w:tc>
      </w:tr>
      <w:tr>
        <w:tblPrEx>
          <w:tblInd w:w="0" w:type="dxa"/>
          <w:tblLayout w:type="fixed"/>
        </w:tblPrEx>
        <w:trPr>
          <w:trHeight w:val="136"/>
        </w:trPr>
        <w:tc>
          <w:tcPr>
            <w:tcW w:w="2140" w:type="dxa"/>
            <w:tcBorders>
              <w:bottom w:val="single" w:sz="8" w:space="0" w:color="auto"/>
            </w:tcBorders>
            <w:vAlign w:val="bottom"/>
          </w:tcPr>
          <w:p>
            <w:pPr>
              <w:spacing w:after="0"/>
              <w:rPr>
                <w:color w:val="auto"/>
                <w:sz w:val="11"/>
                <w:szCs w:val="11"/>
              </w:rPr>
            </w:pP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206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153</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151</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144</w:t>
            </w:r>
          </w:p>
        </w:tc>
      </w:tr>
      <w:tr>
        <w:tblPrEx>
          <w:tblInd w:w="0" w:type="dxa"/>
          <w:tblLayout w:type="fixed"/>
        </w:tblPrEx>
        <w:trPr>
          <w:trHeight w:val="150"/>
        </w:trPr>
        <w:tc>
          <w:tcPr>
            <w:tcW w:w="2140" w:type="dxa"/>
            <w:tcBorders>
              <w:bottom w:val="single" w:sz="8" w:space="0" w:color="auto"/>
            </w:tcBorders>
            <w:shd w:val="clear" w:color="auto" w:fill="CCEEFF"/>
            <w:vAlign w:val="bottom"/>
          </w:tcPr>
          <w:p>
            <w:pPr>
              <w:spacing w:after="0"/>
              <w:rPr>
                <w:color w:val="auto"/>
                <w:sz w:val="13"/>
                <w:szCs w:val="13"/>
              </w:rPr>
            </w:pPr>
          </w:p>
        </w:tc>
        <w:tc>
          <w:tcPr>
            <w:tcW w:w="2940" w:type="dxa"/>
            <w:tcBorders>
              <w:bottom w:val="single" w:sz="8" w:space="0" w:color="auto"/>
            </w:tcBorders>
            <w:shd w:val="clear" w:color="auto" w:fill="CCEEFF"/>
            <w:vAlign w:val="bottom"/>
          </w:tcPr>
          <w:p>
            <w:pPr>
              <w:spacing w:after="0" w:line="132" w:lineRule="exact"/>
              <w:ind w:left="620"/>
              <w:rPr>
                <w:color w:val="auto"/>
                <w:sz w:val="20"/>
                <w:szCs w:val="20"/>
              </w:rPr>
            </w:pPr>
            <w:r>
              <w:rPr>
                <w:rFonts w:ascii="Calibri" w:eastAsia="Calibri" w:hAnsi="Calibri" w:cs="Calibri"/>
                <w:color w:val="auto"/>
                <w:sz w:val="11"/>
                <w:szCs w:val="11"/>
              </w:rPr>
              <w:t>Total</w:t>
            </w:r>
          </w:p>
        </w:tc>
        <w:tc>
          <w:tcPr>
            <w:tcW w:w="206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248</w:t>
            </w:r>
          </w:p>
        </w:tc>
        <w:tc>
          <w:tcPr>
            <w:tcW w:w="40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272</w:t>
            </w:r>
          </w:p>
        </w:tc>
        <w:tc>
          <w:tcPr>
            <w:tcW w:w="42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346</w:t>
            </w:r>
          </w:p>
        </w:tc>
      </w:tr>
      <w:tr>
        <w:tblPrEx>
          <w:tblInd w:w="0" w:type="dxa"/>
          <w:tblLayout w:type="fixed"/>
        </w:tblPrEx>
        <w:trPr>
          <w:trHeight w:val="134"/>
        </w:trPr>
        <w:tc>
          <w:tcPr>
            <w:tcW w:w="2140" w:type="dxa"/>
            <w:vAlign w:val="bottom"/>
          </w:tcPr>
          <w:p>
            <w:pPr>
              <w:spacing w:after="0" w:line="127" w:lineRule="exact"/>
              <w:rPr>
                <w:color w:val="auto"/>
                <w:sz w:val="20"/>
                <w:szCs w:val="20"/>
              </w:rPr>
            </w:pPr>
            <w:r>
              <w:rPr>
                <w:rFonts w:ascii="Calibri" w:eastAsia="Calibri" w:hAnsi="Calibri" w:cs="Calibri"/>
                <w:color w:val="auto"/>
                <w:sz w:val="11"/>
                <w:szCs w:val="11"/>
              </w:rPr>
              <w:t>Restasis</w:t>
            </w:r>
          </w:p>
        </w:tc>
        <w:tc>
          <w:tcPr>
            <w:tcW w:w="2940" w:type="dxa"/>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206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172</w:t>
            </w:r>
          </w:p>
        </w:tc>
        <w:tc>
          <w:tcPr>
            <w:tcW w:w="400" w:type="dxa"/>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382</w:t>
            </w:r>
          </w:p>
        </w:tc>
        <w:tc>
          <w:tcPr>
            <w:tcW w:w="420" w:type="dxa"/>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vAlign w:val="bottom"/>
          </w:tcPr>
          <w:p>
            <w:pPr>
              <w:spacing w:after="0" w:line="127" w:lineRule="exact"/>
              <w:ind w:right="6"/>
              <w:jc w:val="right"/>
              <w:rPr>
                <w:color w:val="auto"/>
                <w:sz w:val="20"/>
                <w:szCs w:val="20"/>
              </w:rPr>
            </w:pPr>
            <w:r>
              <w:rPr>
                <w:rFonts w:ascii="Calibri" w:eastAsia="Calibri" w:hAnsi="Calibri" w:cs="Calibri"/>
                <w:color w:val="auto"/>
                <w:sz w:val="11"/>
                <w:szCs w:val="11"/>
              </w:rPr>
              <w:t>621</w:t>
            </w:r>
          </w:p>
        </w:tc>
      </w:tr>
      <w:tr>
        <w:tblPrEx>
          <w:tblInd w:w="0" w:type="dxa"/>
          <w:tblLayout w:type="fixed"/>
        </w:tblPrEx>
        <w:trPr>
          <w:trHeight w:val="144"/>
        </w:trPr>
        <w:tc>
          <w:tcPr>
            <w:tcW w:w="2140" w:type="dxa"/>
            <w:tcBorders>
              <w:bottom w:val="single" w:sz="8" w:space="0" w:color="auto"/>
            </w:tcBorders>
            <w:shd w:val="clear" w:color="auto" w:fill="CCEEFF"/>
            <w:vAlign w:val="bottom"/>
          </w:tcPr>
          <w:p>
            <w:pPr>
              <w:spacing w:after="0"/>
              <w:rPr>
                <w:color w:val="auto"/>
                <w:sz w:val="12"/>
                <w:szCs w:val="12"/>
              </w:rPr>
            </w:pPr>
          </w:p>
        </w:tc>
        <w:tc>
          <w:tcPr>
            <w:tcW w:w="2940" w:type="dxa"/>
            <w:tcBorders>
              <w:bottom w:val="single" w:sz="8" w:space="0" w:color="auto"/>
            </w:tcBorders>
            <w:shd w:val="clear" w:color="auto" w:fill="CCEEFF"/>
            <w:vAlign w:val="bottom"/>
          </w:tcPr>
          <w:p>
            <w:pPr>
              <w:spacing w:after="0"/>
              <w:ind w:left="620"/>
              <w:rPr>
                <w:color w:val="auto"/>
                <w:sz w:val="20"/>
                <w:szCs w:val="20"/>
              </w:rPr>
            </w:pPr>
            <w:r>
              <w:rPr>
                <w:rFonts w:ascii="Calibri" w:eastAsia="Calibri" w:hAnsi="Calibri" w:cs="Calibri"/>
                <w:color w:val="auto"/>
                <w:sz w:val="11"/>
                <w:szCs w:val="11"/>
              </w:rPr>
              <w:t>Internatonal</w:t>
            </w:r>
          </w:p>
        </w:tc>
        <w:tc>
          <w:tcPr>
            <w:tcW w:w="206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52</w:t>
            </w:r>
          </w:p>
        </w:tc>
        <w:tc>
          <w:tcPr>
            <w:tcW w:w="400" w:type="dxa"/>
            <w:tcBorders>
              <w:bottom w:val="single" w:sz="8" w:space="0" w:color="auto"/>
            </w:tcBorders>
            <w:shd w:val="clear" w:color="auto" w:fill="CCEEFF"/>
            <w:vAlign w:val="bottom"/>
          </w:tcPr>
          <w:p>
            <w:pPr>
              <w:spacing w:after="0"/>
              <w:rPr>
                <w:color w:val="auto"/>
                <w:sz w:val="12"/>
                <w:szCs w:val="12"/>
              </w:rPr>
            </w:pP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54</w:t>
            </w:r>
          </w:p>
        </w:tc>
        <w:tc>
          <w:tcPr>
            <w:tcW w:w="420" w:type="dxa"/>
            <w:tcBorders>
              <w:bottom w:val="single" w:sz="8" w:space="0" w:color="auto"/>
            </w:tcBorders>
            <w:shd w:val="clear" w:color="auto" w:fill="CCEEFF"/>
            <w:vAlign w:val="bottom"/>
          </w:tcPr>
          <w:p>
            <w:pPr>
              <w:spacing w:after="0"/>
              <w:rPr>
                <w:color w:val="auto"/>
                <w:sz w:val="12"/>
                <w:szCs w:val="12"/>
              </w:rPr>
            </w:pP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45</w:t>
            </w:r>
          </w:p>
        </w:tc>
      </w:tr>
      <w:tr>
        <w:tblPrEx>
          <w:tblInd w:w="0" w:type="dxa"/>
          <w:tblLayout w:type="fixed"/>
        </w:tblPrEx>
        <w:trPr>
          <w:trHeight w:val="133"/>
        </w:trPr>
        <w:tc>
          <w:tcPr>
            <w:tcW w:w="2140" w:type="dxa"/>
            <w:tcBorders>
              <w:bottom w:val="single" w:sz="8" w:space="0" w:color="auto"/>
            </w:tcBorders>
            <w:vAlign w:val="bottom"/>
          </w:tcPr>
          <w:p>
            <w:pPr>
              <w:spacing w:after="0"/>
              <w:rPr>
                <w:color w:val="auto"/>
                <w:sz w:val="11"/>
                <w:szCs w:val="11"/>
              </w:rPr>
            </w:pP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Total</w:t>
            </w:r>
          </w:p>
        </w:tc>
        <w:tc>
          <w:tcPr>
            <w:tcW w:w="206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224</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436</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666</w:t>
            </w:r>
          </w:p>
        </w:tc>
      </w:tr>
      <w:tr>
        <w:tblPrEx>
          <w:tblInd w:w="0" w:type="dxa"/>
          <w:tblLayout w:type="fixed"/>
        </w:tblPrEx>
        <w:trPr>
          <w:trHeight w:val="142"/>
        </w:trPr>
        <w:tc>
          <w:tcPr>
            <w:tcW w:w="2140" w:type="dxa"/>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Other Eye Care</w:t>
            </w:r>
          </w:p>
        </w:tc>
        <w:tc>
          <w:tcPr>
            <w:tcW w:w="294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206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472</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433</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399</w:t>
            </w:r>
          </w:p>
        </w:tc>
      </w:tr>
      <w:tr>
        <w:tblPrEx>
          <w:tblInd w:w="0" w:type="dxa"/>
          <w:tblLayout w:type="fixed"/>
        </w:tblPrEx>
        <w:trPr>
          <w:trHeight w:val="135"/>
        </w:trPr>
        <w:tc>
          <w:tcPr>
            <w:tcW w:w="2140" w:type="dxa"/>
            <w:tcBorders>
              <w:bottom w:val="single" w:sz="8" w:space="0" w:color="auto"/>
            </w:tcBorders>
            <w:vAlign w:val="bottom"/>
          </w:tcPr>
          <w:p>
            <w:pPr>
              <w:spacing w:after="0"/>
              <w:rPr>
                <w:color w:val="auto"/>
                <w:sz w:val="11"/>
                <w:szCs w:val="11"/>
              </w:rPr>
            </w:pP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206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375</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370</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348</w:t>
            </w:r>
          </w:p>
        </w:tc>
      </w:tr>
      <w:tr>
        <w:tblPrEx>
          <w:tblInd w:w="0" w:type="dxa"/>
          <w:tblLayout w:type="fixed"/>
        </w:tblPrEx>
        <w:trPr>
          <w:trHeight w:val="150"/>
        </w:trPr>
        <w:tc>
          <w:tcPr>
            <w:tcW w:w="2140" w:type="dxa"/>
            <w:tcBorders>
              <w:bottom w:val="single" w:sz="8" w:space="0" w:color="auto"/>
            </w:tcBorders>
            <w:shd w:val="clear" w:color="auto" w:fill="CCEEFF"/>
            <w:vAlign w:val="bottom"/>
          </w:tcPr>
          <w:p>
            <w:pPr>
              <w:spacing w:after="0"/>
              <w:rPr>
                <w:color w:val="auto"/>
                <w:sz w:val="13"/>
                <w:szCs w:val="13"/>
              </w:rPr>
            </w:pPr>
          </w:p>
        </w:tc>
        <w:tc>
          <w:tcPr>
            <w:tcW w:w="2940" w:type="dxa"/>
            <w:tcBorders>
              <w:bottom w:val="single" w:sz="8" w:space="0" w:color="auto"/>
            </w:tcBorders>
            <w:shd w:val="clear" w:color="auto" w:fill="CCEEFF"/>
            <w:vAlign w:val="bottom"/>
          </w:tcPr>
          <w:p>
            <w:pPr>
              <w:spacing w:after="0" w:line="132" w:lineRule="exact"/>
              <w:ind w:left="620"/>
              <w:rPr>
                <w:color w:val="auto"/>
                <w:sz w:val="20"/>
                <w:szCs w:val="20"/>
              </w:rPr>
            </w:pPr>
            <w:r>
              <w:rPr>
                <w:rFonts w:ascii="Calibri" w:eastAsia="Calibri" w:hAnsi="Calibri" w:cs="Calibri"/>
                <w:color w:val="auto"/>
                <w:sz w:val="11"/>
                <w:szCs w:val="11"/>
              </w:rPr>
              <w:t>Total</w:t>
            </w:r>
          </w:p>
        </w:tc>
        <w:tc>
          <w:tcPr>
            <w:tcW w:w="206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847</w:t>
            </w:r>
          </w:p>
        </w:tc>
        <w:tc>
          <w:tcPr>
            <w:tcW w:w="40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803</w:t>
            </w:r>
          </w:p>
        </w:tc>
        <w:tc>
          <w:tcPr>
            <w:tcW w:w="42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747</w:t>
            </w:r>
          </w:p>
        </w:tc>
      </w:tr>
      <w:tr>
        <w:tblPrEx>
          <w:tblInd w:w="0" w:type="dxa"/>
          <w:tblLayout w:type="fixed"/>
        </w:tblPrEx>
        <w:trPr>
          <w:trHeight w:val="134"/>
        </w:trPr>
        <w:tc>
          <w:tcPr>
            <w:tcW w:w="2140" w:type="dxa"/>
            <w:vAlign w:val="bottom"/>
          </w:tcPr>
          <w:p>
            <w:pPr>
              <w:spacing w:after="0" w:line="127" w:lineRule="exact"/>
              <w:rPr>
                <w:color w:val="auto"/>
                <w:sz w:val="20"/>
                <w:szCs w:val="20"/>
              </w:rPr>
            </w:pPr>
            <w:r>
              <w:rPr>
                <w:rFonts w:ascii="Calibri" w:eastAsia="Calibri" w:hAnsi="Calibri" w:cs="Calibri"/>
                <w:b/>
                <w:bCs/>
                <w:color w:val="auto"/>
                <w:sz w:val="11"/>
                <w:szCs w:val="11"/>
              </w:rPr>
              <w:t>Other Key Products</w:t>
            </w:r>
          </w:p>
        </w:tc>
        <w:tc>
          <w:tcPr>
            <w:tcW w:w="2940" w:type="dxa"/>
            <w:vAlign w:val="bottom"/>
          </w:tcPr>
          <w:p>
            <w:pPr>
              <w:spacing w:after="0"/>
              <w:rPr>
                <w:color w:val="auto"/>
                <w:sz w:val="11"/>
                <w:szCs w:val="11"/>
              </w:rPr>
            </w:pPr>
          </w:p>
        </w:tc>
        <w:tc>
          <w:tcPr>
            <w:tcW w:w="206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00" w:type="dxa"/>
            <w:vAlign w:val="bottom"/>
          </w:tcPr>
          <w:p>
            <w:pPr>
              <w:spacing w:after="0"/>
              <w:rPr>
                <w:color w:val="auto"/>
                <w:sz w:val="11"/>
                <w:szCs w:val="11"/>
              </w:rPr>
            </w:pPr>
          </w:p>
        </w:tc>
        <w:tc>
          <w:tcPr>
            <w:tcW w:w="1120" w:type="dxa"/>
            <w:vAlign w:val="bottom"/>
          </w:tcPr>
          <w:p>
            <w:pPr>
              <w:spacing w:after="0"/>
              <w:rPr>
                <w:color w:val="auto"/>
                <w:sz w:val="11"/>
                <w:szCs w:val="11"/>
              </w:rPr>
            </w:pPr>
          </w:p>
        </w:tc>
        <w:tc>
          <w:tcPr>
            <w:tcW w:w="420" w:type="dxa"/>
            <w:vAlign w:val="bottom"/>
          </w:tcPr>
          <w:p>
            <w:pPr>
              <w:spacing w:after="0"/>
              <w:rPr>
                <w:color w:val="auto"/>
                <w:sz w:val="11"/>
                <w:szCs w:val="11"/>
              </w:rPr>
            </w:pPr>
          </w:p>
        </w:tc>
        <w:tc>
          <w:tcPr>
            <w:tcW w:w="1100" w:type="dxa"/>
            <w:vAlign w:val="bottom"/>
          </w:tcPr>
          <w:p>
            <w:pPr>
              <w:spacing w:after="0"/>
              <w:rPr>
                <w:color w:val="auto"/>
                <w:sz w:val="11"/>
                <w:szCs w:val="11"/>
              </w:rPr>
            </w:pPr>
          </w:p>
        </w:tc>
      </w:tr>
      <w:tr>
        <w:tblPrEx>
          <w:tblInd w:w="0" w:type="dxa"/>
          <w:tblLayout w:type="fixed"/>
        </w:tblPrEx>
        <w:trPr>
          <w:trHeight w:val="153"/>
        </w:trPr>
        <w:tc>
          <w:tcPr>
            <w:tcW w:w="2140" w:type="dxa"/>
            <w:shd w:val="clear" w:color="auto" w:fill="CCEEFF"/>
            <w:vAlign w:val="bottom"/>
          </w:tcPr>
          <w:p>
            <w:pPr>
              <w:spacing w:after="0"/>
              <w:rPr>
                <w:color w:val="auto"/>
                <w:sz w:val="20"/>
                <w:szCs w:val="20"/>
              </w:rPr>
            </w:pPr>
            <w:r>
              <w:rPr>
                <w:rFonts w:ascii="Calibri" w:eastAsia="Calibri" w:hAnsi="Calibri" w:cs="Calibri"/>
                <w:color w:val="auto"/>
                <w:sz w:val="11"/>
                <w:szCs w:val="11"/>
              </w:rPr>
              <w:t>Mavyret</w:t>
            </w:r>
          </w:p>
        </w:tc>
        <w:tc>
          <w:tcPr>
            <w:tcW w:w="2940" w:type="dxa"/>
            <w:shd w:val="clear" w:color="auto" w:fill="CCEEFF"/>
            <w:vAlign w:val="bottom"/>
          </w:tcPr>
          <w:p>
            <w:pPr>
              <w:spacing w:after="0"/>
              <w:ind w:left="620"/>
              <w:rPr>
                <w:color w:val="auto"/>
                <w:sz w:val="20"/>
                <w:szCs w:val="20"/>
              </w:rPr>
            </w:pPr>
            <w:r>
              <w:rPr>
                <w:rFonts w:ascii="Calibri" w:eastAsia="Calibri" w:hAnsi="Calibri" w:cs="Calibri"/>
                <w:color w:val="auto"/>
                <w:sz w:val="11"/>
                <w:szCs w:val="11"/>
              </w:rPr>
              <w:t>United States</w:t>
            </w:r>
          </w:p>
        </w:tc>
        <w:tc>
          <w:tcPr>
            <w:tcW w:w="2060" w:type="dxa"/>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595</w:t>
            </w:r>
          </w:p>
        </w:tc>
        <w:tc>
          <w:tcPr>
            <w:tcW w:w="400" w:type="dxa"/>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659</w:t>
            </w:r>
          </w:p>
        </w:tc>
        <w:tc>
          <w:tcPr>
            <w:tcW w:w="420" w:type="dxa"/>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755</w:t>
            </w:r>
          </w:p>
        </w:tc>
      </w:tr>
      <w:tr>
        <w:tblPrEx>
          <w:tblInd w:w="0" w:type="dxa"/>
          <w:tblLayout w:type="fixed"/>
        </w:tblPrEx>
        <w:trPr>
          <w:trHeight w:val="136"/>
        </w:trPr>
        <w:tc>
          <w:tcPr>
            <w:tcW w:w="2140" w:type="dxa"/>
            <w:tcBorders>
              <w:bottom w:val="single" w:sz="8" w:space="0" w:color="auto"/>
            </w:tcBorders>
            <w:vAlign w:val="bottom"/>
          </w:tcPr>
          <w:p>
            <w:pPr>
              <w:spacing w:after="0"/>
              <w:rPr>
                <w:color w:val="auto"/>
                <w:sz w:val="11"/>
                <w:szCs w:val="11"/>
              </w:rPr>
            </w:pP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206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716</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771</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786</w:t>
            </w:r>
          </w:p>
        </w:tc>
      </w:tr>
      <w:tr>
        <w:tblPrEx>
          <w:tblInd w:w="0" w:type="dxa"/>
          <w:tblLayout w:type="fixed"/>
        </w:tblPrEx>
        <w:trPr>
          <w:trHeight w:val="150"/>
        </w:trPr>
        <w:tc>
          <w:tcPr>
            <w:tcW w:w="2140" w:type="dxa"/>
            <w:tcBorders>
              <w:bottom w:val="single" w:sz="8" w:space="0" w:color="auto"/>
            </w:tcBorders>
            <w:shd w:val="clear" w:color="auto" w:fill="CCEEFF"/>
            <w:vAlign w:val="bottom"/>
          </w:tcPr>
          <w:p>
            <w:pPr>
              <w:spacing w:after="0"/>
              <w:rPr>
                <w:color w:val="auto"/>
                <w:sz w:val="13"/>
                <w:szCs w:val="13"/>
              </w:rPr>
            </w:pPr>
          </w:p>
        </w:tc>
        <w:tc>
          <w:tcPr>
            <w:tcW w:w="2940" w:type="dxa"/>
            <w:tcBorders>
              <w:bottom w:val="single" w:sz="8" w:space="0" w:color="auto"/>
            </w:tcBorders>
            <w:shd w:val="clear" w:color="auto" w:fill="CCEEFF"/>
            <w:vAlign w:val="bottom"/>
          </w:tcPr>
          <w:p>
            <w:pPr>
              <w:spacing w:after="0" w:line="132" w:lineRule="exact"/>
              <w:ind w:left="620"/>
              <w:rPr>
                <w:color w:val="auto"/>
                <w:sz w:val="20"/>
                <w:szCs w:val="20"/>
              </w:rPr>
            </w:pPr>
            <w:r>
              <w:rPr>
                <w:rFonts w:ascii="Calibri" w:eastAsia="Calibri" w:hAnsi="Calibri" w:cs="Calibri"/>
                <w:color w:val="auto"/>
                <w:sz w:val="11"/>
                <w:szCs w:val="11"/>
              </w:rPr>
              <w:t>Total</w:t>
            </w:r>
          </w:p>
        </w:tc>
        <w:tc>
          <w:tcPr>
            <w:tcW w:w="206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1,311</w:t>
            </w:r>
          </w:p>
        </w:tc>
        <w:tc>
          <w:tcPr>
            <w:tcW w:w="40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1,430</w:t>
            </w:r>
          </w:p>
        </w:tc>
        <w:tc>
          <w:tcPr>
            <w:tcW w:w="42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1,541</w:t>
            </w:r>
          </w:p>
        </w:tc>
      </w:tr>
      <w:tr>
        <w:tblPrEx>
          <w:tblInd w:w="0" w:type="dxa"/>
          <w:tblLayout w:type="fixed"/>
        </w:tblPrEx>
        <w:trPr>
          <w:trHeight w:val="134"/>
        </w:trPr>
        <w:tc>
          <w:tcPr>
            <w:tcW w:w="2140" w:type="dxa"/>
            <w:tcBorders>
              <w:bottom w:val="single" w:sz="8" w:space="0" w:color="auto"/>
            </w:tcBorders>
            <w:vAlign w:val="bottom"/>
          </w:tcPr>
          <w:p>
            <w:pPr>
              <w:spacing w:after="0" w:line="127" w:lineRule="exact"/>
              <w:rPr>
                <w:color w:val="auto"/>
                <w:sz w:val="20"/>
                <w:szCs w:val="20"/>
              </w:rPr>
            </w:pPr>
            <w:r>
              <w:rPr>
                <w:rFonts w:ascii="Calibri" w:eastAsia="Calibri" w:hAnsi="Calibri" w:cs="Calibri"/>
                <w:color w:val="auto"/>
                <w:sz w:val="11"/>
                <w:szCs w:val="11"/>
              </w:rPr>
              <w:t>Creon</w:t>
            </w: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206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1,383</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1,268</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1,278</w:t>
            </w:r>
          </w:p>
        </w:tc>
      </w:tr>
      <w:tr>
        <w:tblPrEx>
          <w:tblInd w:w="0" w:type="dxa"/>
          <w:tblLayout w:type="fixed"/>
        </w:tblPrEx>
        <w:trPr>
          <w:trHeight w:val="141"/>
        </w:trPr>
        <w:tc>
          <w:tcPr>
            <w:tcW w:w="2140" w:type="dxa"/>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Linzess/Constella</w:t>
            </w:r>
          </w:p>
        </w:tc>
        <w:tc>
          <w:tcPr>
            <w:tcW w:w="2940" w:type="dxa"/>
            <w:shd w:val="clear" w:color="auto" w:fill="CCEEFF"/>
            <w:vAlign w:val="bottom"/>
          </w:tcPr>
          <w:p>
            <w:pPr>
              <w:spacing w:after="0" w:line="127" w:lineRule="exact"/>
              <w:ind w:left="620"/>
              <w:rPr>
                <w:color w:val="auto"/>
                <w:sz w:val="20"/>
                <w:szCs w:val="20"/>
              </w:rPr>
            </w:pPr>
            <w:r>
              <w:rPr>
                <w:rFonts w:ascii="Calibri" w:eastAsia="Calibri" w:hAnsi="Calibri" w:cs="Calibri"/>
                <w:color w:val="auto"/>
                <w:sz w:val="11"/>
                <w:szCs w:val="11"/>
              </w:rPr>
              <w:t>United States</w:t>
            </w:r>
          </w:p>
        </w:tc>
        <w:tc>
          <w:tcPr>
            <w:tcW w:w="206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916</w:t>
            </w:r>
          </w:p>
        </w:tc>
        <w:tc>
          <w:tcPr>
            <w:tcW w:w="400" w:type="dxa"/>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1,073</w:t>
            </w:r>
          </w:p>
        </w:tc>
        <w:tc>
          <w:tcPr>
            <w:tcW w:w="420" w:type="dxa"/>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1,003</w:t>
            </w:r>
          </w:p>
        </w:tc>
      </w:tr>
      <w:tr>
        <w:tblPrEx>
          <w:tblInd w:w="0" w:type="dxa"/>
          <w:tblLayout w:type="fixed"/>
        </w:tblPrEx>
        <w:trPr>
          <w:trHeight w:val="135"/>
        </w:trPr>
        <w:tc>
          <w:tcPr>
            <w:tcW w:w="2140" w:type="dxa"/>
            <w:tcBorders>
              <w:bottom w:val="single" w:sz="8" w:space="0" w:color="auto"/>
            </w:tcBorders>
            <w:vAlign w:val="bottom"/>
          </w:tcPr>
          <w:p>
            <w:pPr>
              <w:spacing w:after="0"/>
              <w:rPr>
                <w:color w:val="auto"/>
                <w:sz w:val="11"/>
                <w:szCs w:val="11"/>
              </w:rPr>
            </w:pPr>
          </w:p>
        </w:tc>
        <w:tc>
          <w:tcPr>
            <w:tcW w:w="2940" w:type="dxa"/>
            <w:tcBorders>
              <w:bottom w:val="single" w:sz="8" w:space="0" w:color="auto"/>
            </w:tcBorders>
            <w:vAlign w:val="bottom"/>
          </w:tcPr>
          <w:p>
            <w:pPr>
              <w:spacing w:after="0" w:line="127" w:lineRule="exact"/>
              <w:ind w:left="620"/>
              <w:rPr>
                <w:color w:val="auto"/>
                <w:sz w:val="20"/>
                <w:szCs w:val="20"/>
              </w:rPr>
            </w:pPr>
            <w:r>
              <w:rPr>
                <w:rFonts w:ascii="Calibri" w:eastAsia="Calibri" w:hAnsi="Calibri" w:cs="Calibri"/>
                <w:color w:val="auto"/>
                <w:sz w:val="11"/>
                <w:szCs w:val="11"/>
              </w:rPr>
              <w:t>Internatonal</w:t>
            </w:r>
          </w:p>
        </w:tc>
        <w:tc>
          <w:tcPr>
            <w:tcW w:w="206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38</w:t>
            </w:r>
          </w:p>
        </w:tc>
        <w:tc>
          <w:tcPr>
            <w:tcW w:w="400" w:type="dxa"/>
            <w:tcBorders>
              <w:bottom w:val="single" w:sz="8" w:space="0" w:color="auto"/>
            </w:tcBorders>
            <w:vAlign w:val="bottom"/>
          </w:tcPr>
          <w:p>
            <w:pPr>
              <w:spacing w:after="0"/>
              <w:rPr>
                <w:color w:val="auto"/>
                <w:sz w:val="11"/>
                <w:szCs w:val="11"/>
              </w:rPr>
            </w:pP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35</w:t>
            </w:r>
          </w:p>
        </w:tc>
        <w:tc>
          <w:tcPr>
            <w:tcW w:w="420" w:type="dxa"/>
            <w:tcBorders>
              <w:bottom w:val="single" w:sz="8" w:space="0" w:color="auto"/>
            </w:tcBorders>
            <w:vAlign w:val="bottom"/>
          </w:tcPr>
          <w:p>
            <w:pPr>
              <w:spacing w:after="0"/>
              <w:rPr>
                <w:color w:val="auto"/>
                <w:sz w:val="11"/>
                <w:szCs w:val="11"/>
              </w:rPr>
            </w:pP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32</w:t>
            </w:r>
          </w:p>
        </w:tc>
      </w:tr>
      <w:tr>
        <w:tblPrEx>
          <w:tblInd w:w="0" w:type="dxa"/>
          <w:tblLayout w:type="fixed"/>
        </w:tblPrEx>
        <w:trPr>
          <w:trHeight w:val="150"/>
        </w:trPr>
        <w:tc>
          <w:tcPr>
            <w:tcW w:w="2140" w:type="dxa"/>
            <w:tcBorders>
              <w:bottom w:val="single" w:sz="8" w:space="0" w:color="auto"/>
            </w:tcBorders>
            <w:shd w:val="clear" w:color="auto" w:fill="CCEEFF"/>
            <w:vAlign w:val="bottom"/>
          </w:tcPr>
          <w:p>
            <w:pPr>
              <w:spacing w:after="0"/>
              <w:rPr>
                <w:color w:val="auto"/>
                <w:sz w:val="13"/>
                <w:szCs w:val="13"/>
              </w:rPr>
            </w:pPr>
          </w:p>
        </w:tc>
        <w:tc>
          <w:tcPr>
            <w:tcW w:w="2940" w:type="dxa"/>
            <w:tcBorders>
              <w:bottom w:val="single" w:sz="8" w:space="0" w:color="auto"/>
            </w:tcBorders>
            <w:shd w:val="clear" w:color="auto" w:fill="CCEEFF"/>
            <w:vAlign w:val="bottom"/>
          </w:tcPr>
          <w:p>
            <w:pPr>
              <w:spacing w:after="0" w:line="132" w:lineRule="exact"/>
              <w:ind w:left="620"/>
              <w:rPr>
                <w:color w:val="auto"/>
                <w:sz w:val="20"/>
                <w:szCs w:val="20"/>
              </w:rPr>
            </w:pPr>
            <w:r>
              <w:rPr>
                <w:rFonts w:ascii="Calibri" w:eastAsia="Calibri" w:hAnsi="Calibri" w:cs="Calibri"/>
                <w:color w:val="auto"/>
                <w:sz w:val="11"/>
                <w:szCs w:val="11"/>
              </w:rPr>
              <w:t>Total</w:t>
            </w:r>
          </w:p>
        </w:tc>
        <w:tc>
          <w:tcPr>
            <w:tcW w:w="206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954</w:t>
            </w:r>
          </w:p>
        </w:tc>
        <w:tc>
          <w:tcPr>
            <w:tcW w:w="400" w:type="dxa"/>
            <w:tcBorders>
              <w:bottom w:val="single" w:sz="8" w:space="0" w:color="auto"/>
            </w:tcBorders>
            <w:shd w:val="clear" w:color="auto" w:fill="CCEEFF"/>
            <w:vAlign w:val="bottom"/>
          </w:tcPr>
          <w:p>
            <w:pPr>
              <w:spacing w:after="0"/>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1,108</w:t>
            </w:r>
          </w:p>
        </w:tc>
        <w:tc>
          <w:tcPr>
            <w:tcW w:w="420" w:type="dxa"/>
            <w:tcBorders>
              <w:bottom w:val="single" w:sz="8" w:space="0" w:color="auto"/>
            </w:tcBorders>
            <w:shd w:val="clear" w:color="auto" w:fill="CCEEFF"/>
            <w:vAlign w:val="bottom"/>
          </w:tcPr>
          <w:p>
            <w:pPr>
              <w:spacing w:after="0"/>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ind w:right="6"/>
              <w:jc w:val="right"/>
              <w:rPr>
                <w:color w:val="auto"/>
                <w:sz w:val="20"/>
                <w:szCs w:val="20"/>
              </w:rPr>
            </w:pPr>
            <w:r>
              <w:rPr>
                <w:rFonts w:ascii="Calibri" w:eastAsia="Calibri" w:hAnsi="Calibri" w:cs="Calibri"/>
                <w:color w:val="auto"/>
                <w:sz w:val="11"/>
                <w:szCs w:val="11"/>
              </w:rPr>
              <w:t>1,035</w:t>
            </w:r>
          </w:p>
        </w:tc>
      </w:tr>
      <w:tr>
        <w:tblPrEx>
          <w:tblInd w:w="0" w:type="dxa"/>
          <w:tblLayout w:type="fixed"/>
        </w:tblPrEx>
        <w:trPr>
          <w:trHeight w:val="134"/>
        </w:trPr>
        <w:tc>
          <w:tcPr>
            <w:tcW w:w="2140" w:type="dxa"/>
            <w:tcBorders>
              <w:bottom w:val="single" w:sz="8" w:space="0" w:color="auto"/>
            </w:tcBorders>
            <w:vAlign w:val="bottom"/>
          </w:tcPr>
          <w:p>
            <w:pPr>
              <w:spacing w:after="0" w:line="127" w:lineRule="exact"/>
              <w:rPr>
                <w:color w:val="auto"/>
                <w:sz w:val="20"/>
                <w:szCs w:val="20"/>
              </w:rPr>
            </w:pPr>
            <w:r>
              <w:rPr>
                <w:rFonts w:ascii="Calibri" w:eastAsia="Calibri" w:hAnsi="Calibri" w:cs="Calibri"/>
                <w:color w:val="auto"/>
                <w:sz w:val="11"/>
                <w:szCs w:val="11"/>
              </w:rPr>
              <w:t>All other</w:t>
            </w:r>
          </w:p>
        </w:tc>
        <w:tc>
          <w:tcPr>
            <w:tcW w:w="2940" w:type="dxa"/>
            <w:tcBorders>
              <w:bottom w:val="single" w:sz="8" w:space="0" w:color="auto"/>
            </w:tcBorders>
            <w:vAlign w:val="bottom"/>
          </w:tcPr>
          <w:p>
            <w:pPr>
              <w:spacing w:after="0"/>
              <w:rPr>
                <w:color w:val="auto"/>
                <w:sz w:val="11"/>
                <w:szCs w:val="11"/>
              </w:rPr>
            </w:pPr>
          </w:p>
        </w:tc>
        <w:tc>
          <w:tcPr>
            <w:tcW w:w="206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3,032</w:t>
            </w:r>
          </w:p>
        </w:tc>
        <w:tc>
          <w:tcPr>
            <w:tcW w:w="400" w:type="dxa"/>
            <w:tcBorders>
              <w:bottom w:val="single" w:sz="8" w:space="0" w:color="auto"/>
            </w:tcBorders>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3,035</w:t>
            </w:r>
          </w:p>
        </w:tc>
        <w:tc>
          <w:tcPr>
            <w:tcW w:w="420" w:type="dxa"/>
            <w:tcBorders>
              <w:bottom w:val="single" w:sz="8" w:space="0" w:color="auto"/>
            </w:tcBorders>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vAlign w:val="bottom"/>
          </w:tcPr>
          <w:p>
            <w:pPr>
              <w:spacing w:after="0" w:line="127" w:lineRule="exact"/>
              <w:ind w:right="6"/>
              <w:jc w:val="right"/>
              <w:rPr>
                <w:color w:val="auto"/>
                <w:sz w:val="20"/>
                <w:szCs w:val="20"/>
              </w:rPr>
            </w:pPr>
            <w:r>
              <w:rPr>
                <w:rFonts w:ascii="Calibri" w:eastAsia="Calibri" w:hAnsi="Calibri" w:cs="Calibri"/>
                <w:color w:val="auto"/>
                <w:sz w:val="11"/>
                <w:szCs w:val="11"/>
              </w:rPr>
              <w:t>4,137</w:t>
            </w:r>
          </w:p>
        </w:tc>
      </w:tr>
      <w:tr>
        <w:tblPrEx>
          <w:tblInd w:w="0" w:type="dxa"/>
          <w:tblLayout w:type="fixed"/>
        </w:tblPrEx>
        <w:trPr>
          <w:trHeight w:val="158"/>
        </w:trPr>
        <w:tc>
          <w:tcPr>
            <w:tcW w:w="2140" w:type="dxa"/>
            <w:tcBorders>
              <w:bottom w:val="single" w:sz="8" w:space="0" w:color="auto"/>
            </w:tcBorders>
            <w:shd w:val="clear" w:color="auto" w:fill="CCEEFF"/>
            <w:vAlign w:val="bottom"/>
          </w:tcPr>
          <w:p>
            <w:pPr>
              <w:spacing w:after="0" w:line="127" w:lineRule="exact"/>
              <w:rPr>
                <w:color w:val="auto"/>
                <w:sz w:val="20"/>
                <w:szCs w:val="20"/>
              </w:rPr>
            </w:pPr>
            <w:r>
              <w:rPr>
                <w:rFonts w:ascii="Calibri" w:eastAsia="Calibri" w:hAnsi="Calibri" w:cs="Calibri"/>
                <w:color w:val="auto"/>
                <w:sz w:val="11"/>
                <w:szCs w:val="11"/>
              </w:rPr>
              <w:t>Total net revenues</w:t>
            </w:r>
          </w:p>
        </w:tc>
        <w:tc>
          <w:tcPr>
            <w:tcW w:w="2940" w:type="dxa"/>
            <w:tcBorders>
              <w:bottom w:val="single" w:sz="8" w:space="0" w:color="auto"/>
            </w:tcBorders>
            <w:shd w:val="clear" w:color="auto" w:fill="CCEEFF"/>
            <w:vAlign w:val="bottom"/>
          </w:tcPr>
          <w:p>
            <w:pPr>
              <w:spacing w:after="0"/>
              <w:rPr>
                <w:color w:val="auto"/>
                <w:sz w:val="13"/>
                <w:szCs w:val="13"/>
              </w:rPr>
            </w:pPr>
          </w:p>
        </w:tc>
        <w:tc>
          <w:tcPr>
            <w:tcW w:w="206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56,334</w:t>
            </w:r>
          </w:p>
        </w:tc>
        <w:tc>
          <w:tcPr>
            <w:tcW w:w="400" w:type="dxa"/>
            <w:tcBorders>
              <w:bottom w:val="single" w:sz="8" w:space="0" w:color="auto"/>
            </w:tcBorders>
            <w:shd w:val="clear" w:color="auto" w:fill="CCEEFF"/>
            <w:vAlign w:val="bottom"/>
          </w:tcPr>
          <w:p>
            <w:pPr>
              <w:spacing w:after="0" w:line="127" w:lineRule="exact"/>
              <w:ind w:right="206"/>
              <w:jc w:val="right"/>
              <w:rPr>
                <w:color w:val="auto"/>
                <w:sz w:val="20"/>
                <w:szCs w:val="20"/>
              </w:rPr>
            </w:pPr>
            <w:r>
              <w:rPr>
                <w:rFonts w:ascii="Calibri" w:eastAsia="Calibri" w:hAnsi="Calibri" w:cs="Calibri"/>
                <w:color w:val="auto"/>
                <w:sz w:val="11"/>
                <w:szCs w:val="11"/>
              </w:rPr>
              <w:t>$</w:t>
            </w:r>
          </w:p>
        </w:tc>
        <w:tc>
          <w:tcPr>
            <w:tcW w:w="112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54,318</w:t>
            </w:r>
          </w:p>
        </w:tc>
        <w:tc>
          <w:tcPr>
            <w:tcW w:w="420" w:type="dxa"/>
            <w:tcBorders>
              <w:bottom w:val="single" w:sz="8" w:space="0" w:color="auto"/>
            </w:tcBorders>
            <w:shd w:val="clear" w:color="auto" w:fill="CCEEFF"/>
            <w:vAlign w:val="bottom"/>
          </w:tcPr>
          <w:p>
            <w:pPr>
              <w:spacing w:after="0" w:line="127" w:lineRule="exact"/>
              <w:ind w:right="226"/>
              <w:jc w:val="right"/>
              <w:rPr>
                <w:color w:val="auto"/>
                <w:sz w:val="20"/>
                <w:szCs w:val="20"/>
              </w:rPr>
            </w:pPr>
            <w:r>
              <w:rPr>
                <w:rFonts w:ascii="Calibri" w:eastAsia="Calibri" w:hAnsi="Calibri" w:cs="Calibri"/>
                <w:color w:val="auto"/>
                <w:sz w:val="11"/>
                <w:szCs w:val="11"/>
              </w:rPr>
              <w:t>$</w:t>
            </w:r>
          </w:p>
        </w:tc>
        <w:tc>
          <w:tcPr>
            <w:tcW w:w="1100" w:type="dxa"/>
            <w:tcBorders>
              <w:bottom w:val="single" w:sz="8" w:space="0" w:color="auto"/>
            </w:tcBorders>
            <w:shd w:val="clear" w:color="auto" w:fill="CCEEFF"/>
            <w:vAlign w:val="bottom"/>
          </w:tcPr>
          <w:p>
            <w:pPr>
              <w:spacing w:after="0" w:line="127" w:lineRule="exact"/>
              <w:ind w:right="6"/>
              <w:jc w:val="right"/>
              <w:rPr>
                <w:color w:val="auto"/>
                <w:sz w:val="20"/>
                <w:szCs w:val="20"/>
              </w:rPr>
            </w:pPr>
            <w:r>
              <w:rPr>
                <w:rFonts w:ascii="Calibri" w:eastAsia="Calibri" w:hAnsi="Calibri" w:cs="Calibri"/>
                <w:color w:val="auto"/>
                <w:sz w:val="11"/>
                <w:szCs w:val="11"/>
              </w:rPr>
              <w:t>58,054</w:t>
            </w:r>
          </w:p>
        </w:tc>
      </w:tr>
    </w:tbl>
    <w:p>
      <w:pPr>
        <w:spacing w:after="0" w:line="135" w:lineRule="exact"/>
        <w:rPr>
          <w:color w:val="auto"/>
          <w:sz w:val="20"/>
          <w:szCs w:val="20"/>
        </w:rPr>
      </w:pPr>
    </w:p>
    <w:p>
      <w:pPr>
        <w:numPr>
          <w:ilvl w:val="0"/>
          <w:numId w:val="30"/>
        </w:numPr>
        <w:tabs>
          <w:tab w:val="left" w:pos="320"/>
        </w:tabs>
        <w:spacing w:after="0"/>
        <w:ind w:left="320" w:hanging="301"/>
        <w:rPr>
          <w:rFonts w:ascii="Calibri" w:eastAsia="Calibri" w:hAnsi="Calibri" w:cs="Calibri"/>
          <w:color w:val="auto"/>
          <w:sz w:val="11"/>
          <w:szCs w:val="11"/>
        </w:rPr>
      </w:pPr>
      <w:r>
        <w:rPr>
          <w:rFonts w:ascii="Calibri" w:eastAsia="Calibri" w:hAnsi="Calibri" w:cs="Calibri"/>
          <w:color w:val="auto"/>
          <w:sz w:val="11"/>
          <w:szCs w:val="11"/>
        </w:rPr>
        <w:t>Net revenues include ImmunoGen product revenues afer the acquisiton closing date of February 12, 2024.</w:t>
      </w:r>
    </w:p>
    <w:p>
      <w:pPr>
        <w:spacing w:after="0" w:line="200" w:lineRule="exact"/>
        <w:rPr>
          <w:color w:val="auto"/>
          <w:sz w:val="20"/>
          <w:szCs w:val="20"/>
        </w:rPr>
      </w:pPr>
    </w:p>
    <w:p>
      <w:pPr>
        <w:spacing w:after="0" w:line="258"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99</w:t>
      </w:r>
      <w:r>
        <w:rPr>
          <w:color w:val="auto"/>
          <w:sz w:val="20"/>
          <w:szCs w:val="20"/>
        </w:rPr>
        <w:tab/>
      </w:r>
      <w:r>
        <w:rPr>
          <w:color w:val="auto"/>
          <w:sz w:val="1"/>
          <w:szCs w:val="1"/>
        </w:rPr>
        <w:drawing>
          <wp:inline distT="0" distB="0" distL="0" distR="0">
            <wp:extent cx="400050" cy="7429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911168" behindDoc="1" locked="0" layoutInCell="0" allowOverlap="1">
            <wp:simplePos x="0" y="0"/>
            <wp:positionH relativeFrom="column">
              <wp:posOffset>-17145</wp:posOffset>
            </wp:positionH>
            <wp:positionV relativeFrom="paragraph">
              <wp:posOffset>133985</wp:posOffset>
            </wp:positionV>
            <wp:extent cx="7203440" cy="3683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77" w:right="299" w:bottom="1440" w:left="300" w:header="0" w:footer="0" w:gutter="0"/>
          <w:cols w:num="1" w:space="720" w:equalWidth="0">
            <w:col w:w="11300" w:space="0"/>
          </w:cols>
        </w:sectPr>
      </w:pPr>
    </w:p>
    <w:bookmarkStart w:id="101" w:name="page102"/>
    <w:bookmarkEnd w:id="101"/>
    <w:p>
      <w:pPr>
        <w:spacing w:after="0"/>
        <w:ind w:left="280"/>
        <w:rPr>
          <w:color w:val="auto"/>
          <w:sz w:val="20"/>
          <w:szCs w:val="20"/>
        </w:rPr>
      </w:pPr>
      <w:r>
        <w:rPr>
          <w:rFonts w:ascii="Calibri" w:eastAsia="Calibri" w:hAnsi="Calibri" w:cs="Calibri"/>
          <w:color w:val="auto"/>
          <w:sz w:val="12"/>
          <w:szCs w:val="12"/>
        </w:rPr>
        <w:t>Net revenues to external customers by geographic area, based on product shipment destnaton, were as follows:</w:t>
      </w:r>
    </w:p>
    <w:p>
      <w:pPr>
        <w:spacing w:after="0" w:line="106" w:lineRule="exact"/>
        <w:rPr>
          <w:color w:val="auto"/>
          <w:sz w:val="20"/>
          <w:szCs w:val="20"/>
        </w:rPr>
      </w:pPr>
    </w:p>
    <w:tbl>
      <w:tblPr>
        <w:tblInd w:w="0" w:type="dxa"/>
        <w:tblLayout w:type="fixed"/>
        <w:tblCellMar>
          <w:top w:w="0" w:type="dxa"/>
          <w:left w:w="0" w:type="dxa"/>
          <w:bottom w:w="0" w:type="dxa"/>
          <w:right w:w="0" w:type="dxa"/>
        </w:tblCellMar>
      </w:tblPr>
      <w:tblGrid>
        <w:gridCol w:w="5760"/>
        <w:gridCol w:w="1380"/>
        <w:gridCol w:w="1120"/>
        <w:gridCol w:w="400"/>
        <w:gridCol w:w="1120"/>
        <w:gridCol w:w="400"/>
        <w:gridCol w:w="1100"/>
      </w:tblGrid>
      <w:tr>
        <w:tblPrEx>
          <w:tblInd w:w="0" w:type="dxa"/>
          <w:tblLayout w:type="fixed"/>
        </w:tblPrEx>
        <w:trPr>
          <w:trHeight w:val="122"/>
        </w:trPr>
        <w:tc>
          <w:tcPr>
            <w:tcW w:w="5760" w:type="dxa"/>
            <w:vAlign w:val="bottom"/>
          </w:tcPr>
          <w:p>
            <w:pPr>
              <w:spacing w:after="0"/>
              <w:rPr>
                <w:color w:val="auto"/>
                <w:sz w:val="20"/>
                <w:szCs w:val="20"/>
              </w:rPr>
            </w:pPr>
            <w:r>
              <w:rPr>
                <w:rFonts w:ascii="Calibri" w:eastAsia="Calibri" w:hAnsi="Calibri" w:cs="Calibri"/>
                <w:b/>
                <w:bCs/>
                <w:color w:val="auto"/>
                <w:sz w:val="10"/>
                <w:szCs w:val="10"/>
              </w:rPr>
              <w:t>years ended December 31 (in millions)</w:t>
            </w:r>
          </w:p>
        </w:tc>
        <w:tc>
          <w:tcPr>
            <w:tcW w:w="1380" w:type="dxa"/>
            <w:vAlign w:val="bottom"/>
          </w:tcPr>
          <w:p>
            <w:pPr>
              <w:spacing w:after="0"/>
              <w:rPr>
                <w:color w:val="auto"/>
                <w:sz w:val="10"/>
                <w:szCs w:val="10"/>
              </w:rPr>
            </w:pPr>
          </w:p>
        </w:tc>
        <w:tc>
          <w:tcPr>
            <w:tcW w:w="1120" w:type="dxa"/>
            <w:vAlign w:val="bottom"/>
          </w:tcPr>
          <w:p>
            <w:pPr>
              <w:spacing w:after="0"/>
              <w:ind w:right="601"/>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10"/>
                <w:szCs w:val="10"/>
              </w:rPr>
            </w:pPr>
          </w:p>
        </w:tc>
        <w:tc>
          <w:tcPr>
            <w:tcW w:w="1120" w:type="dxa"/>
            <w:vAlign w:val="bottom"/>
          </w:tcPr>
          <w:p>
            <w:pPr>
              <w:spacing w:after="0"/>
              <w:ind w:right="601"/>
              <w:jc w:val="right"/>
              <w:rPr>
                <w:color w:val="auto"/>
                <w:sz w:val="20"/>
                <w:szCs w:val="20"/>
              </w:rPr>
            </w:pPr>
            <w:r>
              <w:rPr>
                <w:rFonts w:ascii="Calibri" w:eastAsia="Calibri" w:hAnsi="Calibri" w:cs="Calibri"/>
                <w:b/>
                <w:bCs/>
                <w:color w:val="auto"/>
                <w:sz w:val="10"/>
                <w:szCs w:val="10"/>
              </w:rPr>
              <w:t>2023</w:t>
            </w:r>
          </w:p>
        </w:tc>
        <w:tc>
          <w:tcPr>
            <w:tcW w:w="400" w:type="dxa"/>
            <w:vAlign w:val="bottom"/>
          </w:tcPr>
          <w:p>
            <w:pPr>
              <w:spacing w:after="0"/>
              <w:rPr>
                <w:color w:val="auto"/>
                <w:sz w:val="10"/>
                <w:szCs w:val="10"/>
              </w:rPr>
            </w:pPr>
          </w:p>
        </w:tc>
        <w:tc>
          <w:tcPr>
            <w:tcW w:w="1100" w:type="dxa"/>
            <w:vAlign w:val="bottom"/>
          </w:tcPr>
          <w:p>
            <w:pPr>
              <w:spacing w:after="0"/>
              <w:ind w:right="561"/>
              <w:jc w:val="right"/>
              <w:rPr>
                <w:color w:val="auto"/>
                <w:sz w:val="20"/>
                <w:szCs w:val="20"/>
              </w:rPr>
            </w:pPr>
            <w:r>
              <w:rPr>
                <w:rFonts w:ascii="Calibri" w:eastAsia="Calibri" w:hAnsi="Calibri" w:cs="Calibri"/>
                <w:b/>
                <w:bCs/>
                <w:color w:val="auto"/>
                <w:sz w:val="10"/>
                <w:szCs w:val="10"/>
              </w:rPr>
              <w:t>2022</w:t>
            </w:r>
          </w:p>
        </w:tc>
      </w:tr>
      <w:tr>
        <w:tblPrEx>
          <w:tblInd w:w="0" w:type="dxa"/>
          <w:tblLayout w:type="fixed"/>
        </w:tblPrEx>
        <w:trPr>
          <w:trHeight w:val="32"/>
        </w:trPr>
        <w:tc>
          <w:tcPr>
            <w:tcW w:w="5760" w:type="dxa"/>
            <w:tcBorders>
              <w:bottom w:val="single" w:sz="8" w:space="0" w:color="auto"/>
            </w:tcBorders>
            <w:vAlign w:val="bottom"/>
          </w:tcPr>
          <w:p>
            <w:pPr>
              <w:spacing w:after="0"/>
              <w:rPr>
                <w:color w:val="auto"/>
                <w:sz w:val="2"/>
                <w:szCs w:val="2"/>
              </w:rPr>
            </w:pPr>
          </w:p>
        </w:tc>
        <w:tc>
          <w:tcPr>
            <w:tcW w:w="138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57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United States</w:t>
            </w:r>
          </w:p>
        </w:tc>
        <w:tc>
          <w:tcPr>
            <w:tcW w:w="138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43,029</w:t>
            </w: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41,883</w:t>
            </w:r>
          </w:p>
        </w:tc>
        <w:tc>
          <w:tcPr>
            <w:tcW w:w="40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45,713</w:t>
            </w:r>
          </w:p>
        </w:tc>
      </w:tr>
      <w:tr>
        <w:tblPrEx>
          <w:tblInd w:w="0" w:type="dxa"/>
          <w:tblLayout w:type="fixed"/>
        </w:tblPrEx>
        <w:trPr>
          <w:trHeight w:val="147"/>
        </w:trPr>
        <w:tc>
          <w:tcPr>
            <w:tcW w:w="5760" w:type="dxa"/>
            <w:vAlign w:val="bottom"/>
          </w:tcPr>
          <w:p>
            <w:pPr>
              <w:spacing w:after="0" w:line="142" w:lineRule="exact"/>
              <w:rPr>
                <w:color w:val="auto"/>
                <w:sz w:val="20"/>
                <w:szCs w:val="20"/>
              </w:rPr>
            </w:pPr>
            <w:r>
              <w:rPr>
                <w:rFonts w:ascii="Calibri" w:eastAsia="Calibri" w:hAnsi="Calibri" w:cs="Calibri"/>
                <w:color w:val="auto"/>
                <w:sz w:val="12"/>
                <w:szCs w:val="12"/>
              </w:rPr>
              <w:t>Germany</w:t>
            </w:r>
          </w:p>
        </w:tc>
        <w:tc>
          <w:tcPr>
            <w:tcW w:w="13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1,465</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1,266</w:t>
            </w:r>
          </w:p>
        </w:tc>
        <w:tc>
          <w:tcPr>
            <w:tcW w:w="40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1,340</w:t>
            </w:r>
          </w:p>
        </w:tc>
      </w:tr>
      <w:tr>
        <w:tblPrEx>
          <w:tblInd w:w="0" w:type="dxa"/>
          <w:tblLayout w:type="fixed"/>
        </w:tblPrEx>
        <w:trPr>
          <w:trHeight w:val="159"/>
        </w:trPr>
        <w:tc>
          <w:tcPr>
            <w:tcW w:w="5760" w:type="dxa"/>
            <w:shd w:val="clear" w:color="auto" w:fill="CCEEFF"/>
            <w:vAlign w:val="bottom"/>
          </w:tcPr>
          <w:p>
            <w:pPr>
              <w:spacing w:after="0"/>
              <w:rPr>
                <w:color w:val="auto"/>
                <w:sz w:val="20"/>
                <w:szCs w:val="20"/>
              </w:rPr>
            </w:pPr>
            <w:r>
              <w:rPr>
                <w:rFonts w:ascii="Calibri" w:eastAsia="Calibri" w:hAnsi="Calibri" w:cs="Calibri"/>
                <w:color w:val="auto"/>
                <w:sz w:val="12"/>
                <w:szCs w:val="12"/>
              </w:rPr>
              <w:t>Japan</w:t>
            </w:r>
          </w:p>
        </w:tc>
        <w:tc>
          <w:tcPr>
            <w:tcW w:w="13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1,122</w:t>
            </w: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1,008</w:t>
            </w:r>
          </w:p>
        </w:tc>
        <w:tc>
          <w:tcPr>
            <w:tcW w:w="40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956</w:t>
            </w:r>
          </w:p>
        </w:tc>
      </w:tr>
      <w:tr>
        <w:tblPrEx>
          <w:tblInd w:w="0" w:type="dxa"/>
          <w:tblLayout w:type="fixed"/>
        </w:tblPrEx>
        <w:trPr>
          <w:trHeight w:val="147"/>
        </w:trPr>
        <w:tc>
          <w:tcPr>
            <w:tcW w:w="5760" w:type="dxa"/>
            <w:vAlign w:val="bottom"/>
          </w:tcPr>
          <w:p>
            <w:pPr>
              <w:spacing w:after="0" w:line="142" w:lineRule="exact"/>
              <w:rPr>
                <w:color w:val="auto"/>
                <w:sz w:val="20"/>
                <w:szCs w:val="20"/>
              </w:rPr>
            </w:pPr>
            <w:r>
              <w:rPr>
                <w:rFonts w:ascii="Calibri" w:eastAsia="Calibri" w:hAnsi="Calibri" w:cs="Calibri"/>
                <w:color w:val="auto"/>
                <w:sz w:val="12"/>
                <w:szCs w:val="12"/>
              </w:rPr>
              <w:t>Canada</w:t>
            </w:r>
          </w:p>
        </w:tc>
        <w:tc>
          <w:tcPr>
            <w:tcW w:w="13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1,088</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1,076</w:t>
            </w:r>
          </w:p>
        </w:tc>
        <w:tc>
          <w:tcPr>
            <w:tcW w:w="40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1,159</w:t>
            </w:r>
          </w:p>
        </w:tc>
      </w:tr>
      <w:tr>
        <w:tblPrEx>
          <w:tblInd w:w="0" w:type="dxa"/>
          <w:tblLayout w:type="fixed"/>
        </w:tblPrEx>
        <w:trPr>
          <w:trHeight w:val="159"/>
        </w:trPr>
        <w:tc>
          <w:tcPr>
            <w:tcW w:w="5760" w:type="dxa"/>
            <w:shd w:val="clear" w:color="auto" w:fill="CCEEFF"/>
            <w:vAlign w:val="bottom"/>
          </w:tcPr>
          <w:p>
            <w:pPr>
              <w:spacing w:after="0"/>
              <w:rPr>
                <w:color w:val="auto"/>
                <w:sz w:val="20"/>
                <w:szCs w:val="20"/>
              </w:rPr>
            </w:pPr>
            <w:r>
              <w:rPr>
                <w:rFonts w:ascii="Calibri" w:eastAsia="Calibri" w:hAnsi="Calibri" w:cs="Calibri"/>
                <w:color w:val="auto"/>
                <w:sz w:val="12"/>
                <w:szCs w:val="12"/>
              </w:rPr>
              <w:t>China</w:t>
            </w:r>
          </w:p>
        </w:tc>
        <w:tc>
          <w:tcPr>
            <w:tcW w:w="13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917</w:t>
            </w: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950</w:t>
            </w:r>
          </w:p>
        </w:tc>
        <w:tc>
          <w:tcPr>
            <w:tcW w:w="40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912</w:t>
            </w:r>
          </w:p>
        </w:tc>
      </w:tr>
      <w:tr>
        <w:tblPrEx>
          <w:tblInd w:w="0" w:type="dxa"/>
          <w:tblLayout w:type="fixed"/>
        </w:tblPrEx>
        <w:trPr>
          <w:trHeight w:val="147"/>
        </w:trPr>
        <w:tc>
          <w:tcPr>
            <w:tcW w:w="5760" w:type="dxa"/>
            <w:vAlign w:val="bottom"/>
          </w:tcPr>
          <w:p>
            <w:pPr>
              <w:spacing w:after="0" w:line="142" w:lineRule="exact"/>
              <w:rPr>
                <w:color w:val="auto"/>
                <w:sz w:val="20"/>
                <w:szCs w:val="20"/>
              </w:rPr>
            </w:pPr>
            <w:r>
              <w:rPr>
                <w:rFonts w:ascii="Calibri" w:eastAsia="Calibri" w:hAnsi="Calibri" w:cs="Calibri"/>
                <w:color w:val="auto"/>
                <w:sz w:val="12"/>
                <w:szCs w:val="12"/>
              </w:rPr>
              <w:t>France</w:t>
            </w:r>
          </w:p>
        </w:tc>
        <w:tc>
          <w:tcPr>
            <w:tcW w:w="13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776</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780</w:t>
            </w:r>
          </w:p>
        </w:tc>
        <w:tc>
          <w:tcPr>
            <w:tcW w:w="40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787</w:t>
            </w:r>
          </w:p>
        </w:tc>
      </w:tr>
      <w:tr>
        <w:tblPrEx>
          <w:tblInd w:w="0" w:type="dxa"/>
          <w:tblLayout w:type="fixed"/>
        </w:tblPrEx>
        <w:trPr>
          <w:trHeight w:val="159"/>
        </w:trPr>
        <w:tc>
          <w:tcPr>
            <w:tcW w:w="5760" w:type="dxa"/>
            <w:shd w:val="clear" w:color="auto" w:fill="CCEEFF"/>
            <w:vAlign w:val="bottom"/>
          </w:tcPr>
          <w:p>
            <w:pPr>
              <w:spacing w:after="0"/>
              <w:rPr>
                <w:color w:val="auto"/>
                <w:sz w:val="20"/>
                <w:szCs w:val="20"/>
              </w:rPr>
            </w:pPr>
            <w:r>
              <w:rPr>
                <w:rFonts w:ascii="Calibri" w:eastAsia="Calibri" w:hAnsi="Calibri" w:cs="Calibri"/>
                <w:color w:val="auto"/>
                <w:sz w:val="12"/>
                <w:szCs w:val="12"/>
              </w:rPr>
              <w:t>Spain</w:t>
            </w:r>
          </w:p>
        </w:tc>
        <w:tc>
          <w:tcPr>
            <w:tcW w:w="13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528</w:t>
            </w: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501</w:t>
            </w:r>
          </w:p>
        </w:tc>
        <w:tc>
          <w:tcPr>
            <w:tcW w:w="40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506</w:t>
            </w:r>
          </w:p>
        </w:tc>
      </w:tr>
      <w:tr>
        <w:tblPrEx>
          <w:tblInd w:w="0" w:type="dxa"/>
          <w:tblLayout w:type="fixed"/>
        </w:tblPrEx>
        <w:trPr>
          <w:trHeight w:val="147"/>
        </w:trPr>
        <w:tc>
          <w:tcPr>
            <w:tcW w:w="5760" w:type="dxa"/>
            <w:vAlign w:val="bottom"/>
          </w:tcPr>
          <w:p>
            <w:pPr>
              <w:spacing w:after="0" w:line="142" w:lineRule="exact"/>
              <w:rPr>
                <w:color w:val="auto"/>
                <w:sz w:val="20"/>
                <w:szCs w:val="20"/>
              </w:rPr>
            </w:pPr>
            <w:r>
              <w:rPr>
                <w:rFonts w:ascii="Calibri" w:eastAsia="Calibri" w:hAnsi="Calibri" w:cs="Calibri"/>
                <w:color w:val="auto"/>
                <w:sz w:val="12"/>
                <w:szCs w:val="12"/>
              </w:rPr>
              <w:t>United Kingdom</w:t>
            </w:r>
          </w:p>
        </w:tc>
        <w:tc>
          <w:tcPr>
            <w:tcW w:w="13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522</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417</w:t>
            </w:r>
          </w:p>
        </w:tc>
        <w:tc>
          <w:tcPr>
            <w:tcW w:w="40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462</w:t>
            </w:r>
          </w:p>
        </w:tc>
      </w:tr>
      <w:tr>
        <w:tblPrEx>
          <w:tblInd w:w="0" w:type="dxa"/>
          <w:tblLayout w:type="fixed"/>
        </w:tblPrEx>
        <w:trPr>
          <w:trHeight w:val="159"/>
        </w:trPr>
        <w:tc>
          <w:tcPr>
            <w:tcW w:w="5760" w:type="dxa"/>
            <w:shd w:val="clear" w:color="auto" w:fill="CCEEFF"/>
            <w:vAlign w:val="bottom"/>
          </w:tcPr>
          <w:p>
            <w:pPr>
              <w:spacing w:after="0"/>
              <w:rPr>
                <w:color w:val="auto"/>
                <w:sz w:val="20"/>
                <w:szCs w:val="20"/>
              </w:rPr>
            </w:pPr>
            <w:r>
              <w:rPr>
                <w:rFonts w:ascii="Calibri" w:eastAsia="Calibri" w:hAnsi="Calibri" w:cs="Calibri"/>
                <w:color w:val="auto"/>
                <w:sz w:val="12"/>
                <w:szCs w:val="12"/>
              </w:rPr>
              <w:t>Italy</w:t>
            </w:r>
          </w:p>
        </w:tc>
        <w:tc>
          <w:tcPr>
            <w:tcW w:w="13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511</w:t>
            </w: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484</w:t>
            </w:r>
          </w:p>
        </w:tc>
        <w:tc>
          <w:tcPr>
            <w:tcW w:w="40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444</w:t>
            </w:r>
          </w:p>
        </w:tc>
      </w:tr>
      <w:tr>
        <w:tblPrEx>
          <w:tblInd w:w="0" w:type="dxa"/>
          <w:tblLayout w:type="fixed"/>
        </w:tblPrEx>
        <w:trPr>
          <w:trHeight w:val="147"/>
        </w:trPr>
        <w:tc>
          <w:tcPr>
            <w:tcW w:w="5760" w:type="dxa"/>
            <w:vAlign w:val="bottom"/>
          </w:tcPr>
          <w:p>
            <w:pPr>
              <w:spacing w:after="0" w:line="142" w:lineRule="exact"/>
              <w:rPr>
                <w:color w:val="auto"/>
                <w:sz w:val="20"/>
                <w:szCs w:val="20"/>
              </w:rPr>
            </w:pPr>
            <w:r>
              <w:rPr>
                <w:rFonts w:ascii="Calibri" w:eastAsia="Calibri" w:hAnsi="Calibri" w:cs="Calibri"/>
                <w:color w:val="auto"/>
                <w:sz w:val="12"/>
                <w:szCs w:val="12"/>
              </w:rPr>
              <w:t>Brazil</w:t>
            </w:r>
          </w:p>
        </w:tc>
        <w:tc>
          <w:tcPr>
            <w:tcW w:w="138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464</w:t>
            </w: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439</w:t>
            </w:r>
          </w:p>
        </w:tc>
        <w:tc>
          <w:tcPr>
            <w:tcW w:w="40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430</w:t>
            </w:r>
          </w:p>
        </w:tc>
      </w:tr>
      <w:tr>
        <w:tblPrEx>
          <w:tblInd w:w="0" w:type="dxa"/>
          <w:tblLayout w:type="fixed"/>
        </w:tblPrEx>
        <w:trPr>
          <w:trHeight w:val="159"/>
        </w:trPr>
        <w:tc>
          <w:tcPr>
            <w:tcW w:w="5760" w:type="dxa"/>
            <w:shd w:val="clear" w:color="auto" w:fill="CCEEFF"/>
            <w:vAlign w:val="bottom"/>
          </w:tcPr>
          <w:p>
            <w:pPr>
              <w:spacing w:after="0"/>
              <w:rPr>
                <w:color w:val="auto"/>
                <w:sz w:val="20"/>
                <w:szCs w:val="20"/>
              </w:rPr>
            </w:pPr>
            <w:r>
              <w:rPr>
                <w:rFonts w:ascii="Calibri" w:eastAsia="Calibri" w:hAnsi="Calibri" w:cs="Calibri"/>
                <w:color w:val="auto"/>
                <w:sz w:val="12"/>
                <w:szCs w:val="12"/>
              </w:rPr>
              <w:t>Australia</w:t>
            </w:r>
          </w:p>
        </w:tc>
        <w:tc>
          <w:tcPr>
            <w:tcW w:w="138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463</w:t>
            </w:r>
          </w:p>
        </w:tc>
        <w:tc>
          <w:tcPr>
            <w:tcW w:w="400" w:type="dxa"/>
            <w:shd w:val="clear" w:color="auto" w:fill="CCEEFF"/>
            <w:vAlign w:val="bottom"/>
          </w:tcPr>
          <w:p>
            <w:pPr>
              <w:spacing w:after="0"/>
              <w:rPr>
                <w:color w:val="auto"/>
                <w:sz w:val="13"/>
                <w:szCs w:val="13"/>
              </w:rPr>
            </w:pPr>
          </w:p>
        </w:tc>
        <w:tc>
          <w:tcPr>
            <w:tcW w:w="1120" w:type="dxa"/>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472</w:t>
            </w:r>
          </w:p>
        </w:tc>
        <w:tc>
          <w:tcPr>
            <w:tcW w:w="400" w:type="dxa"/>
            <w:shd w:val="clear" w:color="auto" w:fill="CCEEFF"/>
            <w:vAlign w:val="bottom"/>
          </w:tcPr>
          <w:p>
            <w:pPr>
              <w:spacing w:after="0"/>
              <w:rPr>
                <w:color w:val="auto"/>
                <w:sz w:val="13"/>
                <w:szCs w:val="13"/>
              </w:rPr>
            </w:pPr>
          </w:p>
        </w:tc>
        <w:tc>
          <w:tcPr>
            <w:tcW w:w="1100" w:type="dxa"/>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508</w:t>
            </w:r>
          </w:p>
        </w:tc>
      </w:tr>
      <w:tr>
        <w:tblPrEx>
          <w:tblInd w:w="0" w:type="dxa"/>
          <w:tblLayout w:type="fixed"/>
        </w:tblPrEx>
        <w:trPr>
          <w:trHeight w:val="147"/>
        </w:trPr>
        <w:tc>
          <w:tcPr>
            <w:tcW w:w="57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All other countries</w:t>
            </w:r>
          </w:p>
        </w:tc>
        <w:tc>
          <w:tcPr>
            <w:tcW w:w="138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5,449</w:t>
            </w:r>
          </w:p>
        </w:tc>
        <w:tc>
          <w:tcPr>
            <w:tcW w:w="40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5,042</w:t>
            </w:r>
          </w:p>
        </w:tc>
        <w:tc>
          <w:tcPr>
            <w:tcW w:w="400" w:type="dxa"/>
            <w:tcBorders>
              <w:bottom w:val="single" w:sz="8" w:space="0" w:color="auto"/>
            </w:tcBorders>
            <w:vAlign w:val="bottom"/>
          </w:tcPr>
          <w:p>
            <w:pPr>
              <w:spacing w:after="0"/>
              <w:rPr>
                <w:color w:val="auto"/>
                <w:sz w:val="12"/>
                <w:szCs w:val="12"/>
              </w:rPr>
            </w:pPr>
          </w:p>
        </w:tc>
        <w:tc>
          <w:tcPr>
            <w:tcW w:w="110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4,837</w:t>
            </w:r>
          </w:p>
        </w:tc>
      </w:tr>
      <w:tr>
        <w:tblPrEx>
          <w:tblInd w:w="0" w:type="dxa"/>
          <w:tblLayout w:type="fixed"/>
        </w:tblPrEx>
        <w:trPr>
          <w:trHeight w:val="164"/>
        </w:trPr>
        <w:tc>
          <w:tcPr>
            <w:tcW w:w="576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 net revenues</w:t>
            </w:r>
          </w:p>
        </w:tc>
        <w:tc>
          <w:tcPr>
            <w:tcW w:w="138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56,334</w:t>
            </w:r>
          </w:p>
        </w:tc>
        <w:tc>
          <w:tcPr>
            <w:tcW w:w="400" w:type="dxa"/>
            <w:tcBorders>
              <w:bottom w:val="single" w:sz="8" w:space="0" w:color="auto"/>
            </w:tcBorders>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54,318</w:t>
            </w:r>
          </w:p>
        </w:tc>
        <w:tc>
          <w:tcPr>
            <w:tcW w:w="400" w:type="dxa"/>
            <w:tcBorders>
              <w:bottom w:val="single" w:sz="8" w:space="0" w:color="auto"/>
            </w:tcBorders>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58,054</w:t>
            </w:r>
          </w:p>
        </w:tc>
      </w:tr>
      <w:tr>
        <w:tblPrEx>
          <w:tblInd w:w="0" w:type="dxa"/>
          <w:tblLayout w:type="fixed"/>
        </w:tblPrEx>
        <w:trPr>
          <w:trHeight w:val="289"/>
        </w:trPr>
        <w:tc>
          <w:tcPr>
            <w:tcW w:w="11280" w:type="dxa"/>
            <w:gridSpan w:val="7"/>
            <w:vAlign w:val="bottom"/>
          </w:tcPr>
          <w:p>
            <w:pPr>
              <w:spacing w:after="0"/>
              <w:ind w:left="280"/>
              <w:rPr>
                <w:color w:val="auto"/>
                <w:sz w:val="20"/>
                <w:szCs w:val="20"/>
              </w:rPr>
            </w:pPr>
            <w:r>
              <w:rPr>
                <w:rFonts w:ascii="Calibri" w:eastAsia="Calibri" w:hAnsi="Calibri" w:cs="Calibri"/>
                <w:color w:val="auto"/>
                <w:sz w:val="12"/>
                <w:szCs w:val="12"/>
              </w:rPr>
              <w:t>See the following for additonal informaton about certain income and expenses included in net earnings: intangible assets amortzaton expense (Note 7), intangible assets impairment expense (Note 7), change in fair value of</w:t>
            </w:r>
          </w:p>
        </w:tc>
      </w:tr>
      <w:tr>
        <w:tblPrEx>
          <w:tblInd w:w="0" w:type="dxa"/>
          <w:tblLayout w:type="fixed"/>
        </w:tblPrEx>
        <w:trPr>
          <w:trHeight w:val="144"/>
        </w:trPr>
        <w:tc>
          <w:tcPr>
            <w:tcW w:w="9780" w:type="dxa"/>
            <w:gridSpan w:val="5"/>
            <w:vAlign w:val="bottom"/>
          </w:tcPr>
          <w:p>
            <w:pPr>
              <w:spacing w:after="0" w:line="144" w:lineRule="exact"/>
              <w:rPr>
                <w:color w:val="auto"/>
                <w:sz w:val="20"/>
                <w:szCs w:val="20"/>
              </w:rPr>
            </w:pPr>
            <w:r>
              <w:rPr>
                <w:rFonts w:ascii="Calibri" w:eastAsia="Calibri" w:hAnsi="Calibri" w:cs="Calibri"/>
                <w:color w:val="auto"/>
                <w:sz w:val="12"/>
                <w:szCs w:val="12"/>
              </w:rPr>
              <w:t>contngent consideraton (Note 11), interest income and expense (Note 3), depreciaton expense (Note 2), litgaton maters (Note 15), income tax expense (Note 14) and restructuring expense (Note 8).</w:t>
            </w:r>
          </w:p>
        </w:tc>
        <w:tc>
          <w:tcPr>
            <w:tcW w:w="400" w:type="dxa"/>
            <w:vAlign w:val="bottom"/>
          </w:tcPr>
          <w:p>
            <w:pPr>
              <w:spacing w:after="0"/>
              <w:rPr>
                <w:color w:val="auto"/>
                <w:sz w:val="12"/>
                <w:szCs w:val="12"/>
              </w:rPr>
            </w:pPr>
          </w:p>
        </w:tc>
        <w:tc>
          <w:tcPr>
            <w:tcW w:w="1100" w:type="dxa"/>
            <w:vAlign w:val="bottom"/>
          </w:tcPr>
          <w:p>
            <w:pPr>
              <w:spacing w:after="0"/>
              <w:rPr>
                <w:color w:val="auto"/>
                <w:sz w:val="12"/>
                <w:szCs w:val="12"/>
              </w:rPr>
            </w:pPr>
          </w:p>
        </w:tc>
      </w:tr>
      <w:tr>
        <w:tblPrEx>
          <w:tblInd w:w="0" w:type="dxa"/>
          <w:tblLayout w:type="fixed"/>
        </w:tblPrEx>
        <w:trPr>
          <w:trHeight w:val="234"/>
        </w:trPr>
        <w:tc>
          <w:tcPr>
            <w:tcW w:w="5760" w:type="dxa"/>
            <w:vAlign w:val="bottom"/>
          </w:tcPr>
          <w:p>
            <w:pPr>
              <w:spacing w:after="0"/>
              <w:ind w:left="280"/>
              <w:rPr>
                <w:color w:val="auto"/>
                <w:sz w:val="20"/>
                <w:szCs w:val="20"/>
              </w:rPr>
            </w:pPr>
            <w:r>
              <w:rPr>
                <w:rFonts w:ascii="Calibri" w:eastAsia="Calibri" w:hAnsi="Calibri" w:cs="Calibri"/>
                <w:color w:val="auto"/>
                <w:sz w:val="12"/>
                <w:szCs w:val="12"/>
              </w:rPr>
              <w:t>Long-lived assets, primarily net property and equipment, by geographic area were as follows:</w:t>
            </w:r>
          </w:p>
        </w:tc>
        <w:tc>
          <w:tcPr>
            <w:tcW w:w="1380" w:type="dxa"/>
            <w:vAlign w:val="bottom"/>
          </w:tcPr>
          <w:p>
            <w:pPr>
              <w:spacing w:after="0"/>
              <w:rPr>
                <w:color w:val="auto"/>
                <w:sz w:val="20"/>
                <w:szCs w:val="20"/>
              </w:rPr>
            </w:pPr>
          </w:p>
        </w:tc>
        <w:tc>
          <w:tcPr>
            <w:tcW w:w="1120" w:type="dxa"/>
            <w:vAlign w:val="bottom"/>
          </w:tcPr>
          <w:p>
            <w:pPr>
              <w:spacing w:after="0"/>
              <w:rPr>
                <w:color w:val="auto"/>
                <w:sz w:val="20"/>
                <w:szCs w:val="20"/>
              </w:rPr>
            </w:pPr>
          </w:p>
        </w:tc>
        <w:tc>
          <w:tcPr>
            <w:tcW w:w="400" w:type="dxa"/>
            <w:vAlign w:val="bottom"/>
          </w:tcPr>
          <w:p>
            <w:pPr>
              <w:spacing w:after="0"/>
              <w:rPr>
                <w:color w:val="auto"/>
                <w:sz w:val="20"/>
                <w:szCs w:val="20"/>
              </w:rPr>
            </w:pPr>
          </w:p>
        </w:tc>
        <w:tc>
          <w:tcPr>
            <w:tcW w:w="1120" w:type="dxa"/>
            <w:vAlign w:val="bottom"/>
          </w:tcPr>
          <w:p>
            <w:pPr>
              <w:spacing w:after="0"/>
              <w:rPr>
                <w:color w:val="auto"/>
                <w:sz w:val="20"/>
                <w:szCs w:val="20"/>
              </w:rPr>
            </w:pPr>
          </w:p>
        </w:tc>
        <w:tc>
          <w:tcPr>
            <w:tcW w:w="400" w:type="dxa"/>
            <w:vAlign w:val="bottom"/>
          </w:tcPr>
          <w:p>
            <w:pPr>
              <w:spacing w:after="0"/>
              <w:rPr>
                <w:color w:val="auto"/>
                <w:sz w:val="20"/>
                <w:szCs w:val="20"/>
              </w:rPr>
            </w:pPr>
          </w:p>
        </w:tc>
        <w:tc>
          <w:tcPr>
            <w:tcW w:w="1100" w:type="dxa"/>
            <w:vAlign w:val="bottom"/>
          </w:tcPr>
          <w:p>
            <w:pPr>
              <w:spacing w:after="0"/>
              <w:rPr>
                <w:color w:val="auto"/>
                <w:sz w:val="20"/>
                <w:szCs w:val="20"/>
              </w:rPr>
            </w:pPr>
          </w:p>
        </w:tc>
      </w:tr>
      <w:tr>
        <w:tblPrEx>
          <w:tblInd w:w="0" w:type="dxa"/>
          <w:tblLayout w:type="fixed"/>
        </w:tblPrEx>
        <w:trPr>
          <w:trHeight w:val="237"/>
        </w:trPr>
        <w:tc>
          <w:tcPr>
            <w:tcW w:w="5760" w:type="dxa"/>
            <w:vAlign w:val="bottom"/>
          </w:tcPr>
          <w:p>
            <w:pPr>
              <w:spacing w:after="0"/>
              <w:rPr>
                <w:color w:val="auto"/>
                <w:sz w:val="20"/>
                <w:szCs w:val="20"/>
              </w:rPr>
            </w:pPr>
            <w:r>
              <w:rPr>
                <w:rFonts w:ascii="Calibri" w:eastAsia="Calibri" w:hAnsi="Calibri" w:cs="Calibri"/>
                <w:b/>
                <w:bCs/>
                <w:color w:val="auto"/>
                <w:sz w:val="10"/>
                <w:szCs w:val="10"/>
              </w:rPr>
              <w:t>as of December 31 (in millions)</w:t>
            </w:r>
          </w:p>
        </w:tc>
        <w:tc>
          <w:tcPr>
            <w:tcW w:w="1380" w:type="dxa"/>
            <w:vAlign w:val="bottom"/>
          </w:tcPr>
          <w:p>
            <w:pPr>
              <w:spacing w:after="0"/>
              <w:rPr>
                <w:color w:val="auto"/>
                <w:sz w:val="20"/>
                <w:szCs w:val="20"/>
              </w:rPr>
            </w:pPr>
          </w:p>
        </w:tc>
        <w:tc>
          <w:tcPr>
            <w:tcW w:w="1120" w:type="dxa"/>
            <w:vAlign w:val="bottom"/>
          </w:tcPr>
          <w:p>
            <w:pPr>
              <w:spacing w:after="0"/>
              <w:rPr>
                <w:color w:val="auto"/>
                <w:sz w:val="20"/>
                <w:szCs w:val="20"/>
              </w:rPr>
            </w:pPr>
          </w:p>
        </w:tc>
        <w:tc>
          <w:tcPr>
            <w:tcW w:w="400" w:type="dxa"/>
            <w:vAlign w:val="bottom"/>
          </w:tcPr>
          <w:p>
            <w:pPr>
              <w:spacing w:after="0"/>
              <w:rPr>
                <w:color w:val="auto"/>
                <w:sz w:val="20"/>
                <w:szCs w:val="20"/>
              </w:rPr>
            </w:pPr>
          </w:p>
        </w:tc>
        <w:tc>
          <w:tcPr>
            <w:tcW w:w="1120" w:type="dxa"/>
            <w:vAlign w:val="bottom"/>
          </w:tcPr>
          <w:p>
            <w:pPr>
              <w:spacing w:after="0"/>
              <w:ind w:right="601"/>
              <w:jc w:val="right"/>
              <w:rPr>
                <w:color w:val="auto"/>
                <w:sz w:val="20"/>
                <w:szCs w:val="20"/>
              </w:rPr>
            </w:pPr>
            <w:r>
              <w:rPr>
                <w:rFonts w:ascii="Calibri" w:eastAsia="Calibri" w:hAnsi="Calibri" w:cs="Calibri"/>
                <w:b/>
                <w:bCs/>
                <w:color w:val="auto"/>
                <w:sz w:val="10"/>
                <w:szCs w:val="10"/>
              </w:rPr>
              <w:t>2024</w:t>
            </w:r>
          </w:p>
        </w:tc>
        <w:tc>
          <w:tcPr>
            <w:tcW w:w="400" w:type="dxa"/>
            <w:vAlign w:val="bottom"/>
          </w:tcPr>
          <w:p>
            <w:pPr>
              <w:spacing w:after="0"/>
              <w:rPr>
                <w:color w:val="auto"/>
                <w:sz w:val="20"/>
                <w:szCs w:val="20"/>
              </w:rPr>
            </w:pPr>
          </w:p>
        </w:tc>
        <w:tc>
          <w:tcPr>
            <w:tcW w:w="1100" w:type="dxa"/>
            <w:vAlign w:val="bottom"/>
          </w:tcPr>
          <w:p>
            <w:pPr>
              <w:spacing w:after="0"/>
              <w:ind w:right="561"/>
              <w:jc w:val="right"/>
              <w:rPr>
                <w:color w:val="auto"/>
                <w:sz w:val="20"/>
                <w:szCs w:val="20"/>
              </w:rPr>
            </w:pPr>
            <w:r>
              <w:rPr>
                <w:rFonts w:ascii="Calibri" w:eastAsia="Calibri" w:hAnsi="Calibri" w:cs="Calibri"/>
                <w:b/>
                <w:bCs/>
                <w:color w:val="auto"/>
                <w:sz w:val="10"/>
                <w:szCs w:val="10"/>
              </w:rPr>
              <w:t>2023</w:t>
            </w:r>
          </w:p>
        </w:tc>
      </w:tr>
      <w:tr>
        <w:tblPrEx>
          <w:tblInd w:w="0" w:type="dxa"/>
          <w:tblLayout w:type="fixed"/>
        </w:tblPrEx>
        <w:trPr>
          <w:trHeight w:val="32"/>
        </w:trPr>
        <w:tc>
          <w:tcPr>
            <w:tcW w:w="5760" w:type="dxa"/>
            <w:tcBorders>
              <w:bottom w:val="single" w:sz="8" w:space="0" w:color="auto"/>
            </w:tcBorders>
            <w:vAlign w:val="bottom"/>
          </w:tcPr>
          <w:p>
            <w:pPr>
              <w:spacing w:after="0"/>
              <w:rPr>
                <w:color w:val="auto"/>
                <w:sz w:val="2"/>
                <w:szCs w:val="2"/>
              </w:rPr>
            </w:pPr>
          </w:p>
        </w:tc>
        <w:tc>
          <w:tcPr>
            <w:tcW w:w="138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20" w:type="dxa"/>
            <w:tcBorders>
              <w:bottom w:val="single" w:sz="8" w:space="0" w:color="auto"/>
            </w:tcBorders>
            <w:vAlign w:val="bottom"/>
          </w:tcPr>
          <w:p>
            <w:pPr>
              <w:spacing w:after="0"/>
              <w:rPr>
                <w:color w:val="auto"/>
                <w:sz w:val="2"/>
                <w:szCs w:val="2"/>
              </w:rPr>
            </w:pPr>
          </w:p>
        </w:tc>
        <w:tc>
          <w:tcPr>
            <w:tcW w:w="400" w:type="dxa"/>
            <w:tcBorders>
              <w:bottom w:val="single" w:sz="8" w:space="0" w:color="auto"/>
            </w:tcBorders>
            <w:vAlign w:val="bottom"/>
          </w:tcPr>
          <w:p>
            <w:pPr>
              <w:spacing w:after="0"/>
              <w:rPr>
                <w:color w:val="auto"/>
                <w:sz w:val="2"/>
                <w:szCs w:val="2"/>
              </w:rPr>
            </w:pPr>
          </w:p>
        </w:tc>
        <w:tc>
          <w:tcPr>
            <w:tcW w:w="110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576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United States</w:t>
            </w:r>
          </w:p>
        </w:tc>
        <w:tc>
          <w:tcPr>
            <w:tcW w:w="1380" w:type="dxa"/>
            <w:shd w:val="clear" w:color="auto" w:fill="CCEEFF"/>
            <w:vAlign w:val="bottom"/>
          </w:tcPr>
          <w:p>
            <w:pPr>
              <w:spacing w:after="0"/>
              <w:rPr>
                <w:color w:val="auto"/>
                <w:sz w:val="12"/>
                <w:szCs w:val="12"/>
              </w:rPr>
            </w:pPr>
          </w:p>
        </w:tc>
        <w:tc>
          <w:tcPr>
            <w:tcW w:w="1120" w:type="dxa"/>
            <w:shd w:val="clear" w:color="auto" w:fill="CCEEFF"/>
            <w:vAlign w:val="bottom"/>
          </w:tcPr>
          <w:p>
            <w:pPr>
              <w:spacing w:after="0"/>
              <w:rPr>
                <w:color w:val="auto"/>
                <w:sz w:val="12"/>
                <w:szCs w:val="12"/>
              </w:rPr>
            </w:pPr>
          </w:p>
        </w:tc>
        <w:tc>
          <w:tcPr>
            <w:tcW w:w="400" w:type="dxa"/>
            <w:shd w:val="clear" w:color="auto" w:fill="CCEEFF"/>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shd w:val="clear" w:color="auto" w:fill="CCEEFF"/>
            <w:vAlign w:val="bottom"/>
          </w:tcPr>
          <w:p>
            <w:pPr>
              <w:spacing w:after="0" w:line="142" w:lineRule="exact"/>
              <w:ind w:right="21"/>
              <w:jc w:val="right"/>
              <w:rPr>
                <w:color w:val="auto"/>
                <w:sz w:val="20"/>
                <w:szCs w:val="20"/>
              </w:rPr>
            </w:pPr>
            <w:r>
              <w:rPr>
                <w:rFonts w:ascii="Calibri" w:eastAsia="Calibri" w:hAnsi="Calibri" w:cs="Calibri"/>
                <w:color w:val="auto"/>
                <w:sz w:val="12"/>
                <w:szCs w:val="12"/>
              </w:rPr>
              <w:t>3,331</w:t>
            </w:r>
          </w:p>
        </w:tc>
        <w:tc>
          <w:tcPr>
            <w:tcW w:w="400" w:type="dxa"/>
            <w:shd w:val="clear" w:color="auto" w:fill="CCEEFF"/>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shd w:val="clear" w:color="auto" w:fill="CCEEFF"/>
            <w:vAlign w:val="bottom"/>
          </w:tcPr>
          <w:p>
            <w:pPr>
              <w:spacing w:after="0" w:line="142" w:lineRule="exact"/>
              <w:ind w:right="1"/>
              <w:jc w:val="right"/>
              <w:rPr>
                <w:color w:val="auto"/>
                <w:sz w:val="20"/>
                <w:szCs w:val="20"/>
              </w:rPr>
            </w:pPr>
            <w:r>
              <w:rPr>
                <w:rFonts w:ascii="Calibri" w:eastAsia="Calibri" w:hAnsi="Calibri" w:cs="Calibri"/>
                <w:color w:val="auto"/>
                <w:sz w:val="12"/>
                <w:szCs w:val="12"/>
              </w:rPr>
              <w:t>3,139</w:t>
            </w:r>
          </w:p>
        </w:tc>
      </w:tr>
      <w:tr>
        <w:tblPrEx>
          <w:tblInd w:w="0" w:type="dxa"/>
          <w:tblLayout w:type="fixed"/>
        </w:tblPrEx>
        <w:trPr>
          <w:trHeight w:val="147"/>
        </w:trPr>
        <w:tc>
          <w:tcPr>
            <w:tcW w:w="5760" w:type="dxa"/>
            <w:vAlign w:val="bottom"/>
          </w:tcPr>
          <w:p>
            <w:pPr>
              <w:spacing w:after="0" w:line="142" w:lineRule="exact"/>
              <w:rPr>
                <w:color w:val="auto"/>
                <w:sz w:val="20"/>
                <w:szCs w:val="20"/>
              </w:rPr>
            </w:pPr>
            <w:r>
              <w:rPr>
                <w:rFonts w:ascii="Calibri" w:eastAsia="Calibri" w:hAnsi="Calibri" w:cs="Calibri"/>
                <w:color w:val="auto"/>
                <w:sz w:val="12"/>
                <w:szCs w:val="12"/>
              </w:rPr>
              <w:t>Europe</w:t>
            </w:r>
          </w:p>
        </w:tc>
        <w:tc>
          <w:tcPr>
            <w:tcW w:w="1380" w:type="dxa"/>
            <w:vAlign w:val="bottom"/>
          </w:tcPr>
          <w:p>
            <w:pPr>
              <w:spacing w:after="0"/>
              <w:rPr>
                <w:color w:val="auto"/>
                <w:sz w:val="12"/>
                <w:szCs w:val="12"/>
              </w:rPr>
            </w:pPr>
          </w:p>
        </w:tc>
        <w:tc>
          <w:tcPr>
            <w:tcW w:w="1120" w:type="dxa"/>
            <w:vAlign w:val="bottom"/>
          </w:tcPr>
          <w:p>
            <w:pPr>
              <w:spacing w:after="0"/>
              <w:rPr>
                <w:color w:val="auto"/>
                <w:sz w:val="12"/>
                <w:szCs w:val="12"/>
              </w:rPr>
            </w:pPr>
          </w:p>
        </w:tc>
        <w:tc>
          <w:tcPr>
            <w:tcW w:w="400" w:type="dxa"/>
            <w:vAlign w:val="bottom"/>
          </w:tcPr>
          <w:p>
            <w:pPr>
              <w:spacing w:after="0"/>
              <w:rPr>
                <w:color w:val="auto"/>
                <w:sz w:val="12"/>
                <w:szCs w:val="12"/>
              </w:rPr>
            </w:pPr>
          </w:p>
        </w:tc>
        <w:tc>
          <w:tcPr>
            <w:tcW w:w="1120" w:type="dxa"/>
            <w:vAlign w:val="bottom"/>
          </w:tcPr>
          <w:p>
            <w:pPr>
              <w:spacing w:after="0" w:line="142" w:lineRule="exact"/>
              <w:ind w:right="21"/>
              <w:jc w:val="right"/>
              <w:rPr>
                <w:color w:val="auto"/>
                <w:sz w:val="20"/>
                <w:szCs w:val="20"/>
              </w:rPr>
            </w:pPr>
            <w:r>
              <w:rPr>
                <w:rFonts w:ascii="Calibri" w:eastAsia="Calibri" w:hAnsi="Calibri" w:cs="Calibri"/>
                <w:color w:val="auto"/>
                <w:sz w:val="12"/>
                <w:szCs w:val="12"/>
              </w:rPr>
              <w:t>1,485</w:t>
            </w:r>
          </w:p>
        </w:tc>
        <w:tc>
          <w:tcPr>
            <w:tcW w:w="400" w:type="dxa"/>
            <w:vAlign w:val="bottom"/>
          </w:tcPr>
          <w:p>
            <w:pPr>
              <w:spacing w:after="0"/>
              <w:rPr>
                <w:color w:val="auto"/>
                <w:sz w:val="12"/>
                <w:szCs w:val="12"/>
              </w:rPr>
            </w:pPr>
          </w:p>
        </w:tc>
        <w:tc>
          <w:tcPr>
            <w:tcW w:w="1100" w:type="dxa"/>
            <w:vAlign w:val="bottom"/>
          </w:tcPr>
          <w:p>
            <w:pPr>
              <w:spacing w:after="0" w:line="142" w:lineRule="exact"/>
              <w:ind w:right="1"/>
              <w:jc w:val="right"/>
              <w:rPr>
                <w:color w:val="auto"/>
                <w:sz w:val="20"/>
                <w:szCs w:val="20"/>
              </w:rPr>
            </w:pPr>
            <w:r>
              <w:rPr>
                <w:rFonts w:ascii="Calibri" w:eastAsia="Calibri" w:hAnsi="Calibri" w:cs="Calibri"/>
                <w:color w:val="auto"/>
                <w:sz w:val="12"/>
                <w:szCs w:val="12"/>
              </w:rPr>
              <w:t>1,433</w:t>
            </w:r>
          </w:p>
        </w:tc>
      </w:tr>
      <w:tr>
        <w:tblPrEx>
          <w:tblInd w:w="0" w:type="dxa"/>
          <w:tblLayout w:type="fixed"/>
        </w:tblPrEx>
        <w:trPr>
          <w:trHeight w:val="153"/>
        </w:trPr>
        <w:tc>
          <w:tcPr>
            <w:tcW w:w="5760" w:type="dxa"/>
            <w:tcBorders>
              <w:bottom w:val="single" w:sz="8" w:space="0" w:color="auto"/>
            </w:tcBorders>
            <w:shd w:val="clear" w:color="auto" w:fill="CCEEFF"/>
            <w:vAlign w:val="bottom"/>
          </w:tcPr>
          <w:p>
            <w:pPr>
              <w:spacing w:after="0"/>
              <w:rPr>
                <w:color w:val="auto"/>
                <w:sz w:val="20"/>
                <w:szCs w:val="20"/>
              </w:rPr>
            </w:pPr>
            <w:r>
              <w:rPr>
                <w:rFonts w:ascii="Calibri" w:eastAsia="Calibri" w:hAnsi="Calibri" w:cs="Calibri"/>
                <w:color w:val="auto"/>
                <w:sz w:val="12"/>
                <w:szCs w:val="12"/>
              </w:rPr>
              <w:t>All other</w:t>
            </w:r>
          </w:p>
        </w:tc>
        <w:tc>
          <w:tcPr>
            <w:tcW w:w="138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rPr>
                <w:color w:val="auto"/>
                <w:sz w:val="13"/>
                <w:szCs w:val="13"/>
              </w:rPr>
            </w:pPr>
          </w:p>
        </w:tc>
        <w:tc>
          <w:tcPr>
            <w:tcW w:w="400" w:type="dxa"/>
            <w:tcBorders>
              <w:bottom w:val="single" w:sz="8" w:space="0" w:color="auto"/>
            </w:tcBorders>
            <w:shd w:val="clear" w:color="auto" w:fill="CCEEFF"/>
            <w:vAlign w:val="bottom"/>
          </w:tcPr>
          <w:p>
            <w:pPr>
              <w:spacing w:after="0"/>
              <w:rPr>
                <w:color w:val="auto"/>
                <w:sz w:val="13"/>
                <w:szCs w:val="13"/>
              </w:rPr>
            </w:pPr>
          </w:p>
        </w:tc>
        <w:tc>
          <w:tcPr>
            <w:tcW w:w="1120" w:type="dxa"/>
            <w:tcBorders>
              <w:bottom w:val="single" w:sz="8" w:space="0" w:color="auto"/>
            </w:tcBorders>
            <w:shd w:val="clear" w:color="auto" w:fill="CCEEFF"/>
            <w:vAlign w:val="bottom"/>
          </w:tcPr>
          <w:p>
            <w:pPr>
              <w:spacing w:after="0"/>
              <w:ind w:right="21"/>
              <w:jc w:val="right"/>
              <w:rPr>
                <w:color w:val="auto"/>
                <w:sz w:val="20"/>
                <w:szCs w:val="20"/>
              </w:rPr>
            </w:pPr>
            <w:r>
              <w:rPr>
                <w:rFonts w:ascii="Calibri" w:eastAsia="Calibri" w:hAnsi="Calibri" w:cs="Calibri"/>
                <w:color w:val="auto"/>
                <w:sz w:val="12"/>
                <w:szCs w:val="12"/>
              </w:rPr>
              <w:t>318</w:t>
            </w:r>
          </w:p>
        </w:tc>
        <w:tc>
          <w:tcPr>
            <w:tcW w:w="400" w:type="dxa"/>
            <w:tcBorders>
              <w:bottom w:val="single" w:sz="8" w:space="0" w:color="auto"/>
            </w:tcBorders>
            <w:shd w:val="clear" w:color="auto" w:fill="CCEEFF"/>
            <w:vAlign w:val="bottom"/>
          </w:tcPr>
          <w:p>
            <w:pPr>
              <w:spacing w:after="0"/>
              <w:rPr>
                <w:color w:val="auto"/>
                <w:sz w:val="13"/>
                <w:szCs w:val="13"/>
              </w:rPr>
            </w:pPr>
          </w:p>
        </w:tc>
        <w:tc>
          <w:tcPr>
            <w:tcW w:w="1100" w:type="dxa"/>
            <w:tcBorders>
              <w:bottom w:val="single" w:sz="8" w:space="0" w:color="auto"/>
            </w:tcBorders>
            <w:shd w:val="clear" w:color="auto" w:fill="CCEEFF"/>
            <w:vAlign w:val="bottom"/>
          </w:tcPr>
          <w:p>
            <w:pPr>
              <w:spacing w:after="0"/>
              <w:ind w:right="1"/>
              <w:jc w:val="right"/>
              <w:rPr>
                <w:color w:val="auto"/>
                <w:sz w:val="20"/>
                <w:szCs w:val="20"/>
              </w:rPr>
            </w:pPr>
            <w:r>
              <w:rPr>
                <w:rFonts w:ascii="Calibri" w:eastAsia="Calibri" w:hAnsi="Calibri" w:cs="Calibri"/>
                <w:color w:val="auto"/>
                <w:sz w:val="12"/>
                <w:szCs w:val="12"/>
              </w:rPr>
              <w:t>417</w:t>
            </w:r>
          </w:p>
        </w:tc>
      </w:tr>
      <w:tr>
        <w:tblPrEx>
          <w:tblInd w:w="0" w:type="dxa"/>
          <w:tblLayout w:type="fixed"/>
        </w:tblPrEx>
        <w:trPr>
          <w:trHeight w:val="142"/>
        </w:trPr>
        <w:tc>
          <w:tcPr>
            <w:tcW w:w="576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Total long-lived assets</w:t>
            </w:r>
          </w:p>
        </w:tc>
        <w:tc>
          <w:tcPr>
            <w:tcW w:w="1380" w:type="dxa"/>
            <w:tcBorders>
              <w:bottom w:val="single" w:sz="8" w:space="0" w:color="auto"/>
            </w:tcBorders>
            <w:vAlign w:val="bottom"/>
          </w:tcPr>
          <w:p>
            <w:pPr>
              <w:spacing w:after="0"/>
              <w:rPr>
                <w:color w:val="auto"/>
                <w:sz w:val="12"/>
                <w:szCs w:val="12"/>
              </w:rPr>
            </w:pPr>
          </w:p>
        </w:tc>
        <w:tc>
          <w:tcPr>
            <w:tcW w:w="1120" w:type="dxa"/>
            <w:tcBorders>
              <w:bottom w:val="single" w:sz="8" w:space="0" w:color="auto"/>
            </w:tcBorders>
            <w:vAlign w:val="bottom"/>
          </w:tcPr>
          <w:p>
            <w:pPr>
              <w:spacing w:after="0"/>
              <w:rPr>
                <w:color w:val="auto"/>
                <w:sz w:val="12"/>
                <w:szCs w:val="12"/>
              </w:rPr>
            </w:pPr>
          </w:p>
        </w:tc>
        <w:tc>
          <w:tcPr>
            <w:tcW w:w="400" w:type="dxa"/>
            <w:tcBorders>
              <w:bottom w:val="single" w:sz="8" w:space="0" w:color="auto"/>
            </w:tcBorders>
            <w:vAlign w:val="bottom"/>
          </w:tcPr>
          <w:p>
            <w:pPr>
              <w:spacing w:after="0" w:line="142" w:lineRule="exact"/>
              <w:ind w:right="220"/>
              <w:jc w:val="right"/>
              <w:rPr>
                <w:color w:val="auto"/>
                <w:sz w:val="20"/>
                <w:szCs w:val="20"/>
              </w:rPr>
            </w:pPr>
            <w:r>
              <w:rPr>
                <w:rFonts w:ascii="Calibri" w:eastAsia="Calibri" w:hAnsi="Calibri" w:cs="Calibri"/>
                <w:color w:val="auto"/>
                <w:sz w:val="12"/>
                <w:szCs w:val="12"/>
              </w:rPr>
              <w:t>$</w:t>
            </w:r>
          </w:p>
        </w:tc>
        <w:tc>
          <w:tcPr>
            <w:tcW w:w="1120" w:type="dxa"/>
            <w:tcBorders>
              <w:bottom w:val="single" w:sz="8" w:space="0" w:color="auto"/>
            </w:tcBorders>
            <w:vAlign w:val="bottom"/>
          </w:tcPr>
          <w:p>
            <w:pPr>
              <w:spacing w:after="0" w:line="142" w:lineRule="exact"/>
              <w:ind w:right="21"/>
              <w:jc w:val="right"/>
              <w:rPr>
                <w:color w:val="auto"/>
                <w:sz w:val="20"/>
                <w:szCs w:val="20"/>
              </w:rPr>
            </w:pPr>
            <w:r>
              <w:rPr>
                <w:rFonts w:ascii="Calibri" w:eastAsia="Calibri" w:hAnsi="Calibri" w:cs="Calibri"/>
                <w:color w:val="auto"/>
                <w:sz w:val="12"/>
                <w:szCs w:val="12"/>
              </w:rPr>
              <w:t>5,134</w:t>
            </w:r>
          </w:p>
        </w:tc>
        <w:tc>
          <w:tcPr>
            <w:tcW w:w="400" w:type="dxa"/>
            <w:tcBorders>
              <w:bottom w:val="single" w:sz="8" w:space="0" w:color="auto"/>
            </w:tcBorders>
            <w:vAlign w:val="bottom"/>
          </w:tcPr>
          <w:p>
            <w:pPr>
              <w:spacing w:after="0" w:line="142" w:lineRule="exact"/>
              <w:ind w:right="200"/>
              <w:jc w:val="right"/>
              <w:rPr>
                <w:color w:val="auto"/>
                <w:sz w:val="20"/>
                <w:szCs w:val="20"/>
              </w:rPr>
            </w:pPr>
            <w:r>
              <w:rPr>
                <w:rFonts w:ascii="Calibri" w:eastAsia="Calibri" w:hAnsi="Calibri" w:cs="Calibri"/>
                <w:color w:val="auto"/>
                <w:sz w:val="12"/>
                <w:szCs w:val="12"/>
              </w:rPr>
              <w:t>$</w:t>
            </w:r>
          </w:p>
        </w:tc>
        <w:tc>
          <w:tcPr>
            <w:tcW w:w="1100" w:type="dxa"/>
            <w:tcBorders>
              <w:bottom w:val="single" w:sz="8" w:space="0" w:color="auto"/>
            </w:tcBorders>
            <w:vAlign w:val="bottom"/>
          </w:tcPr>
          <w:p>
            <w:pPr>
              <w:spacing w:after="0" w:line="142" w:lineRule="exact"/>
              <w:ind w:right="1"/>
              <w:jc w:val="right"/>
              <w:rPr>
                <w:color w:val="auto"/>
                <w:sz w:val="20"/>
                <w:szCs w:val="20"/>
              </w:rPr>
            </w:pPr>
            <w:r>
              <w:rPr>
                <w:rFonts w:ascii="Calibri" w:eastAsia="Calibri" w:hAnsi="Calibri" w:cs="Calibri"/>
                <w:color w:val="auto"/>
                <w:sz w:val="12"/>
                <w:szCs w:val="12"/>
              </w:rPr>
              <w:t>4,989</w:t>
            </w:r>
          </w:p>
        </w:tc>
      </w:tr>
      <w:tr>
        <w:tblPrEx>
          <w:tblInd w:w="0" w:type="dxa"/>
          <w:tblLayout w:type="fixed"/>
        </w:tblPrEx>
        <w:trPr>
          <w:trHeight w:val="20"/>
        </w:trPr>
        <w:tc>
          <w:tcPr>
            <w:tcW w:w="5760" w:type="dxa"/>
            <w:tcBorders>
              <w:bottom w:val="single" w:sz="8" w:space="0" w:color="auto"/>
            </w:tcBorders>
            <w:vAlign w:val="bottom"/>
          </w:tcPr>
          <w:p>
            <w:pPr>
              <w:spacing w:after="0" w:line="20" w:lineRule="exact"/>
              <w:rPr>
                <w:color w:val="auto"/>
                <w:sz w:val="1"/>
                <w:szCs w:val="1"/>
              </w:rPr>
            </w:pPr>
          </w:p>
        </w:tc>
        <w:tc>
          <w:tcPr>
            <w:tcW w:w="138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400" w:type="dxa"/>
            <w:tcBorders>
              <w:bottom w:val="single" w:sz="8" w:space="0" w:color="auto"/>
            </w:tcBorders>
            <w:vAlign w:val="bottom"/>
          </w:tcPr>
          <w:p>
            <w:pPr>
              <w:spacing w:after="0" w:line="20" w:lineRule="exact"/>
              <w:rPr>
                <w:color w:val="auto"/>
                <w:sz w:val="1"/>
                <w:szCs w:val="1"/>
              </w:rPr>
            </w:pPr>
          </w:p>
        </w:tc>
        <w:tc>
          <w:tcPr>
            <w:tcW w:w="1120" w:type="dxa"/>
            <w:tcBorders>
              <w:bottom w:val="single" w:sz="8" w:space="0" w:color="auto"/>
            </w:tcBorders>
            <w:vAlign w:val="bottom"/>
          </w:tcPr>
          <w:p>
            <w:pPr>
              <w:spacing w:after="0" w:line="20" w:lineRule="exact"/>
              <w:rPr>
                <w:color w:val="auto"/>
                <w:sz w:val="1"/>
                <w:szCs w:val="1"/>
              </w:rPr>
            </w:pPr>
          </w:p>
        </w:tc>
        <w:tc>
          <w:tcPr>
            <w:tcW w:w="400" w:type="dxa"/>
            <w:tcBorders>
              <w:bottom w:val="single" w:sz="8" w:space="0" w:color="auto"/>
            </w:tcBorders>
            <w:vAlign w:val="bottom"/>
          </w:tcPr>
          <w:p>
            <w:pPr>
              <w:spacing w:after="0" w:line="20" w:lineRule="exact"/>
              <w:rPr>
                <w:color w:val="auto"/>
                <w:sz w:val="1"/>
                <w:szCs w:val="1"/>
              </w:rPr>
            </w:pPr>
          </w:p>
        </w:tc>
        <w:tc>
          <w:tcPr>
            <w:tcW w:w="1100" w:type="dxa"/>
            <w:tcBorders>
              <w:bottom w:val="single" w:sz="8" w:space="0" w:color="auto"/>
            </w:tcBorders>
            <w:vAlign w:val="bottom"/>
          </w:tcPr>
          <w:p>
            <w:pPr>
              <w:spacing w:after="0" w:line="20" w:lineRule="exact"/>
              <w:rPr>
                <w:color w:val="auto"/>
                <w:sz w:val="1"/>
                <w:szCs w:val="1"/>
              </w:rPr>
            </w:pPr>
          </w:p>
        </w:tc>
      </w:tr>
    </w:tbl>
    <w:p>
      <w:pPr>
        <w:spacing w:after="0" w:line="187"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Note 17 Fourth Quarter Financial Results (unaudited)</w:t>
      </w:r>
    </w:p>
    <w:p>
      <w:pPr>
        <w:spacing w:after="0" w:line="20" w:lineRule="exact"/>
        <w:rPr>
          <w:color w:val="auto"/>
          <w:sz w:val="20"/>
          <w:szCs w:val="20"/>
        </w:rPr>
      </w:pPr>
      <w:r>
        <w:rPr>
          <w:color w:val="auto"/>
          <w:sz w:val="20"/>
          <w:szCs w:val="20"/>
        </w:rPr>
        <w:drawing>
          <wp:anchor simplePos="0" relativeHeight="251912192" behindDoc="1" locked="0" layoutInCell="0" allowOverlap="1">
            <wp:simplePos x="0" y="0"/>
            <wp:positionH relativeFrom="column">
              <wp:posOffset>-4445</wp:posOffset>
            </wp:positionH>
            <wp:positionV relativeFrom="paragraph">
              <wp:posOffset>24130</wp:posOffset>
            </wp:positionV>
            <wp:extent cx="7166610" cy="5715"/>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43" w:lineRule="exact"/>
        <w:rPr>
          <w:color w:val="auto"/>
          <w:sz w:val="20"/>
          <w:szCs w:val="20"/>
        </w:rPr>
      </w:pPr>
    </w:p>
    <w:tbl>
      <w:tblPr>
        <w:tblInd w:w="0" w:type="dxa"/>
        <w:tblLayout w:type="fixed"/>
        <w:tblCellMar>
          <w:top w:w="0" w:type="dxa"/>
          <w:left w:w="0" w:type="dxa"/>
          <w:bottom w:w="0" w:type="dxa"/>
          <w:right w:w="0" w:type="dxa"/>
        </w:tblCellMar>
      </w:tblPr>
      <w:tblGrid>
        <w:gridCol w:w="5920"/>
        <w:gridCol w:w="4400"/>
        <w:gridCol w:w="980"/>
      </w:tblGrid>
      <w:tr>
        <w:tblPrEx>
          <w:tblInd w:w="0" w:type="dxa"/>
          <w:tblLayout w:type="fixed"/>
        </w:tblPrEx>
        <w:trPr>
          <w:trHeight w:val="122"/>
        </w:trPr>
        <w:tc>
          <w:tcPr>
            <w:tcW w:w="5920" w:type="dxa"/>
            <w:vAlign w:val="bottom"/>
          </w:tcPr>
          <w:p>
            <w:pPr>
              <w:spacing w:after="0"/>
              <w:rPr>
                <w:color w:val="auto"/>
                <w:sz w:val="20"/>
                <w:szCs w:val="20"/>
              </w:rPr>
            </w:pPr>
            <w:r>
              <w:rPr>
                <w:rFonts w:ascii="Calibri" w:eastAsia="Calibri" w:hAnsi="Calibri" w:cs="Calibri"/>
                <w:b/>
                <w:bCs/>
                <w:color w:val="auto"/>
                <w:sz w:val="10"/>
                <w:szCs w:val="10"/>
              </w:rPr>
              <w:t>quarter ended December 31 (in millions except per share data)</w:t>
            </w:r>
          </w:p>
        </w:tc>
        <w:tc>
          <w:tcPr>
            <w:tcW w:w="4400" w:type="dxa"/>
            <w:vAlign w:val="bottom"/>
          </w:tcPr>
          <w:p>
            <w:pPr>
              <w:spacing w:after="0"/>
              <w:rPr>
                <w:color w:val="auto"/>
                <w:sz w:val="10"/>
                <w:szCs w:val="10"/>
              </w:rPr>
            </w:pPr>
          </w:p>
        </w:tc>
        <w:tc>
          <w:tcPr>
            <w:tcW w:w="980" w:type="dxa"/>
            <w:vAlign w:val="bottom"/>
          </w:tcPr>
          <w:p>
            <w:pPr>
              <w:spacing w:after="0"/>
              <w:ind w:right="562"/>
              <w:jc w:val="right"/>
              <w:rPr>
                <w:color w:val="auto"/>
                <w:sz w:val="20"/>
                <w:szCs w:val="20"/>
              </w:rPr>
            </w:pPr>
            <w:r>
              <w:rPr>
                <w:rFonts w:ascii="Calibri" w:eastAsia="Calibri" w:hAnsi="Calibri" w:cs="Calibri"/>
                <w:b/>
                <w:bCs/>
                <w:color w:val="auto"/>
                <w:sz w:val="10"/>
                <w:szCs w:val="10"/>
              </w:rPr>
              <w:t>2024</w:t>
            </w:r>
          </w:p>
        </w:tc>
      </w:tr>
      <w:tr>
        <w:tblPrEx>
          <w:tblInd w:w="0" w:type="dxa"/>
          <w:tblLayout w:type="fixed"/>
        </w:tblPrEx>
        <w:trPr>
          <w:trHeight w:val="32"/>
        </w:trPr>
        <w:tc>
          <w:tcPr>
            <w:tcW w:w="5920" w:type="dxa"/>
            <w:tcBorders>
              <w:bottom w:val="single" w:sz="8" w:space="0" w:color="auto"/>
            </w:tcBorders>
            <w:vAlign w:val="bottom"/>
          </w:tcPr>
          <w:p>
            <w:pPr>
              <w:spacing w:after="0"/>
              <w:rPr>
                <w:color w:val="auto"/>
                <w:sz w:val="2"/>
                <w:szCs w:val="2"/>
              </w:rPr>
            </w:pPr>
          </w:p>
        </w:tc>
        <w:tc>
          <w:tcPr>
            <w:tcW w:w="4400" w:type="dxa"/>
            <w:tcBorders>
              <w:bottom w:val="single" w:sz="8" w:space="0" w:color="auto"/>
            </w:tcBorders>
            <w:vAlign w:val="bottom"/>
          </w:tcPr>
          <w:p>
            <w:pPr>
              <w:spacing w:after="0"/>
              <w:rPr>
                <w:color w:val="auto"/>
                <w:sz w:val="2"/>
                <w:szCs w:val="2"/>
              </w:rPr>
            </w:pPr>
          </w:p>
        </w:tc>
        <w:tc>
          <w:tcPr>
            <w:tcW w:w="980" w:type="dxa"/>
            <w:tcBorders>
              <w:bottom w:val="single" w:sz="8" w:space="0" w:color="auto"/>
            </w:tcBorders>
            <w:vAlign w:val="bottom"/>
          </w:tcPr>
          <w:p>
            <w:pPr>
              <w:spacing w:after="0"/>
              <w:rPr>
                <w:color w:val="auto"/>
                <w:sz w:val="2"/>
                <w:szCs w:val="2"/>
              </w:rPr>
            </w:pPr>
          </w:p>
        </w:tc>
      </w:tr>
      <w:tr>
        <w:tblPrEx>
          <w:tblInd w:w="0" w:type="dxa"/>
          <w:tblLayout w:type="fixed"/>
        </w:tblPrEx>
        <w:trPr>
          <w:trHeight w:val="142"/>
        </w:trPr>
        <w:tc>
          <w:tcPr>
            <w:tcW w:w="592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Net revenues</w:t>
            </w:r>
          </w:p>
        </w:tc>
        <w:tc>
          <w:tcPr>
            <w:tcW w:w="4400" w:type="dxa"/>
            <w:shd w:val="clear" w:color="auto" w:fill="CCEEFF"/>
            <w:vAlign w:val="bottom"/>
          </w:tcPr>
          <w:p>
            <w:pPr>
              <w:spacing w:after="0" w:line="142" w:lineRule="exact"/>
              <w:ind w:right="320"/>
              <w:jc w:val="right"/>
              <w:rPr>
                <w:color w:val="auto"/>
                <w:sz w:val="20"/>
                <w:szCs w:val="20"/>
              </w:rPr>
            </w:pPr>
            <w:r>
              <w:rPr>
                <w:rFonts w:ascii="Calibri" w:eastAsia="Calibri" w:hAnsi="Calibri" w:cs="Calibri"/>
                <w:color w:val="auto"/>
                <w:sz w:val="12"/>
                <w:szCs w:val="12"/>
              </w:rPr>
              <w:t>$</w:t>
            </w:r>
          </w:p>
        </w:tc>
        <w:tc>
          <w:tcPr>
            <w:tcW w:w="98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15,102</w:t>
            </w:r>
          </w:p>
        </w:tc>
      </w:tr>
      <w:tr>
        <w:tblPrEx>
          <w:tblInd w:w="0" w:type="dxa"/>
          <w:tblLayout w:type="fixed"/>
        </w:tblPrEx>
        <w:trPr>
          <w:trHeight w:val="147"/>
        </w:trPr>
        <w:tc>
          <w:tcPr>
            <w:tcW w:w="5920" w:type="dxa"/>
            <w:vAlign w:val="bottom"/>
          </w:tcPr>
          <w:p>
            <w:pPr>
              <w:spacing w:after="0" w:line="142" w:lineRule="exact"/>
              <w:rPr>
                <w:color w:val="auto"/>
                <w:sz w:val="20"/>
                <w:szCs w:val="20"/>
              </w:rPr>
            </w:pPr>
            <w:r>
              <w:rPr>
                <w:rFonts w:ascii="Calibri" w:eastAsia="Calibri" w:hAnsi="Calibri" w:cs="Calibri"/>
                <w:color w:val="auto"/>
                <w:sz w:val="12"/>
                <w:szCs w:val="12"/>
              </w:rPr>
              <w:t>Gross margin</w:t>
            </w:r>
          </w:p>
        </w:tc>
        <w:tc>
          <w:tcPr>
            <w:tcW w:w="4400" w:type="dxa"/>
            <w:vAlign w:val="bottom"/>
          </w:tcPr>
          <w:p>
            <w:pPr>
              <w:spacing w:after="0"/>
              <w:rPr>
                <w:color w:val="auto"/>
                <w:sz w:val="12"/>
                <w:szCs w:val="12"/>
              </w:rPr>
            </w:pPr>
          </w:p>
        </w:tc>
        <w:tc>
          <w:tcPr>
            <w:tcW w:w="980" w:type="dxa"/>
            <w:vAlign w:val="bottom"/>
          </w:tcPr>
          <w:p>
            <w:pPr>
              <w:spacing w:after="0" w:line="142" w:lineRule="exact"/>
              <w:jc w:val="right"/>
              <w:rPr>
                <w:color w:val="auto"/>
                <w:sz w:val="20"/>
                <w:szCs w:val="20"/>
              </w:rPr>
            </w:pPr>
            <w:r>
              <w:rPr>
                <w:rFonts w:ascii="Calibri" w:eastAsia="Calibri" w:hAnsi="Calibri" w:cs="Calibri"/>
                <w:color w:val="auto"/>
                <w:sz w:val="12"/>
                <w:szCs w:val="12"/>
              </w:rPr>
              <w:t>10,706</w:t>
            </w:r>
          </w:p>
        </w:tc>
      </w:tr>
      <w:tr>
        <w:tblPrEx>
          <w:tblInd w:w="0" w:type="dxa"/>
          <w:tblLayout w:type="fixed"/>
        </w:tblPrEx>
        <w:trPr>
          <w:trHeight w:val="159"/>
        </w:trPr>
        <w:tc>
          <w:tcPr>
            <w:tcW w:w="5920" w:type="dxa"/>
            <w:shd w:val="clear" w:color="auto" w:fill="CCEEFF"/>
            <w:vAlign w:val="bottom"/>
          </w:tcPr>
          <w:p>
            <w:pPr>
              <w:spacing w:after="0"/>
              <w:rPr>
                <w:color w:val="auto"/>
                <w:sz w:val="20"/>
                <w:szCs w:val="20"/>
              </w:rPr>
            </w:pPr>
            <w:r>
              <w:rPr>
                <w:rFonts w:ascii="Calibri" w:eastAsia="Calibri" w:hAnsi="Calibri" w:cs="Calibri"/>
                <w:color w:val="auto"/>
                <w:sz w:val="12"/>
                <w:szCs w:val="12"/>
              </w:rPr>
              <w:t>Net loss atributable to AbbVie Inc.</w:t>
            </w:r>
          </w:p>
        </w:tc>
        <w:tc>
          <w:tcPr>
            <w:tcW w:w="4400" w:type="dxa"/>
            <w:shd w:val="clear" w:color="auto" w:fill="CCEEFF"/>
            <w:vAlign w:val="bottom"/>
          </w:tcPr>
          <w:p>
            <w:pPr>
              <w:spacing w:after="0"/>
              <w:rPr>
                <w:color w:val="auto"/>
                <w:sz w:val="13"/>
                <w:szCs w:val="13"/>
              </w:rPr>
            </w:pPr>
          </w:p>
        </w:tc>
        <w:tc>
          <w:tcPr>
            <w:tcW w:w="9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(22)</w:t>
            </w:r>
          </w:p>
        </w:tc>
      </w:tr>
      <w:tr>
        <w:tblPrEx>
          <w:tblInd w:w="0" w:type="dxa"/>
          <w:tblLayout w:type="fixed"/>
        </w:tblPrEx>
        <w:trPr>
          <w:trHeight w:val="147"/>
        </w:trPr>
        <w:tc>
          <w:tcPr>
            <w:tcW w:w="5920" w:type="dxa"/>
            <w:vAlign w:val="bottom"/>
          </w:tcPr>
          <w:p>
            <w:pPr>
              <w:spacing w:after="0" w:line="142" w:lineRule="exact"/>
              <w:rPr>
                <w:color w:val="auto"/>
                <w:sz w:val="20"/>
                <w:szCs w:val="20"/>
              </w:rPr>
            </w:pPr>
            <w:r>
              <w:rPr>
                <w:rFonts w:ascii="Calibri" w:eastAsia="Calibri" w:hAnsi="Calibri" w:cs="Calibri"/>
                <w:color w:val="auto"/>
                <w:sz w:val="12"/>
                <w:szCs w:val="12"/>
              </w:rPr>
              <w:t>Basic loss per share atributable to AbbVie Inc.</w:t>
            </w:r>
          </w:p>
        </w:tc>
        <w:tc>
          <w:tcPr>
            <w:tcW w:w="4400" w:type="dxa"/>
            <w:vAlign w:val="bottom"/>
          </w:tcPr>
          <w:p>
            <w:pPr>
              <w:spacing w:after="0" w:line="142" w:lineRule="exact"/>
              <w:ind w:right="320"/>
              <w:jc w:val="right"/>
              <w:rPr>
                <w:color w:val="auto"/>
                <w:sz w:val="20"/>
                <w:szCs w:val="20"/>
              </w:rPr>
            </w:pPr>
            <w:r>
              <w:rPr>
                <w:rFonts w:ascii="Calibri" w:eastAsia="Calibri" w:hAnsi="Calibri" w:cs="Calibri"/>
                <w:color w:val="auto"/>
                <w:sz w:val="12"/>
                <w:szCs w:val="12"/>
              </w:rPr>
              <w:t>$</w:t>
            </w:r>
          </w:p>
        </w:tc>
        <w:tc>
          <w:tcPr>
            <w:tcW w:w="980" w:type="dxa"/>
            <w:vAlign w:val="bottom"/>
          </w:tcPr>
          <w:p>
            <w:pPr>
              <w:spacing w:after="0" w:line="142" w:lineRule="exact"/>
              <w:jc w:val="right"/>
              <w:rPr>
                <w:color w:val="auto"/>
                <w:sz w:val="20"/>
                <w:szCs w:val="20"/>
              </w:rPr>
            </w:pPr>
            <w:r>
              <w:rPr>
                <w:rFonts w:ascii="Calibri" w:eastAsia="Calibri" w:hAnsi="Calibri" w:cs="Calibri"/>
                <w:color w:val="auto"/>
                <w:sz w:val="12"/>
                <w:szCs w:val="12"/>
              </w:rPr>
              <w:t>(0.02)</w:t>
            </w:r>
          </w:p>
        </w:tc>
      </w:tr>
      <w:tr>
        <w:tblPrEx>
          <w:tblInd w:w="0" w:type="dxa"/>
          <w:tblLayout w:type="fixed"/>
        </w:tblPrEx>
        <w:trPr>
          <w:trHeight w:val="159"/>
        </w:trPr>
        <w:tc>
          <w:tcPr>
            <w:tcW w:w="5920" w:type="dxa"/>
            <w:shd w:val="clear" w:color="auto" w:fill="CCEEFF"/>
            <w:vAlign w:val="bottom"/>
          </w:tcPr>
          <w:p>
            <w:pPr>
              <w:spacing w:after="0"/>
              <w:rPr>
                <w:color w:val="auto"/>
                <w:sz w:val="20"/>
                <w:szCs w:val="20"/>
              </w:rPr>
            </w:pPr>
            <w:r>
              <w:rPr>
                <w:rFonts w:ascii="Calibri" w:eastAsia="Calibri" w:hAnsi="Calibri" w:cs="Calibri"/>
                <w:color w:val="auto"/>
                <w:sz w:val="12"/>
                <w:szCs w:val="12"/>
              </w:rPr>
              <w:t>Diluted loss per share atributable to AbbVie Inc.</w:t>
            </w:r>
          </w:p>
        </w:tc>
        <w:tc>
          <w:tcPr>
            <w:tcW w:w="4400" w:type="dxa"/>
            <w:shd w:val="clear" w:color="auto" w:fill="CCEEFF"/>
            <w:vAlign w:val="bottom"/>
          </w:tcPr>
          <w:p>
            <w:pPr>
              <w:spacing w:after="0"/>
              <w:ind w:right="320"/>
              <w:jc w:val="right"/>
              <w:rPr>
                <w:color w:val="auto"/>
                <w:sz w:val="20"/>
                <w:szCs w:val="20"/>
              </w:rPr>
            </w:pPr>
            <w:r>
              <w:rPr>
                <w:rFonts w:ascii="Calibri" w:eastAsia="Calibri" w:hAnsi="Calibri" w:cs="Calibri"/>
                <w:color w:val="auto"/>
                <w:sz w:val="12"/>
                <w:szCs w:val="12"/>
              </w:rPr>
              <w:t>$</w:t>
            </w:r>
          </w:p>
        </w:tc>
        <w:tc>
          <w:tcPr>
            <w:tcW w:w="980" w:type="dxa"/>
            <w:shd w:val="clear" w:color="auto" w:fill="CCEEFF"/>
            <w:vAlign w:val="bottom"/>
          </w:tcPr>
          <w:p>
            <w:pPr>
              <w:spacing w:after="0"/>
              <w:jc w:val="right"/>
              <w:rPr>
                <w:color w:val="auto"/>
                <w:sz w:val="20"/>
                <w:szCs w:val="20"/>
              </w:rPr>
            </w:pPr>
            <w:r>
              <w:rPr>
                <w:rFonts w:ascii="Calibri" w:eastAsia="Calibri" w:hAnsi="Calibri" w:cs="Calibri"/>
                <w:color w:val="auto"/>
                <w:sz w:val="12"/>
                <w:szCs w:val="12"/>
              </w:rPr>
              <w:t>(0.02)</w:t>
            </w:r>
          </w:p>
        </w:tc>
      </w:tr>
      <w:tr>
        <w:tblPrEx>
          <w:tblInd w:w="0" w:type="dxa"/>
          <w:tblLayout w:type="fixed"/>
        </w:tblPrEx>
        <w:trPr>
          <w:trHeight w:val="147"/>
        </w:trPr>
        <w:tc>
          <w:tcPr>
            <w:tcW w:w="592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Cash dividends declared per common share</w:t>
            </w:r>
          </w:p>
        </w:tc>
        <w:tc>
          <w:tcPr>
            <w:tcW w:w="4400" w:type="dxa"/>
            <w:tcBorders>
              <w:bottom w:val="single" w:sz="8" w:space="0" w:color="auto"/>
            </w:tcBorders>
            <w:vAlign w:val="bottom"/>
          </w:tcPr>
          <w:p>
            <w:pPr>
              <w:spacing w:after="0" w:line="142" w:lineRule="exact"/>
              <w:ind w:right="320"/>
              <w:jc w:val="right"/>
              <w:rPr>
                <w:color w:val="auto"/>
                <w:sz w:val="20"/>
                <w:szCs w:val="20"/>
              </w:rPr>
            </w:pPr>
            <w:r>
              <w:rPr>
                <w:rFonts w:ascii="Calibri" w:eastAsia="Calibri" w:hAnsi="Calibri" w:cs="Calibri"/>
                <w:color w:val="auto"/>
                <w:sz w:val="12"/>
                <w:szCs w:val="12"/>
              </w:rPr>
              <w:t>$</w:t>
            </w:r>
          </w:p>
        </w:tc>
        <w:tc>
          <w:tcPr>
            <w:tcW w:w="98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1.64</w:t>
            </w:r>
          </w:p>
        </w:tc>
      </w:tr>
      <w:tr>
        <w:tblPrEx>
          <w:tblInd w:w="0" w:type="dxa"/>
          <w:tblLayout w:type="fixed"/>
        </w:tblPrEx>
        <w:trPr>
          <w:trHeight w:val="518"/>
        </w:trPr>
        <w:tc>
          <w:tcPr>
            <w:tcW w:w="5920" w:type="dxa"/>
            <w:vAlign w:val="bottom"/>
          </w:tcPr>
          <w:p>
            <w:pPr>
              <w:spacing w:after="0"/>
              <w:rPr>
                <w:color w:val="auto"/>
                <w:sz w:val="24"/>
                <w:szCs w:val="24"/>
              </w:rPr>
            </w:pPr>
          </w:p>
        </w:tc>
        <w:tc>
          <w:tcPr>
            <w:tcW w:w="4400" w:type="dxa"/>
            <w:vAlign w:val="bottom"/>
          </w:tcPr>
          <w:p>
            <w:pPr>
              <w:spacing w:after="0"/>
              <w:ind w:right="80"/>
              <w:jc w:val="right"/>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980" w:type="dxa"/>
            <w:vAlign w:val="bottom"/>
          </w:tcPr>
          <w:p>
            <w:pPr>
              <w:spacing w:after="0"/>
              <w:jc w:val="right"/>
              <w:rPr>
                <w:color w:val="auto"/>
                <w:sz w:val="20"/>
                <w:szCs w:val="20"/>
              </w:rPr>
            </w:pPr>
            <w:r>
              <w:rPr>
                <w:rFonts w:ascii="Calibri" w:eastAsia="Calibri" w:hAnsi="Calibri" w:cs="Calibri"/>
                <w:b/>
                <w:bCs/>
                <w:i/>
                <w:iCs/>
                <w:color w:val="auto"/>
                <w:sz w:val="12"/>
                <w:szCs w:val="12"/>
              </w:rPr>
              <w:t>100</w:t>
            </w:r>
          </w:p>
        </w:tc>
      </w:tr>
      <w:tr>
        <w:tblPrEx>
          <w:tblInd w:w="0" w:type="dxa"/>
          <w:tblLayout w:type="fixed"/>
        </w:tblPrEx>
        <w:trPr>
          <w:trHeight w:val="152"/>
        </w:trPr>
        <w:tc>
          <w:tcPr>
            <w:tcW w:w="5920" w:type="dxa"/>
            <w:tcBorders>
              <w:bottom w:val="single" w:sz="8" w:space="0" w:color="9A9A9A"/>
            </w:tcBorders>
            <w:vAlign w:val="bottom"/>
          </w:tcPr>
          <w:p>
            <w:pPr>
              <w:spacing w:after="0"/>
              <w:rPr>
                <w:color w:val="auto"/>
                <w:sz w:val="13"/>
                <w:szCs w:val="13"/>
              </w:rPr>
            </w:pPr>
          </w:p>
        </w:tc>
        <w:tc>
          <w:tcPr>
            <w:tcW w:w="4400" w:type="dxa"/>
            <w:tcBorders>
              <w:bottom w:val="single" w:sz="8" w:space="0" w:color="9A9A9A"/>
            </w:tcBorders>
            <w:vAlign w:val="bottom"/>
          </w:tcPr>
          <w:p>
            <w:pPr>
              <w:spacing w:after="0"/>
              <w:rPr>
                <w:color w:val="auto"/>
                <w:sz w:val="13"/>
                <w:szCs w:val="13"/>
              </w:rPr>
            </w:pPr>
          </w:p>
        </w:tc>
        <w:tc>
          <w:tcPr>
            <w:tcW w:w="98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913216" behindDoc="1" locked="0" layoutInCell="0" allowOverlap="1">
            <wp:simplePos x="0" y="0"/>
            <wp:positionH relativeFrom="column">
              <wp:posOffset>7154545</wp:posOffset>
            </wp:positionH>
            <wp:positionV relativeFrom="paragraph">
              <wp:posOffset>-23495</wp:posOffset>
            </wp:positionV>
            <wp:extent cx="31115" cy="3683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14240" behindDoc="1" locked="0" layoutInCell="0" allowOverlap="1">
            <wp:simplePos x="0" y="0"/>
            <wp:positionH relativeFrom="column">
              <wp:posOffset>-17145</wp:posOffset>
            </wp:positionH>
            <wp:positionV relativeFrom="paragraph">
              <wp:posOffset>-23495</wp:posOffset>
            </wp:positionV>
            <wp:extent cx="31115" cy="3683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15264" behindDoc="1" locked="0" layoutInCell="0" allowOverlap="1">
            <wp:simplePos x="0" y="0"/>
            <wp:positionH relativeFrom="column">
              <wp:posOffset>6475730</wp:posOffset>
            </wp:positionH>
            <wp:positionV relativeFrom="paragraph">
              <wp:posOffset>-222250</wp:posOffset>
            </wp:positionV>
            <wp:extent cx="400050" cy="7429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102" w:name="page103"/>
    <w:bookmarkEnd w:id="102"/>
    <w:p>
      <w:pPr>
        <w:spacing w:after="0"/>
        <w:ind w:right="-39"/>
        <w:jc w:val="center"/>
        <w:rPr>
          <w:color w:val="auto"/>
          <w:sz w:val="20"/>
          <w:szCs w:val="20"/>
        </w:rPr>
      </w:pPr>
      <w:r>
        <w:rPr>
          <w:rFonts w:ascii="Calibri" w:eastAsia="Calibri" w:hAnsi="Calibri" w:cs="Calibri"/>
          <w:b/>
          <w:bCs/>
          <w:color w:val="444867"/>
          <w:sz w:val="14"/>
          <w:szCs w:val="14"/>
        </w:rPr>
        <w:t>Report of Independent Registered Public Accountng Firm</w:t>
      </w:r>
    </w:p>
    <w:p>
      <w:pPr>
        <w:spacing w:after="0" w:line="100" w:lineRule="exact"/>
        <w:rPr>
          <w:color w:val="auto"/>
          <w:sz w:val="20"/>
          <w:szCs w:val="20"/>
        </w:rPr>
      </w:pPr>
    </w:p>
    <w:p>
      <w:pPr>
        <w:spacing w:after="0"/>
        <w:rPr>
          <w:color w:val="auto"/>
          <w:sz w:val="20"/>
          <w:szCs w:val="20"/>
        </w:rPr>
      </w:pPr>
      <w:r>
        <w:rPr>
          <w:rFonts w:ascii="Calibri" w:eastAsia="Calibri" w:hAnsi="Calibri" w:cs="Calibri"/>
          <w:color w:val="auto"/>
          <w:sz w:val="12"/>
          <w:szCs w:val="12"/>
        </w:rPr>
        <w:t>To the Stockholders and the Board of Directors of AbbVie Inc.</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Opinion on the Financial Statements</w:t>
      </w:r>
    </w:p>
    <w:p>
      <w:pPr>
        <w:spacing w:after="0" w:line="101" w:lineRule="exact"/>
        <w:rPr>
          <w:color w:val="auto"/>
          <w:sz w:val="20"/>
          <w:szCs w:val="20"/>
        </w:rPr>
      </w:pPr>
    </w:p>
    <w:p>
      <w:pPr>
        <w:spacing w:after="0" w:line="235" w:lineRule="auto"/>
        <w:ind w:right="40"/>
        <w:rPr>
          <w:color w:val="auto"/>
          <w:sz w:val="20"/>
          <w:szCs w:val="20"/>
        </w:rPr>
      </w:pPr>
      <w:r>
        <w:rPr>
          <w:rFonts w:ascii="Calibri" w:eastAsia="Calibri" w:hAnsi="Calibri" w:cs="Calibri"/>
          <w:color w:val="auto"/>
          <w:sz w:val="12"/>
          <w:szCs w:val="12"/>
        </w:rPr>
        <w:t>We have audited the accompanying consolidated balance sheets of AbbVie Inc. and subsidiaries (the Company) as of December 31, 2024 and 2023, the related consolidated statements of earnings, comprehensive income, equity and cash fows for each of the three years in the period ended December 31, 2024, and the related notes (collectvely referred to as the “consolidated fnancial statements”). In our opinion, the consolidated fnancial statements present fairly, in all material respects, the fnancial positon of the Company at December 31, 2024 and 2023, and the results of its operatons and its cash fows for each of the three years in the period ended December 31, 2024, in conformity with U.S. generally accepted accountng principles.</w:t>
      </w:r>
    </w:p>
    <w:p>
      <w:pPr>
        <w:spacing w:after="0" w:line="92" w:lineRule="exact"/>
        <w:rPr>
          <w:color w:val="auto"/>
          <w:sz w:val="20"/>
          <w:szCs w:val="20"/>
        </w:rPr>
      </w:pPr>
    </w:p>
    <w:p>
      <w:pPr>
        <w:spacing w:after="0" w:line="229" w:lineRule="auto"/>
        <w:ind w:right="300"/>
        <w:jc w:val="both"/>
        <w:rPr>
          <w:color w:val="auto"/>
          <w:sz w:val="20"/>
          <w:szCs w:val="20"/>
        </w:rPr>
      </w:pPr>
      <w:r>
        <w:rPr>
          <w:rFonts w:ascii="Calibri" w:eastAsia="Calibri" w:hAnsi="Calibri" w:cs="Calibri"/>
          <w:color w:val="auto"/>
          <w:sz w:val="12"/>
          <w:szCs w:val="12"/>
        </w:rPr>
        <w:t>We also have audited, in accordance with the standards of the Public Company Accountng Oversight Board (United States) (PCAOB), the Company's internal control over fnancial reportng as of December 31, 2024, based on criteria established in Internal Control—Integrated Framework issued by the Commitee of Sponsoring Organizatons of the Treadway Commission (2013 framework), and our report dated February 14, 2025 expressed an unqualifed opinion thereon.</w:t>
      </w:r>
    </w:p>
    <w:p>
      <w:pPr>
        <w:spacing w:after="0" w:line="89"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Basis for Opinion</w:t>
      </w:r>
    </w:p>
    <w:p>
      <w:pPr>
        <w:spacing w:after="0" w:line="101" w:lineRule="exact"/>
        <w:rPr>
          <w:color w:val="auto"/>
          <w:sz w:val="20"/>
          <w:szCs w:val="20"/>
        </w:rPr>
      </w:pPr>
    </w:p>
    <w:p>
      <w:pPr>
        <w:spacing w:after="0" w:line="271" w:lineRule="auto"/>
        <w:ind w:right="100"/>
        <w:rPr>
          <w:color w:val="auto"/>
          <w:sz w:val="20"/>
          <w:szCs w:val="20"/>
        </w:rPr>
      </w:pPr>
      <w:r>
        <w:rPr>
          <w:rFonts w:ascii="Calibri" w:eastAsia="Calibri" w:hAnsi="Calibri" w:cs="Calibri"/>
          <w:color w:val="auto"/>
          <w:sz w:val="11"/>
          <w:szCs w:val="11"/>
        </w:rPr>
        <w:t>These fnancial statements are the responsibility of the Company's management. Our responsibility is to express an opinion on the Company's fnancial statements based on our audits. We are a public accountng frm registered with the PCAOB and are required to be independent with respect to the Company in accordance with the U.S. federal securites laws and the applicable rules and regulatons of the Securites and Exchange Commission and the PCAOB.</w:t>
      </w:r>
    </w:p>
    <w:p>
      <w:pPr>
        <w:spacing w:after="0" w:line="75" w:lineRule="exact"/>
        <w:rPr>
          <w:color w:val="auto"/>
          <w:sz w:val="20"/>
          <w:szCs w:val="20"/>
        </w:rPr>
      </w:pPr>
    </w:p>
    <w:p>
      <w:pPr>
        <w:spacing w:after="0" w:line="235" w:lineRule="auto"/>
        <w:ind w:right="60"/>
        <w:rPr>
          <w:color w:val="auto"/>
          <w:sz w:val="20"/>
          <w:szCs w:val="20"/>
        </w:rPr>
      </w:pPr>
      <w:r>
        <w:rPr>
          <w:rFonts w:ascii="Calibri" w:eastAsia="Calibri" w:hAnsi="Calibri" w:cs="Calibri"/>
          <w:color w:val="auto"/>
          <w:sz w:val="12"/>
          <w:szCs w:val="12"/>
        </w:rPr>
        <w:t>We conducted our audits in accordance with the standards of the PCAOB. Those standards require that we plan and perform the audit to obtain reasonable assurance about whether the fnancial statements are free of material misstatement, whether due to error or fraud. Our audits included performing procedures to assess the risks of material misstatement of the fnancial statements, whether due to error or fraud, and performing procedures that respond to those risks. Such procedures included examining, on a test basis, evidence regarding the amounts and disclosures in the fnancial statements. Our audits also included evaluatng the accountng principles used and signifcant estmates made by management, as well as evaluatng the overall presentaton of the fnancial statements. We believe that our audits provide a reasonable basis for our opinion.</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Critcal Audit Maters</w:t>
      </w:r>
    </w:p>
    <w:p>
      <w:pPr>
        <w:spacing w:after="0" w:line="101" w:lineRule="exact"/>
        <w:rPr>
          <w:color w:val="auto"/>
          <w:sz w:val="20"/>
          <w:szCs w:val="20"/>
        </w:rPr>
      </w:pPr>
    </w:p>
    <w:p>
      <w:pPr>
        <w:spacing w:after="0" w:line="280" w:lineRule="auto"/>
        <w:rPr>
          <w:color w:val="auto"/>
          <w:sz w:val="20"/>
          <w:szCs w:val="20"/>
        </w:rPr>
      </w:pPr>
      <w:r>
        <w:rPr>
          <w:rFonts w:ascii="Calibri" w:eastAsia="Calibri" w:hAnsi="Calibri" w:cs="Calibri"/>
          <w:color w:val="auto"/>
          <w:sz w:val="11"/>
          <w:szCs w:val="11"/>
        </w:rPr>
        <w:t>The critcal audit maters communicated below are maters arising from the current period audit of the fnancial statements that were communicated or required to be communicated to the audit commitee and that: (1) relate to accounts or disclosures that are material to the fnancial statements and (2) involved our especially challenging, subjectve or complex judgments. The communicaton of critcal audit maters does not alter in any way our opinion on the consolidated fnancial statements, taken as a whole, and we are not, by communicatng the critcal audit maters below, providing separate opinions on the critcal audit maters or on the accounts or disclosures to which they relate.</w:t>
      </w:r>
    </w:p>
    <w:p>
      <w:pPr>
        <w:spacing w:after="0" w:line="182"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101</w:t>
      </w:r>
      <w:r>
        <w:rPr>
          <w:color w:val="auto"/>
          <w:sz w:val="20"/>
          <w:szCs w:val="20"/>
        </w:rPr>
        <w:tab/>
      </w:r>
      <w:r>
        <w:rPr>
          <w:color w:val="auto"/>
          <w:sz w:val="1"/>
          <w:szCs w:val="1"/>
        </w:rPr>
        <w:drawing>
          <wp:inline distT="0" distB="0" distL="0" distR="0">
            <wp:extent cx="400050" cy="7429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916288" behindDoc="1" locked="0" layoutInCell="0" allowOverlap="1">
            <wp:simplePos x="0" y="0"/>
            <wp:positionH relativeFrom="column">
              <wp:posOffset>-17145</wp:posOffset>
            </wp:positionH>
            <wp:positionV relativeFrom="paragraph">
              <wp:posOffset>128270</wp:posOffset>
            </wp:positionV>
            <wp:extent cx="7203440" cy="3683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39" w:bottom="1440" w:left="300" w:header="0" w:footer="0" w:gutter="0"/>
          <w:cols w:num="1" w:space="720" w:equalWidth="0">
            <w:col w:w="11260" w:space="0"/>
          </w:cols>
        </w:sectPr>
      </w:pPr>
    </w:p>
    <w:bookmarkStart w:id="103" w:name="page104"/>
    <w:bookmarkEnd w:id="103"/>
    <w:p>
      <w:pPr>
        <w:spacing w:after="0"/>
        <w:ind w:left="2260"/>
        <w:rPr>
          <w:color w:val="auto"/>
          <w:sz w:val="20"/>
          <w:szCs w:val="20"/>
        </w:rPr>
      </w:pPr>
      <w:r>
        <w:rPr>
          <w:rFonts w:ascii="Calibri" w:eastAsia="Calibri" w:hAnsi="Calibri" w:cs="Calibri"/>
          <w:b/>
          <w:bCs/>
          <w:i/>
          <w:iCs/>
          <w:color w:val="auto"/>
          <w:sz w:val="11"/>
          <w:szCs w:val="11"/>
        </w:rPr>
        <w:t>Sales rebate accruals for Medicaid, Medicare and managed care programs</w:t>
      </w:r>
    </w:p>
    <w:p>
      <w:pPr>
        <w:sectPr>
          <w:pgSz w:w="11900" w:h="16838" w:orient="portrait"/>
          <w:pgMar w:top="692" w:right="299" w:bottom="1440" w:left="300" w:header="0" w:footer="0" w:gutter="0"/>
          <w:cols w:num="1" w:space="720" w:equalWidth="0">
            <w:col w:w="11300" w:space="0"/>
          </w:cols>
        </w:sectPr>
      </w:pPr>
    </w:p>
    <w:p>
      <w:pPr>
        <w:spacing w:after="0" w:line="14" w:lineRule="exact"/>
        <w:rPr>
          <w:color w:val="auto"/>
          <w:sz w:val="20"/>
          <w:szCs w:val="20"/>
        </w:rPr>
      </w:pPr>
    </w:p>
    <w:p>
      <w:pPr>
        <w:spacing w:after="0"/>
        <w:ind w:left="420"/>
        <w:rPr>
          <w:color w:val="auto"/>
          <w:sz w:val="20"/>
          <w:szCs w:val="20"/>
        </w:rPr>
      </w:pPr>
      <w:r>
        <w:rPr>
          <w:rFonts w:ascii="Calibri" w:eastAsia="Calibri" w:hAnsi="Calibri" w:cs="Calibri"/>
          <w:i/>
          <w:iCs/>
          <w:color w:val="auto"/>
          <w:sz w:val="12"/>
          <w:szCs w:val="12"/>
        </w:rPr>
        <w:t>Descripton of the Mater</w:t>
      </w:r>
    </w:p>
    <w:p>
      <w:pPr>
        <w:spacing w:after="0" w:line="20" w:lineRule="exact"/>
        <w:rPr>
          <w:color w:val="auto"/>
          <w:sz w:val="20"/>
          <w:szCs w:val="20"/>
        </w:rPr>
      </w:pPr>
      <w:r>
        <w:rPr>
          <w:color w:val="auto"/>
          <w:sz w:val="20"/>
          <w:szCs w:val="20"/>
        </w:rPr>
        <w:br w:type="column"/>
      </w:r>
    </w:p>
    <w:p>
      <w:pPr>
        <w:spacing w:after="0" w:line="231" w:lineRule="auto"/>
        <w:ind w:right="480"/>
        <w:rPr>
          <w:color w:val="auto"/>
          <w:sz w:val="20"/>
          <w:szCs w:val="20"/>
        </w:rPr>
      </w:pPr>
      <w:r>
        <w:rPr>
          <w:rFonts w:ascii="Calibri" w:eastAsia="Calibri" w:hAnsi="Calibri" w:cs="Calibri"/>
          <w:color w:val="auto"/>
          <w:sz w:val="11"/>
          <w:szCs w:val="11"/>
        </w:rPr>
        <w:t>As discussed in Note 2 to the consolidated fnancial statements under the capton “Revenue Recogniton,” the Company established provisions for sales rebates in the same period the related product is sold. At December 31, 2024, the Company had $14,304 million in sales rebate accruals, a large porton of which were for rebates accrued for pharmacy beneft</w:t>
      </w:r>
    </w:p>
    <w:p>
      <w:pPr>
        <w:spacing w:after="0" w:line="1" w:lineRule="exact"/>
        <w:rPr>
          <w:color w:val="auto"/>
          <w:sz w:val="20"/>
          <w:szCs w:val="20"/>
        </w:rPr>
      </w:pPr>
    </w:p>
    <w:p>
      <w:pPr>
        <w:sectPr>
          <w:type w:val="continuous"/>
          <w:pgSz w:w="11900" w:h="16838" w:orient="portrait"/>
          <w:pgMar w:top="692" w:right="299" w:bottom="1440" w:left="300" w:header="0" w:footer="0" w:gutter="0"/>
          <w:cols w:num="2" w:space="720" w:equalWidth="0">
            <w:col w:w="1620" w:space="640"/>
            <w:col w:w="9040" w:space="0"/>
          </w:cols>
        </w:sectPr>
      </w:pPr>
    </w:p>
    <w:p>
      <w:pPr>
        <w:spacing w:after="0" w:line="196" w:lineRule="auto"/>
        <w:ind w:left="2260" w:right="520"/>
        <w:rPr>
          <w:color w:val="auto"/>
          <w:sz w:val="20"/>
          <w:szCs w:val="20"/>
        </w:rPr>
      </w:pPr>
      <w:r>
        <w:rPr>
          <w:rFonts w:ascii="Calibri" w:eastAsia="Calibri" w:hAnsi="Calibri" w:cs="Calibri"/>
          <w:color w:val="auto"/>
          <w:sz w:val="12"/>
          <w:szCs w:val="12"/>
        </w:rPr>
        <w:t>managers, state government Medicaid programs, insurance companies that administer Medicare drug plans and private enttes for Medicaid, Medicare and managed care programs. In order to establish the rebate accruals, the Company estmated its rebates based on estmates and assumptons, including the determinaton of the related payer of the rebate based on sales trends, changes in rebate contracts which impacts the applicable price and rebate terms, and the corresponding lag in payment tming.</w:t>
      </w:r>
    </w:p>
    <w:p>
      <w:pPr>
        <w:spacing w:after="0" w:line="93" w:lineRule="exact"/>
        <w:rPr>
          <w:color w:val="auto"/>
          <w:sz w:val="20"/>
          <w:szCs w:val="20"/>
        </w:rPr>
      </w:pPr>
    </w:p>
    <w:p>
      <w:pPr>
        <w:spacing w:after="0" w:line="224" w:lineRule="auto"/>
        <w:ind w:left="2260" w:right="480"/>
        <w:rPr>
          <w:color w:val="auto"/>
          <w:sz w:val="20"/>
          <w:szCs w:val="20"/>
        </w:rPr>
      </w:pPr>
      <w:r>
        <w:rPr>
          <w:rFonts w:ascii="Calibri" w:eastAsia="Calibri" w:hAnsi="Calibri" w:cs="Calibri"/>
          <w:color w:val="auto"/>
          <w:sz w:val="11"/>
          <w:szCs w:val="11"/>
        </w:rPr>
        <w:t>Auditng the Medicaid, Medicare and managed care sales rebate accruals was complex and required signifcant auditor judgment because the accruals consider multple subjectve and complex estmates and assumptons. In deriving these estmates and assumptons, the Company used both internal and external sources of informaton. Management supplemented its historical data analysis with qualitatve adjustments based upon changes in rebate trends, rebate programs, contract terms, legislatve changes, or other signifcant</w:t>
      </w:r>
    </w:p>
    <w:p>
      <w:pPr>
        <w:spacing w:after="0" w:line="206" w:lineRule="auto"/>
        <w:ind w:left="2260"/>
        <w:rPr>
          <w:color w:val="auto"/>
          <w:sz w:val="20"/>
          <w:szCs w:val="20"/>
        </w:rPr>
      </w:pPr>
      <w:r>
        <w:rPr>
          <w:rFonts w:ascii="Calibri" w:eastAsia="Calibri" w:hAnsi="Calibri" w:cs="Calibri"/>
          <w:color w:val="auto"/>
          <w:sz w:val="12"/>
          <w:szCs w:val="12"/>
        </w:rPr>
        <w:t>events which indicate a change in the reserve is appropriate.</w:t>
      </w:r>
    </w:p>
    <w:p>
      <w:pPr>
        <w:sectPr>
          <w:type w:val="continuous"/>
          <w:pgSz w:w="11900" w:h="16838" w:orient="portrait"/>
          <w:pgMar w:top="692" w:right="299" w:bottom="1440" w:left="300" w:header="0" w:footer="0" w:gutter="0"/>
          <w:cols w:num="1" w:space="720" w:equalWidth="0">
            <w:col w:w="11300" w:space="0"/>
          </w:cols>
        </w:sectPr>
      </w:pPr>
    </w:p>
    <w:p>
      <w:pPr>
        <w:spacing w:after="0" w:line="155" w:lineRule="exact"/>
        <w:rPr>
          <w:color w:val="auto"/>
          <w:sz w:val="20"/>
          <w:szCs w:val="20"/>
        </w:rPr>
      </w:pPr>
    </w:p>
    <w:p>
      <w:pPr>
        <w:spacing w:after="0" w:line="212" w:lineRule="auto"/>
        <w:ind w:left="420"/>
        <w:rPr>
          <w:color w:val="auto"/>
          <w:sz w:val="20"/>
          <w:szCs w:val="20"/>
        </w:rPr>
      </w:pPr>
      <w:r>
        <w:rPr>
          <w:rFonts w:ascii="Calibri" w:eastAsia="Calibri" w:hAnsi="Calibri" w:cs="Calibri"/>
          <w:i/>
          <w:iCs/>
          <w:color w:val="auto"/>
          <w:sz w:val="12"/>
          <w:szCs w:val="12"/>
        </w:rPr>
        <w:t>How We Addressed the Mater in Our Audit</w:t>
      </w:r>
    </w:p>
    <w:p>
      <w:pPr>
        <w:spacing w:after="0" w:line="20" w:lineRule="exact"/>
        <w:rPr>
          <w:color w:val="auto"/>
          <w:sz w:val="20"/>
          <w:szCs w:val="20"/>
        </w:rPr>
      </w:pPr>
      <w:r>
        <w:rPr>
          <w:color w:val="auto"/>
          <w:sz w:val="20"/>
          <w:szCs w:val="20"/>
        </w:rPr>
        <w:br w:type="column"/>
      </w:r>
    </w:p>
    <w:p>
      <w:pPr>
        <w:spacing w:after="0" w:line="135" w:lineRule="exact"/>
        <w:rPr>
          <w:color w:val="auto"/>
          <w:sz w:val="20"/>
          <w:szCs w:val="20"/>
        </w:rPr>
      </w:pPr>
    </w:p>
    <w:p>
      <w:pPr>
        <w:spacing w:after="0" w:line="231" w:lineRule="auto"/>
        <w:ind w:right="500"/>
        <w:rPr>
          <w:color w:val="auto"/>
          <w:sz w:val="20"/>
          <w:szCs w:val="20"/>
        </w:rPr>
      </w:pPr>
      <w:r>
        <w:rPr>
          <w:rFonts w:ascii="Calibri" w:eastAsia="Calibri" w:hAnsi="Calibri" w:cs="Calibri"/>
          <w:color w:val="auto"/>
          <w:sz w:val="11"/>
          <w:szCs w:val="11"/>
        </w:rPr>
        <w:t>We obtained an understanding, evaluated the design and tested the operatng efectveness of controls over the Company’s sales rebate accruals for Medicaid, Medicare and managed care programs. This included testng controls over management’s review of the signifcant assumptons and other inputs used in the estmaton of Medicaid, Medicare and</w:t>
      </w:r>
    </w:p>
    <w:p>
      <w:pPr>
        <w:spacing w:after="0" w:line="1" w:lineRule="exact"/>
        <w:rPr>
          <w:color w:val="auto"/>
          <w:sz w:val="20"/>
          <w:szCs w:val="20"/>
        </w:rPr>
      </w:pPr>
    </w:p>
    <w:p>
      <w:pPr>
        <w:sectPr>
          <w:type w:val="continuous"/>
          <w:pgSz w:w="11900" w:h="16838" w:orient="portrait"/>
          <w:pgMar w:top="692" w:right="299" w:bottom="1440" w:left="300" w:header="0" w:footer="0" w:gutter="0"/>
          <w:cols w:num="2" w:space="720" w:equalWidth="0">
            <w:col w:w="1880" w:space="380"/>
            <w:col w:w="9040" w:space="0"/>
          </w:cols>
        </w:sectPr>
      </w:pPr>
    </w:p>
    <w:p>
      <w:pPr>
        <w:spacing w:after="0" w:line="196" w:lineRule="auto"/>
        <w:ind w:left="2260" w:right="540"/>
        <w:rPr>
          <w:color w:val="auto"/>
          <w:sz w:val="20"/>
          <w:szCs w:val="20"/>
        </w:rPr>
      </w:pPr>
      <w:r>
        <w:rPr>
          <w:rFonts w:ascii="Calibri" w:eastAsia="Calibri" w:hAnsi="Calibri" w:cs="Calibri"/>
          <w:color w:val="auto"/>
          <w:sz w:val="12"/>
          <w:szCs w:val="12"/>
        </w:rPr>
        <w:t>managed care rebates, among others, including the signifcant assumptons discussed above. Specifcally, we tested management’s controls to evaluate the sufciency of its reserve estmates by comparing to actual rebates paid, controls over rebate validaton and processing, and controls to ensure that the data used to evaluate and support the signifcant assumptons was complete and accurate.</w:t>
      </w:r>
    </w:p>
    <w:p>
      <w:pPr>
        <w:spacing w:after="0" w:line="93" w:lineRule="exact"/>
        <w:rPr>
          <w:color w:val="auto"/>
          <w:sz w:val="20"/>
          <w:szCs w:val="20"/>
        </w:rPr>
      </w:pPr>
    </w:p>
    <w:p>
      <w:pPr>
        <w:spacing w:after="0" w:line="224" w:lineRule="auto"/>
        <w:ind w:left="2260" w:right="460"/>
        <w:rPr>
          <w:color w:val="auto"/>
          <w:sz w:val="20"/>
          <w:szCs w:val="20"/>
        </w:rPr>
      </w:pPr>
      <w:r>
        <w:rPr>
          <w:rFonts w:ascii="Calibri" w:eastAsia="Calibri" w:hAnsi="Calibri" w:cs="Calibri"/>
          <w:color w:val="auto"/>
          <w:sz w:val="11"/>
          <w:szCs w:val="11"/>
        </w:rPr>
        <w:t>To test the sales rebate accruals and assess the historical accuracy of management's estmate for Medicaid, Medicare and managed care programs, our audit procedures included independently calculatng the sales rebate accruals based on historical payments and performing a hindsight analysis on the reserves recorded. Our testng of signifcant assumptons included corroboratng management's estmate of the rebate claims processing lag tme for each type of rebate. We evaluated the reasonableness of assumptons considering</w:t>
      </w:r>
    </w:p>
    <w:p>
      <w:pPr>
        <w:spacing w:after="0" w:line="199" w:lineRule="auto"/>
        <w:ind w:left="2260" w:right="480"/>
        <w:rPr>
          <w:color w:val="auto"/>
          <w:sz w:val="20"/>
          <w:szCs w:val="20"/>
        </w:rPr>
      </w:pPr>
      <w:r>
        <w:rPr>
          <w:rFonts w:ascii="Calibri" w:eastAsia="Calibri" w:hAnsi="Calibri" w:cs="Calibri"/>
          <w:color w:val="auto"/>
          <w:sz w:val="12"/>
          <w:szCs w:val="12"/>
        </w:rPr>
        <w:t>industry and economic trends, product profles, and other regulatory factors. For Medicaid, we involved a specialist with an understanding of statutory reimbursement requirements to assess the consistency of the Company’s calculaton methodologies with applicable government regulatons and policy.</w:t>
      </w:r>
    </w:p>
    <w:p>
      <w:pPr>
        <w:spacing w:after="0" w:line="20" w:lineRule="exact"/>
        <w:rPr>
          <w:color w:val="auto"/>
          <w:sz w:val="20"/>
          <w:szCs w:val="20"/>
        </w:rPr>
      </w:pPr>
      <w:r>
        <w:rPr>
          <w:color w:val="auto"/>
          <w:sz w:val="20"/>
          <w:szCs w:val="20"/>
        </w:rPr>
        <w:drawing>
          <wp:anchor simplePos="0" relativeHeight="251917312" behindDoc="1" locked="0" layoutInCell="0" allowOverlap="1">
            <wp:simplePos x="0" y="0"/>
            <wp:positionH relativeFrom="column">
              <wp:posOffset>6475730</wp:posOffset>
            </wp:positionH>
            <wp:positionV relativeFrom="paragraph">
              <wp:posOffset>953770</wp:posOffset>
            </wp:positionV>
            <wp:extent cx="400050" cy="74295"/>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type w:val="continuous"/>
          <w:pgSz w:w="11900" w:h="16838" w:orient="portrait"/>
          <w:pgMar w:top="692" w:right="299" w:bottom="1440" w:left="300" w:header="0" w:footer="0" w:gutter="0"/>
          <w:cols w:num="1" w:space="720" w:equalWidth="0">
            <w:col w:w="11300" w:space="0"/>
          </w:cols>
        </w:sect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337" w:lineRule="exact"/>
        <w:rPr>
          <w:color w:val="auto"/>
          <w:sz w:val="20"/>
          <w:szCs w:val="20"/>
        </w:rPr>
      </w:pPr>
    </w:p>
    <w:tbl>
      <w:tblPr>
        <w:tblInd w:w="0" w:type="dxa"/>
        <w:tblLayout w:type="fixed"/>
        <w:tblCellMar>
          <w:top w:w="0" w:type="dxa"/>
          <w:left w:w="0" w:type="dxa"/>
          <w:bottom w:w="0" w:type="dxa"/>
          <w:right w:w="0" w:type="dxa"/>
        </w:tblCellMar>
      </w:tblPr>
      <w:tblGrid>
        <w:gridCol w:w="10640"/>
        <w:gridCol w:w="660"/>
      </w:tblGrid>
      <w:tr>
        <w:tblPrEx>
          <w:tblInd w:w="0" w:type="dxa"/>
          <w:tblLayout w:type="fixed"/>
        </w:tblPrEx>
        <w:trPr>
          <w:trHeight w:val="146"/>
        </w:trPr>
        <w:tc>
          <w:tcPr>
            <w:tcW w:w="1064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60" w:type="dxa"/>
            <w:vAlign w:val="bottom"/>
          </w:tcPr>
          <w:p>
            <w:pPr>
              <w:spacing w:after="0"/>
              <w:jc w:val="right"/>
              <w:rPr>
                <w:color w:val="auto"/>
                <w:sz w:val="20"/>
                <w:szCs w:val="20"/>
              </w:rPr>
            </w:pPr>
            <w:r>
              <w:rPr>
                <w:rFonts w:ascii="Calibri" w:eastAsia="Calibri" w:hAnsi="Calibri" w:cs="Calibri"/>
                <w:b/>
                <w:bCs/>
                <w:i/>
                <w:iCs/>
                <w:color w:val="auto"/>
                <w:sz w:val="12"/>
                <w:szCs w:val="12"/>
              </w:rPr>
              <w:t>102</w:t>
            </w:r>
          </w:p>
        </w:tc>
      </w:tr>
      <w:tr>
        <w:tblPrEx>
          <w:tblInd w:w="0" w:type="dxa"/>
          <w:tblLayout w:type="fixed"/>
        </w:tblPrEx>
        <w:trPr>
          <w:trHeight w:val="152"/>
        </w:trPr>
        <w:tc>
          <w:tcPr>
            <w:tcW w:w="10640" w:type="dxa"/>
            <w:tcBorders>
              <w:bottom w:val="single" w:sz="8" w:space="0" w:color="9A9A9A"/>
            </w:tcBorders>
            <w:vAlign w:val="bottom"/>
          </w:tcPr>
          <w:p>
            <w:pPr>
              <w:spacing w:after="0"/>
              <w:rPr>
                <w:color w:val="auto"/>
                <w:sz w:val="13"/>
                <w:szCs w:val="13"/>
              </w:rPr>
            </w:pPr>
          </w:p>
        </w:tc>
        <w:tc>
          <w:tcPr>
            <w:tcW w:w="66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918336" behindDoc="1" locked="0" layoutInCell="0" allowOverlap="1">
            <wp:simplePos x="0" y="0"/>
            <wp:positionH relativeFrom="column">
              <wp:posOffset>7154545</wp:posOffset>
            </wp:positionH>
            <wp:positionV relativeFrom="paragraph">
              <wp:posOffset>-23495</wp:posOffset>
            </wp:positionV>
            <wp:extent cx="31115" cy="3683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19360" behindDoc="1" locked="0" layoutInCell="0" allowOverlap="1">
            <wp:simplePos x="0" y="0"/>
            <wp:positionH relativeFrom="column">
              <wp:posOffset>-17145</wp:posOffset>
            </wp:positionH>
            <wp:positionV relativeFrom="paragraph">
              <wp:posOffset>-23495</wp:posOffset>
            </wp:positionV>
            <wp:extent cx="31115" cy="3683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type w:val="continuous"/>
          <w:pgSz w:w="11900" w:h="16838" w:orient="portrait"/>
          <w:pgMar w:top="692" w:right="299" w:bottom="1440" w:left="300" w:header="0" w:footer="0" w:gutter="0"/>
          <w:cols w:num="1" w:space="720" w:equalWidth="0">
            <w:col w:w="11300" w:space="0"/>
          </w:cols>
        </w:sectPr>
      </w:pPr>
    </w:p>
    <w:bookmarkStart w:id="104" w:name="page105"/>
    <w:bookmarkEnd w:id="104"/>
    <w:p>
      <w:pPr>
        <w:spacing w:after="0"/>
        <w:ind w:left="2260"/>
        <w:rPr>
          <w:color w:val="auto"/>
          <w:sz w:val="20"/>
          <w:szCs w:val="20"/>
        </w:rPr>
      </w:pPr>
      <w:r>
        <w:rPr>
          <w:rFonts w:ascii="Calibri" w:eastAsia="Calibri" w:hAnsi="Calibri" w:cs="Calibri"/>
          <w:b/>
          <w:bCs/>
          <w:i/>
          <w:iCs/>
          <w:color w:val="auto"/>
          <w:sz w:val="12"/>
          <w:szCs w:val="12"/>
        </w:rPr>
        <w:t>Valuaton of contngent consideraton</w:t>
      </w:r>
    </w:p>
    <w:p>
      <w:pPr>
        <w:sectPr>
          <w:pgSz w:w="11900" w:h="16838" w:orient="portrait"/>
          <w:pgMar w:top="687" w:right="779" w:bottom="1440" w:left="300" w:header="0" w:footer="0" w:gutter="0"/>
          <w:cols w:num="1" w:space="720" w:equalWidth="0">
            <w:col w:w="10820" w:space="0"/>
          </w:cols>
        </w:sectPr>
      </w:pPr>
    </w:p>
    <w:p>
      <w:pPr>
        <w:spacing w:after="0" w:line="7" w:lineRule="exact"/>
        <w:rPr>
          <w:color w:val="auto"/>
          <w:sz w:val="20"/>
          <w:szCs w:val="20"/>
        </w:rPr>
      </w:pPr>
    </w:p>
    <w:p>
      <w:pPr>
        <w:spacing w:after="0"/>
        <w:ind w:left="420"/>
        <w:rPr>
          <w:color w:val="auto"/>
          <w:sz w:val="20"/>
          <w:szCs w:val="20"/>
        </w:rPr>
      </w:pPr>
      <w:r>
        <w:rPr>
          <w:rFonts w:ascii="Calibri" w:eastAsia="Calibri" w:hAnsi="Calibri" w:cs="Calibri"/>
          <w:i/>
          <w:iCs/>
          <w:color w:val="auto"/>
          <w:sz w:val="12"/>
          <w:szCs w:val="12"/>
        </w:rPr>
        <w:t>Descripton of the Mater</w:t>
      </w:r>
    </w:p>
    <w:p>
      <w:pPr>
        <w:spacing w:after="0" w:line="20" w:lineRule="exact"/>
        <w:rPr>
          <w:color w:val="auto"/>
          <w:sz w:val="20"/>
          <w:szCs w:val="20"/>
        </w:rPr>
      </w:pPr>
      <w:r>
        <w:rPr>
          <w:color w:val="auto"/>
          <w:sz w:val="20"/>
          <w:szCs w:val="20"/>
        </w:rPr>
        <w:br w:type="column"/>
      </w:r>
    </w:p>
    <w:p>
      <w:pPr>
        <w:spacing w:after="0" w:line="231" w:lineRule="auto"/>
        <w:ind w:right="120"/>
        <w:rPr>
          <w:color w:val="auto"/>
          <w:sz w:val="20"/>
          <w:szCs w:val="20"/>
        </w:rPr>
      </w:pPr>
      <w:r>
        <w:rPr>
          <w:rFonts w:ascii="Calibri" w:eastAsia="Calibri" w:hAnsi="Calibri" w:cs="Calibri"/>
          <w:color w:val="auto"/>
          <w:sz w:val="11"/>
          <w:szCs w:val="11"/>
        </w:rPr>
        <w:t>As discussed in Note 2 to the consolidated fnancial statements under the capton “Business Combinatons” and in Note 11 under the capton “Fair Value Measures,” the Company recognized contngent consideraton liabilites at the estmated fair value on the acquisiton date in connecton with applying the acquisiton method of accountng for business</w:t>
      </w:r>
    </w:p>
    <w:p>
      <w:pPr>
        <w:spacing w:after="0" w:line="1" w:lineRule="exact"/>
        <w:rPr>
          <w:color w:val="auto"/>
          <w:sz w:val="20"/>
          <w:szCs w:val="20"/>
        </w:rPr>
      </w:pPr>
    </w:p>
    <w:p>
      <w:pPr>
        <w:sectPr>
          <w:type w:val="continuous"/>
          <w:pgSz w:w="11900" w:h="16838" w:orient="portrait"/>
          <w:pgMar w:top="687" w:right="779" w:bottom="1440" w:left="300" w:header="0" w:footer="0" w:gutter="0"/>
          <w:cols w:num="2" w:space="720" w:equalWidth="0">
            <w:col w:w="1620" w:space="640"/>
            <w:col w:w="8560" w:space="0"/>
          </w:cols>
        </w:sectPr>
      </w:pPr>
    </w:p>
    <w:p>
      <w:pPr>
        <w:spacing w:after="0" w:line="214" w:lineRule="auto"/>
        <w:ind w:left="2260" w:right="40"/>
        <w:jc w:val="both"/>
        <w:rPr>
          <w:color w:val="auto"/>
          <w:sz w:val="20"/>
          <w:szCs w:val="20"/>
        </w:rPr>
      </w:pPr>
      <w:r>
        <w:rPr>
          <w:rFonts w:ascii="Calibri" w:eastAsia="Calibri" w:hAnsi="Calibri" w:cs="Calibri"/>
          <w:color w:val="auto"/>
          <w:sz w:val="11"/>
          <w:szCs w:val="11"/>
        </w:rPr>
        <w:t>combinatons. Subsequent changes to the fair value of the contngent consideraton liabilites were recorded within the consolidated statement of earnings in the period of change. At December 31, 2024, the Company had $21,666 million in contngent consideraton liabilites, which represented a ‘Level 3’ fair value measurement in the fair value hierarchy due to the signifcant unobservable inputs used in determining the fair value and the use of management judgment about the assumptons market partcipants would use in pricing the</w:t>
      </w:r>
    </w:p>
    <w:p>
      <w:pPr>
        <w:spacing w:after="0" w:line="207" w:lineRule="auto"/>
        <w:ind w:left="2260"/>
        <w:rPr>
          <w:color w:val="auto"/>
          <w:sz w:val="20"/>
          <w:szCs w:val="20"/>
        </w:rPr>
      </w:pPr>
      <w:r>
        <w:rPr>
          <w:rFonts w:ascii="Calibri" w:eastAsia="Calibri" w:hAnsi="Calibri" w:cs="Calibri"/>
          <w:color w:val="auto"/>
          <w:sz w:val="12"/>
          <w:szCs w:val="12"/>
        </w:rPr>
        <w:t>liabilites.</w:t>
      </w:r>
    </w:p>
    <w:p>
      <w:pPr>
        <w:spacing w:after="0" w:line="83" w:lineRule="exact"/>
        <w:rPr>
          <w:color w:val="auto"/>
          <w:sz w:val="20"/>
          <w:szCs w:val="20"/>
        </w:rPr>
      </w:pPr>
    </w:p>
    <w:p>
      <w:pPr>
        <w:spacing w:after="0" w:line="231" w:lineRule="auto"/>
        <w:ind w:left="2260" w:right="20"/>
        <w:rPr>
          <w:color w:val="auto"/>
          <w:sz w:val="20"/>
          <w:szCs w:val="20"/>
        </w:rPr>
      </w:pPr>
      <w:r>
        <w:rPr>
          <w:rFonts w:ascii="Calibri" w:eastAsia="Calibri" w:hAnsi="Calibri" w:cs="Calibri"/>
          <w:color w:val="auto"/>
          <w:sz w:val="11"/>
          <w:szCs w:val="11"/>
        </w:rPr>
        <w:t>Auditng the valuaton of contngent consideraton liabilites was complex and required signifcant auditor judgment due to the use of a Monte Carlo simulaton model and the high degree of subjectvity in evaluatng certain assumptons required to estmate the fair value of contngent royalty payments. In partcular, the fair value measurement was sensitve to</w:t>
      </w:r>
    </w:p>
    <w:p>
      <w:pPr>
        <w:spacing w:after="0" w:line="1" w:lineRule="exact"/>
        <w:rPr>
          <w:color w:val="auto"/>
          <w:sz w:val="20"/>
          <w:szCs w:val="20"/>
        </w:rPr>
      </w:pPr>
    </w:p>
    <w:p>
      <w:pPr>
        <w:spacing w:after="0" w:line="199" w:lineRule="auto"/>
        <w:ind w:left="2260" w:right="100"/>
        <w:rPr>
          <w:color w:val="auto"/>
          <w:sz w:val="20"/>
          <w:szCs w:val="20"/>
        </w:rPr>
      </w:pPr>
      <w:r>
        <w:rPr>
          <w:rFonts w:ascii="Calibri" w:eastAsia="Calibri" w:hAnsi="Calibri" w:cs="Calibri"/>
          <w:color w:val="auto"/>
          <w:sz w:val="12"/>
          <w:szCs w:val="12"/>
        </w:rPr>
        <w:t>the signifcant assumptons underlying the estmated amount of future sales of the acquired products. Management utlized its expertse within the industry, including commercial dynamics, trends and utlizaton, to determine certain of these assumptons.</w:t>
      </w:r>
    </w:p>
    <w:p>
      <w:pPr>
        <w:sectPr>
          <w:type w:val="continuous"/>
          <w:pgSz w:w="11900" w:h="16838" w:orient="portrait"/>
          <w:pgMar w:top="687" w:right="779" w:bottom="1440" w:left="300" w:header="0" w:footer="0" w:gutter="0"/>
          <w:cols w:num="1" w:space="720" w:equalWidth="0">
            <w:col w:w="10820" w:space="0"/>
          </w:cols>
        </w:sectPr>
      </w:pPr>
    </w:p>
    <w:p>
      <w:pPr>
        <w:spacing w:after="0" w:line="119" w:lineRule="exact"/>
        <w:rPr>
          <w:color w:val="auto"/>
          <w:sz w:val="20"/>
          <w:szCs w:val="20"/>
        </w:rPr>
      </w:pPr>
    </w:p>
    <w:p>
      <w:pPr>
        <w:spacing w:after="0" w:line="212" w:lineRule="auto"/>
        <w:ind w:left="420"/>
        <w:rPr>
          <w:color w:val="auto"/>
          <w:sz w:val="20"/>
          <w:szCs w:val="20"/>
        </w:rPr>
      </w:pPr>
      <w:r>
        <w:rPr>
          <w:rFonts w:ascii="Calibri" w:eastAsia="Calibri" w:hAnsi="Calibri" w:cs="Calibri"/>
          <w:i/>
          <w:iCs/>
          <w:color w:val="auto"/>
          <w:sz w:val="12"/>
          <w:szCs w:val="12"/>
        </w:rPr>
        <w:t>How We Addressed the Mater in Our Audit</w:t>
      </w:r>
    </w:p>
    <w:p>
      <w:pPr>
        <w:spacing w:after="0" w:line="20" w:lineRule="exact"/>
        <w:rPr>
          <w:color w:val="auto"/>
          <w:sz w:val="20"/>
          <w:szCs w:val="20"/>
        </w:rPr>
      </w:pPr>
      <w:r>
        <w:rPr>
          <w:color w:val="auto"/>
          <w:sz w:val="20"/>
          <w:szCs w:val="20"/>
        </w:rPr>
        <w:br w:type="column"/>
      </w:r>
    </w:p>
    <w:p>
      <w:pPr>
        <w:spacing w:after="0" w:line="99" w:lineRule="exact"/>
        <w:rPr>
          <w:color w:val="auto"/>
          <w:sz w:val="20"/>
          <w:szCs w:val="20"/>
        </w:rPr>
      </w:pPr>
    </w:p>
    <w:p>
      <w:pPr>
        <w:spacing w:after="0" w:line="231" w:lineRule="auto"/>
        <w:ind w:right="120"/>
        <w:rPr>
          <w:color w:val="auto"/>
          <w:sz w:val="20"/>
          <w:szCs w:val="20"/>
        </w:rPr>
      </w:pPr>
      <w:r>
        <w:rPr>
          <w:rFonts w:ascii="Calibri" w:eastAsia="Calibri" w:hAnsi="Calibri" w:cs="Calibri"/>
          <w:color w:val="auto"/>
          <w:sz w:val="11"/>
          <w:szCs w:val="11"/>
        </w:rPr>
        <w:t>We obtained an understanding, evaluated the design and tested the operatng efectveness of controls over the Company’s contngent consideraton liabilites process including, among others, management’s process to establish the signifcant assumptons and measure the liability. This included testng controls over management’s review of the signifcant</w:t>
      </w:r>
    </w:p>
    <w:p>
      <w:pPr>
        <w:spacing w:after="0" w:line="1" w:lineRule="exact"/>
        <w:rPr>
          <w:color w:val="auto"/>
          <w:sz w:val="20"/>
          <w:szCs w:val="20"/>
        </w:rPr>
      </w:pPr>
    </w:p>
    <w:p>
      <w:pPr>
        <w:sectPr>
          <w:type w:val="continuous"/>
          <w:pgSz w:w="11900" w:h="16838" w:orient="portrait"/>
          <w:pgMar w:top="687" w:right="779" w:bottom="1440" w:left="300" w:header="0" w:footer="0" w:gutter="0"/>
          <w:cols w:num="2" w:space="720" w:equalWidth="0">
            <w:col w:w="1880" w:space="380"/>
            <w:col w:w="8560" w:space="0"/>
          </w:cols>
        </w:sectPr>
      </w:pPr>
    </w:p>
    <w:p>
      <w:pPr>
        <w:spacing w:after="0" w:line="199" w:lineRule="auto"/>
        <w:ind w:left="2260" w:right="20"/>
        <w:rPr>
          <w:color w:val="auto"/>
          <w:sz w:val="20"/>
          <w:szCs w:val="20"/>
        </w:rPr>
      </w:pPr>
      <w:r>
        <w:rPr>
          <w:rFonts w:ascii="Calibri" w:eastAsia="Calibri" w:hAnsi="Calibri" w:cs="Calibri"/>
          <w:color w:val="auto"/>
          <w:sz w:val="12"/>
          <w:szCs w:val="12"/>
        </w:rPr>
        <w:t>assumptons and other inputs used in the determinaton of fair value. The testng was inclusive of key management review controls to monitor estmated future sales, and to ensure that the data used to evaluate and support the signifcant assumptons was complete, accurate and, where applicable, verifed to external data sources.</w:t>
      </w:r>
    </w:p>
    <w:p>
      <w:pPr>
        <w:spacing w:after="0" w:line="83" w:lineRule="exact"/>
        <w:rPr>
          <w:color w:val="auto"/>
          <w:sz w:val="20"/>
          <w:szCs w:val="20"/>
        </w:rPr>
      </w:pPr>
    </w:p>
    <w:p>
      <w:pPr>
        <w:spacing w:after="0"/>
        <w:ind w:left="2260"/>
        <w:rPr>
          <w:color w:val="auto"/>
          <w:sz w:val="20"/>
          <w:szCs w:val="20"/>
        </w:rPr>
      </w:pPr>
      <w:r>
        <w:rPr>
          <w:rFonts w:ascii="Calibri" w:eastAsia="Calibri" w:hAnsi="Calibri" w:cs="Calibri"/>
          <w:color w:val="auto"/>
          <w:sz w:val="11"/>
          <w:szCs w:val="11"/>
        </w:rPr>
        <w:t>To test the estmated fair value of contngent consideraton liabilites, our audit procedures included, among others, inspectng the terms of the executed agreement, assessing the</w:t>
      </w:r>
    </w:p>
    <w:p>
      <w:pPr>
        <w:spacing w:after="0" w:line="8" w:lineRule="exact"/>
        <w:rPr>
          <w:color w:val="auto"/>
          <w:sz w:val="20"/>
          <w:szCs w:val="20"/>
        </w:rPr>
      </w:pPr>
    </w:p>
    <w:p>
      <w:pPr>
        <w:spacing w:after="0" w:line="214" w:lineRule="auto"/>
        <w:ind w:left="2260"/>
        <w:rPr>
          <w:color w:val="auto"/>
          <w:sz w:val="20"/>
          <w:szCs w:val="20"/>
        </w:rPr>
      </w:pPr>
      <w:r>
        <w:rPr>
          <w:rFonts w:ascii="Calibri" w:eastAsia="Calibri" w:hAnsi="Calibri" w:cs="Calibri"/>
          <w:color w:val="auto"/>
          <w:sz w:val="11"/>
          <w:szCs w:val="11"/>
        </w:rPr>
        <w:t>Monte Carlo simulaton model used and testng the key contractual inputs and signifcant assumptons discussed above. We evaluated the assumptons and judgments considering observable industry and economic trends, and external data sources. Estmated amounts of future sales were also evaluated for reasonableness. Our procedures included evaluatng the data sources used by management in determining its assumptons and, where necessary, included an evaluaton of available informaton that either corroborated or</w:t>
      </w:r>
    </w:p>
    <w:p>
      <w:pPr>
        <w:spacing w:after="0" w:line="1" w:lineRule="exact"/>
        <w:rPr>
          <w:color w:val="auto"/>
          <w:sz w:val="20"/>
          <w:szCs w:val="20"/>
        </w:rPr>
      </w:pPr>
    </w:p>
    <w:p>
      <w:pPr>
        <w:spacing w:after="0" w:line="199" w:lineRule="auto"/>
        <w:ind w:left="2260" w:right="480"/>
        <w:rPr>
          <w:color w:val="auto"/>
          <w:sz w:val="20"/>
          <w:szCs w:val="20"/>
        </w:rPr>
      </w:pPr>
      <w:r>
        <w:rPr>
          <w:rFonts w:ascii="Calibri" w:eastAsia="Calibri" w:hAnsi="Calibri" w:cs="Calibri"/>
          <w:color w:val="auto"/>
          <w:sz w:val="12"/>
          <w:szCs w:val="12"/>
        </w:rPr>
        <w:t>contradicted management’s conclusions. We involved a valuaton specialist to assess the Company’s Monte Carlo simulaton model and to perform corroboratve fair value calculatons.</w:t>
      </w:r>
    </w:p>
    <w:p>
      <w:pPr>
        <w:sectPr>
          <w:type w:val="continuous"/>
          <w:pgSz w:w="11900" w:h="16838" w:orient="portrait"/>
          <w:pgMar w:top="687" w:right="779" w:bottom="1440" w:left="300" w:header="0" w:footer="0" w:gutter="0"/>
          <w:cols w:num="1" w:space="720" w:equalWidth="0">
            <w:col w:w="10820" w:space="0"/>
          </w:cols>
        </w:sectPr>
      </w:pPr>
    </w:p>
    <w:p>
      <w:pPr>
        <w:spacing w:after="0" w:line="259" w:lineRule="exact"/>
        <w:rPr>
          <w:color w:val="auto"/>
          <w:sz w:val="20"/>
          <w:szCs w:val="20"/>
        </w:rPr>
      </w:pPr>
    </w:p>
    <w:p>
      <w:pPr>
        <w:spacing w:after="0"/>
        <w:rPr>
          <w:color w:val="auto"/>
          <w:sz w:val="20"/>
          <w:szCs w:val="20"/>
        </w:rPr>
      </w:pPr>
      <w:r>
        <w:rPr>
          <w:rFonts w:ascii="Calibri" w:eastAsia="Calibri" w:hAnsi="Calibri" w:cs="Calibri"/>
          <w:color w:val="auto"/>
          <w:sz w:val="12"/>
          <w:szCs w:val="12"/>
        </w:rPr>
        <w:t>/s/ Ernst &amp; Young LLP</w:t>
      </w:r>
    </w:p>
    <w:p>
      <w:pPr>
        <w:spacing w:after="0" w:line="101" w:lineRule="exact"/>
        <w:rPr>
          <w:color w:val="auto"/>
          <w:sz w:val="20"/>
          <w:szCs w:val="20"/>
        </w:rPr>
      </w:pPr>
    </w:p>
    <w:p>
      <w:pPr>
        <w:spacing w:after="0"/>
        <w:rPr>
          <w:color w:val="auto"/>
          <w:sz w:val="20"/>
          <w:szCs w:val="20"/>
        </w:rPr>
      </w:pPr>
      <w:r>
        <w:rPr>
          <w:rFonts w:ascii="Calibri" w:eastAsia="Calibri" w:hAnsi="Calibri" w:cs="Calibri"/>
          <w:color w:val="auto"/>
          <w:sz w:val="11"/>
          <w:szCs w:val="11"/>
        </w:rPr>
        <w:t>We have served as the Company’s auditor since 2013.</w:t>
      </w:r>
    </w:p>
    <w:p>
      <w:pPr>
        <w:spacing w:after="0" w:line="104" w:lineRule="exact"/>
        <w:rPr>
          <w:color w:val="auto"/>
          <w:sz w:val="20"/>
          <w:szCs w:val="20"/>
        </w:rPr>
      </w:pPr>
    </w:p>
    <w:p>
      <w:pPr>
        <w:spacing w:after="0"/>
        <w:rPr>
          <w:color w:val="auto"/>
          <w:sz w:val="20"/>
          <w:szCs w:val="20"/>
        </w:rPr>
      </w:pPr>
      <w:r>
        <w:rPr>
          <w:rFonts w:ascii="Calibri" w:eastAsia="Calibri" w:hAnsi="Calibri" w:cs="Calibri"/>
          <w:color w:val="auto"/>
          <w:sz w:val="12"/>
          <w:szCs w:val="12"/>
        </w:rPr>
        <w:t>Chicago, Illinois</w:t>
      </w:r>
    </w:p>
    <w:p>
      <w:pPr>
        <w:spacing w:after="0" w:line="88" w:lineRule="exact"/>
        <w:rPr>
          <w:color w:val="auto"/>
          <w:sz w:val="20"/>
          <w:szCs w:val="20"/>
        </w:rPr>
      </w:pPr>
    </w:p>
    <w:p>
      <w:pPr>
        <w:spacing w:after="0"/>
        <w:rPr>
          <w:color w:val="auto"/>
          <w:sz w:val="20"/>
          <w:szCs w:val="20"/>
        </w:rPr>
      </w:pPr>
      <w:r>
        <w:rPr>
          <w:rFonts w:ascii="Calibri" w:eastAsia="Calibri" w:hAnsi="Calibri" w:cs="Calibri"/>
          <w:color w:val="auto"/>
          <w:sz w:val="12"/>
          <w:szCs w:val="12"/>
        </w:rPr>
        <w:t>February 14, 2025</w:t>
      </w:r>
    </w:p>
    <w:p>
      <w:pPr>
        <w:spacing w:after="0" w:line="366"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103</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920384" behindDoc="1" locked="0" layoutInCell="0" allowOverlap="1">
            <wp:simplePos x="0" y="0"/>
            <wp:positionH relativeFrom="column">
              <wp:posOffset>-17145</wp:posOffset>
            </wp:positionH>
            <wp:positionV relativeFrom="paragraph">
              <wp:posOffset>133985</wp:posOffset>
            </wp:positionV>
            <wp:extent cx="7203440" cy="3683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921408" behindDoc="1" locked="0" layoutInCell="0" allowOverlap="1">
            <wp:simplePos x="0" y="0"/>
            <wp:positionH relativeFrom="column">
              <wp:posOffset>292100</wp:posOffset>
            </wp:positionH>
            <wp:positionV relativeFrom="paragraph">
              <wp:posOffset>-75565</wp:posOffset>
            </wp:positionV>
            <wp:extent cx="400050" cy="74295"/>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type w:val="continuous"/>
          <w:pgSz w:w="11900" w:h="16838" w:orient="portrait"/>
          <w:pgMar w:top="687" w:right="779" w:bottom="1440" w:left="300" w:header="0" w:footer="0" w:gutter="0"/>
          <w:cols w:num="1" w:space="720" w:equalWidth="0">
            <w:col w:w="10820" w:space="0"/>
          </w:cols>
        </w:sectPr>
      </w:pPr>
    </w:p>
    <w:bookmarkStart w:id="105" w:name="page106"/>
    <w:bookmarkEnd w:id="105"/>
    <w:p>
      <w:pPr>
        <w:spacing w:after="0"/>
        <w:rPr>
          <w:color w:val="auto"/>
          <w:sz w:val="20"/>
          <w:szCs w:val="20"/>
        </w:rPr>
      </w:pPr>
      <w:r>
        <w:rPr>
          <w:rFonts w:ascii="Calibri" w:eastAsia="Calibri" w:hAnsi="Calibri" w:cs="Calibri"/>
          <w:b/>
          <w:bCs/>
          <w:color w:val="444867"/>
          <w:sz w:val="14"/>
          <w:szCs w:val="14"/>
        </w:rPr>
        <w:t>ITEM 9. CHANGES IN AND DISAGREEMENTS WITH ACCOUNTANTS ON ACCOUNTING AND FINANCIAL DISCLOSURE</w:t>
      </w:r>
    </w:p>
    <w:p>
      <w:pPr>
        <w:spacing w:after="0" w:line="20" w:lineRule="exact"/>
        <w:rPr>
          <w:color w:val="auto"/>
          <w:sz w:val="20"/>
          <w:szCs w:val="20"/>
        </w:rPr>
      </w:pPr>
      <w:r>
        <w:rPr>
          <w:color w:val="auto"/>
          <w:sz w:val="20"/>
          <w:szCs w:val="20"/>
        </w:rPr>
        <w:drawing>
          <wp:anchor simplePos="0" relativeHeight="251922432" behindDoc="1" locked="0" layoutInCell="0" allowOverlap="1">
            <wp:simplePos x="0" y="0"/>
            <wp:positionH relativeFrom="column">
              <wp:posOffset>-4445</wp:posOffset>
            </wp:positionH>
            <wp:positionV relativeFrom="paragraph">
              <wp:posOffset>23495</wp:posOffset>
            </wp:positionV>
            <wp:extent cx="7166610" cy="5715"/>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6"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None.</w:t>
      </w:r>
    </w:p>
    <w:p>
      <w:pPr>
        <w:spacing w:after="0" w:line="87"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9A. CONTROLS AND PROCEDURES</w:t>
      </w:r>
    </w:p>
    <w:p>
      <w:pPr>
        <w:spacing w:after="0" w:line="20" w:lineRule="exact"/>
        <w:rPr>
          <w:color w:val="auto"/>
          <w:sz w:val="20"/>
          <w:szCs w:val="20"/>
        </w:rPr>
      </w:pPr>
      <w:r>
        <w:rPr>
          <w:color w:val="auto"/>
          <w:sz w:val="20"/>
          <w:szCs w:val="20"/>
        </w:rPr>
        <w:drawing>
          <wp:anchor simplePos="0" relativeHeight="251923456" behindDoc="1" locked="0" layoutInCell="0" allowOverlap="1">
            <wp:simplePos x="0" y="0"/>
            <wp:positionH relativeFrom="column">
              <wp:posOffset>-4445</wp:posOffset>
            </wp:positionH>
            <wp:positionV relativeFrom="paragraph">
              <wp:posOffset>24130</wp:posOffset>
            </wp:positionV>
            <wp:extent cx="7166610" cy="5715"/>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7" w:lineRule="exact"/>
        <w:rPr>
          <w:color w:val="auto"/>
          <w:sz w:val="20"/>
          <w:szCs w:val="20"/>
        </w:rPr>
      </w:pPr>
    </w:p>
    <w:p>
      <w:pPr>
        <w:spacing w:after="0"/>
        <w:rPr>
          <w:color w:val="auto"/>
          <w:sz w:val="20"/>
          <w:szCs w:val="20"/>
        </w:rPr>
      </w:pPr>
      <w:r>
        <w:rPr>
          <w:rFonts w:ascii="Calibri" w:eastAsia="Calibri" w:hAnsi="Calibri" w:cs="Calibri"/>
          <w:b/>
          <w:bCs/>
          <w:i/>
          <w:iCs/>
          <w:color w:val="444867"/>
          <w:sz w:val="12"/>
          <w:szCs w:val="12"/>
        </w:rPr>
        <w:t>Disclosure Controls and Procedures; Internal Control Over Financial Reportng</w:t>
      </w:r>
    </w:p>
    <w:p>
      <w:pPr>
        <w:spacing w:after="0" w:line="92" w:lineRule="exact"/>
        <w:rPr>
          <w:color w:val="auto"/>
          <w:sz w:val="20"/>
          <w:szCs w:val="20"/>
        </w:rPr>
      </w:pPr>
    </w:p>
    <w:p>
      <w:pPr>
        <w:spacing w:after="0" w:line="235" w:lineRule="auto"/>
        <w:ind w:right="60" w:firstLine="212"/>
        <w:rPr>
          <w:color w:val="auto"/>
          <w:sz w:val="20"/>
          <w:szCs w:val="20"/>
        </w:rPr>
      </w:pPr>
      <w:r>
        <w:rPr>
          <w:rFonts w:ascii="Calibri" w:eastAsia="Calibri" w:hAnsi="Calibri" w:cs="Calibri"/>
          <w:b/>
          <w:bCs/>
          <w:i/>
          <w:iCs/>
          <w:color w:val="444867"/>
          <w:sz w:val="12"/>
          <w:szCs w:val="12"/>
        </w:rPr>
        <w:t xml:space="preserve">Evaluaton of disclosure controls and procedures. </w:t>
      </w:r>
      <w:r>
        <w:rPr>
          <w:rFonts w:ascii="Calibri" w:eastAsia="Calibri" w:hAnsi="Calibri" w:cs="Calibri"/>
          <w:color w:val="000000"/>
          <w:sz w:val="12"/>
          <w:szCs w:val="12"/>
        </w:rPr>
        <w:t>The Chief Executve Ofcer, Robert A. Michael, and the Chief Financial Ofcer, Scot T. Reents, evaluated the efectveness of AbbVie's disclosure controls and procedures as of the</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end of the period covered by this report, and concluded that AbbVie's disclosure controls and procedures were efectve to ensure that informaton AbbVie is required to disclose in the reports that it fles or submits with the Securites and Exchange Commission under the Securites Exchange Act of 1934 is recorded, processed, summarized and reported, within the tme periods specifed in the Commission's rules and forms, and to ensure that informaton required to be disclosed by AbbVie in the reports that it fles or submits under the Securites Exchange Act of 1934 is accumulated and communicated to AbbVie's management, including its principal executve ofcer and principal fnancial ofcer, as appropriate to allow tmely decisions regarding required disclosure.</w:t>
      </w:r>
    </w:p>
    <w:p>
      <w:pPr>
        <w:spacing w:after="0" w:line="102" w:lineRule="exact"/>
        <w:rPr>
          <w:color w:val="auto"/>
          <w:sz w:val="20"/>
          <w:szCs w:val="20"/>
        </w:rPr>
      </w:pPr>
    </w:p>
    <w:p>
      <w:pPr>
        <w:spacing w:after="0" w:line="234" w:lineRule="auto"/>
        <w:ind w:right="100" w:firstLine="212"/>
        <w:rPr>
          <w:color w:val="auto"/>
          <w:sz w:val="20"/>
          <w:szCs w:val="20"/>
        </w:rPr>
      </w:pPr>
      <w:r>
        <w:rPr>
          <w:rFonts w:ascii="Calibri" w:eastAsia="Calibri" w:hAnsi="Calibri" w:cs="Calibri"/>
          <w:b/>
          <w:bCs/>
          <w:i/>
          <w:iCs/>
          <w:color w:val="444867"/>
          <w:sz w:val="12"/>
          <w:szCs w:val="12"/>
        </w:rPr>
        <w:t xml:space="preserve">Changes in internal control over fnancial reportng. </w:t>
      </w:r>
      <w:r>
        <w:rPr>
          <w:rFonts w:ascii="Calibri" w:eastAsia="Calibri" w:hAnsi="Calibri" w:cs="Calibri"/>
          <w:color w:val="000000"/>
          <w:sz w:val="12"/>
          <w:szCs w:val="12"/>
        </w:rPr>
        <w:t>There were no changes in AbbVie's internal control over fnancial reportng (as defned in Rule 13a-15(f) under the Securites Exchange Act of 1934) that have materially afected,</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or are reasonably likely to materially afect, AbbVie's internal control over fnancial reportng during the quarter ended December 31, 2024.</w:t>
      </w:r>
    </w:p>
    <w:p>
      <w:pPr>
        <w:spacing w:after="0" w:line="101" w:lineRule="exact"/>
        <w:rPr>
          <w:color w:val="auto"/>
          <w:sz w:val="20"/>
          <w:szCs w:val="20"/>
        </w:rPr>
      </w:pPr>
    </w:p>
    <w:p>
      <w:pPr>
        <w:spacing w:after="0" w:line="260" w:lineRule="auto"/>
        <w:ind w:right="20" w:firstLine="212"/>
        <w:rPr>
          <w:color w:val="auto"/>
          <w:sz w:val="20"/>
          <w:szCs w:val="20"/>
        </w:rPr>
      </w:pPr>
      <w:r>
        <w:rPr>
          <w:rFonts w:ascii="Calibri" w:eastAsia="Calibri" w:hAnsi="Calibri" w:cs="Calibri"/>
          <w:b/>
          <w:bCs/>
          <w:i/>
          <w:iCs/>
          <w:color w:val="444867"/>
          <w:sz w:val="11"/>
          <w:szCs w:val="11"/>
        </w:rPr>
        <w:t xml:space="preserve">Inherent limitatons on efectveness of controls. </w:t>
      </w:r>
      <w:r>
        <w:rPr>
          <w:rFonts w:ascii="Calibri" w:eastAsia="Calibri" w:hAnsi="Calibri" w:cs="Calibri"/>
          <w:color w:val="000000"/>
          <w:sz w:val="11"/>
          <w:szCs w:val="11"/>
        </w:rPr>
        <w:t>AbbVie's management, including its Chief Executve Ofcer and its Chief Financial Ofcer, do not expect that AbbVie's disclosure controls or internal control over fnancial reportng</w:t>
      </w:r>
      <w:r>
        <w:rPr>
          <w:rFonts w:ascii="Calibri" w:eastAsia="Calibri" w:hAnsi="Calibri" w:cs="Calibri"/>
          <w:b/>
          <w:bCs/>
          <w:i/>
          <w:iCs/>
          <w:color w:val="444867"/>
          <w:sz w:val="11"/>
          <w:szCs w:val="11"/>
        </w:rPr>
        <w:t xml:space="preserve"> </w:t>
      </w:r>
      <w:r>
        <w:rPr>
          <w:rFonts w:ascii="Calibri" w:eastAsia="Calibri" w:hAnsi="Calibri" w:cs="Calibri"/>
          <w:color w:val="000000"/>
          <w:sz w:val="11"/>
          <w:szCs w:val="11"/>
        </w:rPr>
        <w:t>will prevent or detect all errors and all fraud. A control system, no mater how well designed and operated, can provide only reasonable, not absolute, assurance that the control system's objectves will be met. The design of a control system must refect the fact that there are resource constraints, and the benefts of controls must be considered relatve to their costs. Further, because of the inherent limitatons in all control systems, no evaluaton of controls can provide absolute assurance that misstatements due to error or fraud will not occur or that all control issues and instances of fraud, if any, have been detected. These inherent limitatons include the realites that judgments in decision-making can be faulty and that breakdowns can occur because of simple error or mistake. Controls can also be circumvented by the individual acts of some persons, by collusion of two or more people, or by management override of the controls.</w:t>
      </w:r>
    </w:p>
    <w:p>
      <w:pPr>
        <w:spacing w:after="0" w:line="83" w:lineRule="exact"/>
        <w:rPr>
          <w:color w:val="auto"/>
          <w:sz w:val="20"/>
          <w:szCs w:val="20"/>
        </w:rPr>
      </w:pPr>
    </w:p>
    <w:p>
      <w:pPr>
        <w:spacing w:after="0" w:line="234" w:lineRule="auto"/>
        <w:ind w:right="340" w:firstLine="216"/>
        <w:jc w:val="both"/>
        <w:rPr>
          <w:color w:val="auto"/>
          <w:sz w:val="20"/>
          <w:szCs w:val="20"/>
        </w:rPr>
      </w:pPr>
      <w:r>
        <w:rPr>
          <w:rFonts w:ascii="Calibri" w:eastAsia="Calibri" w:hAnsi="Calibri" w:cs="Calibri"/>
          <w:color w:val="auto"/>
          <w:sz w:val="12"/>
          <w:szCs w:val="12"/>
        </w:rPr>
        <w:t>The design of any system of controls is based in part on certain assumptons about the likelihood of future events, and there can be no assurance that any design will succeed in achieving its stated goals under all potental future conditons. Projectons of any evaluaton of controls efectveness to future periods are subject to risks. Over tme, controls may become inadequate because of changes in conditons or deterioraton in the degree of compliance with policies or procedures.</w:t>
      </w:r>
    </w:p>
    <w:p>
      <w:pPr>
        <w:spacing w:after="0" w:line="103" w:lineRule="exact"/>
        <w:rPr>
          <w:color w:val="auto"/>
          <w:sz w:val="20"/>
          <w:szCs w:val="20"/>
        </w:rPr>
      </w:pPr>
    </w:p>
    <w:p>
      <w:pPr>
        <w:spacing w:after="0" w:line="235" w:lineRule="auto"/>
        <w:ind w:right="340" w:firstLine="212"/>
        <w:rPr>
          <w:color w:val="auto"/>
          <w:sz w:val="20"/>
          <w:szCs w:val="20"/>
        </w:rPr>
      </w:pPr>
      <w:r>
        <w:rPr>
          <w:rFonts w:ascii="Calibri" w:eastAsia="Calibri" w:hAnsi="Calibri" w:cs="Calibri"/>
          <w:b/>
          <w:bCs/>
          <w:i/>
          <w:iCs/>
          <w:color w:val="444867"/>
          <w:sz w:val="12"/>
          <w:szCs w:val="12"/>
        </w:rPr>
        <w:t xml:space="preserve">Management's annual report on internal control over fnancial reportng. </w:t>
      </w:r>
      <w:r>
        <w:rPr>
          <w:rFonts w:ascii="Calibri" w:eastAsia="Calibri" w:hAnsi="Calibri" w:cs="Calibri"/>
          <w:color w:val="000000"/>
          <w:sz w:val="12"/>
          <w:szCs w:val="12"/>
        </w:rPr>
        <w:t>Management of AbbVie is responsible for establishing and maintaining adequate internal control over fnancial reportng, as such term is defned in</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Rule 13a-15(f) under the Securites Exchange Act of 1934. AbbVie's internal control over fnancial reportng is designed to provide reasonable assurance regarding the reliability of fnancial reportng and the preparaton of fnancial statements for external purposes in accordance with generally accepted accountng principles in the United States. However, all internal control systems, no mater how well designed, have inherent limitatons. Therefore, even those systems determined to be efectve can provide only reasonable assurance with respect to fnancial statement preparaton and reportng.</w:t>
      </w:r>
    </w:p>
    <w:p>
      <w:pPr>
        <w:spacing w:after="0" w:line="101" w:lineRule="exact"/>
        <w:rPr>
          <w:color w:val="auto"/>
          <w:sz w:val="20"/>
          <w:szCs w:val="20"/>
        </w:rPr>
      </w:pPr>
    </w:p>
    <w:p>
      <w:pPr>
        <w:spacing w:after="0" w:line="234" w:lineRule="auto"/>
        <w:ind w:right="60" w:firstLine="216"/>
        <w:rPr>
          <w:color w:val="auto"/>
          <w:sz w:val="20"/>
          <w:szCs w:val="20"/>
        </w:rPr>
      </w:pPr>
      <w:r>
        <w:rPr>
          <w:rFonts w:ascii="Calibri" w:eastAsia="Calibri" w:hAnsi="Calibri" w:cs="Calibri"/>
          <w:color w:val="auto"/>
          <w:sz w:val="12"/>
          <w:szCs w:val="12"/>
        </w:rPr>
        <w:t xml:space="preserve">Management assessed the efectveness of AbbVie's internal control over fnancial reportng as of December 31, 2024. In making this assessment, management used the criteria set forth by the Commitee of Sponsoring Organizatons of the Treadway Commission (COSO) in </w:t>
      </w:r>
      <w:r>
        <w:rPr>
          <w:rFonts w:ascii="Calibri" w:eastAsia="Calibri" w:hAnsi="Calibri" w:cs="Calibri"/>
          <w:i/>
          <w:iCs/>
          <w:color w:val="auto"/>
          <w:sz w:val="12"/>
          <w:szCs w:val="12"/>
        </w:rPr>
        <w:t>Internal Control-Integrated Framework</w:t>
      </w:r>
      <w:r>
        <w:rPr>
          <w:rFonts w:ascii="Calibri" w:eastAsia="Calibri" w:hAnsi="Calibri" w:cs="Calibri"/>
          <w:color w:val="auto"/>
          <w:sz w:val="12"/>
          <w:szCs w:val="12"/>
        </w:rPr>
        <w:t xml:space="preserve"> (2013 framework). Based on that assessment, management concluded that AbbVie maintained efectve internal control over fnancial reportng as of December 31, 2024, based on the COSO criteria.</w:t>
      </w:r>
    </w:p>
    <w:p>
      <w:pPr>
        <w:spacing w:after="0" w:line="94" w:lineRule="exact"/>
        <w:rPr>
          <w:color w:val="auto"/>
          <w:sz w:val="20"/>
          <w:szCs w:val="20"/>
        </w:rPr>
      </w:pPr>
    </w:p>
    <w:p>
      <w:pPr>
        <w:spacing w:after="0" w:line="234" w:lineRule="auto"/>
        <w:ind w:firstLine="216"/>
        <w:rPr>
          <w:color w:val="auto"/>
          <w:sz w:val="20"/>
          <w:szCs w:val="20"/>
        </w:rPr>
      </w:pPr>
      <w:r>
        <w:rPr>
          <w:rFonts w:ascii="Calibri" w:eastAsia="Calibri" w:hAnsi="Calibri" w:cs="Calibri"/>
          <w:color w:val="auto"/>
          <w:sz w:val="12"/>
          <w:szCs w:val="12"/>
        </w:rPr>
        <w:t>The efectveness of AbbVie's internal control over fnancial reportng as of December 31, 2024 has been audited by Ernst &amp; Young LLP, an independent registered public accountng frm, as stated in their atestaton report below, which expresses an unqualifed opinion on the efectveness of AbbVie's internal control over fnancial reportng as of December 31, 2024.</w:t>
      </w:r>
    </w:p>
    <w:p>
      <w:pPr>
        <w:spacing w:after="0" w:line="101" w:lineRule="exact"/>
        <w:rPr>
          <w:color w:val="auto"/>
          <w:sz w:val="20"/>
          <w:szCs w:val="20"/>
        </w:rPr>
      </w:pPr>
    </w:p>
    <w:p>
      <w:pPr>
        <w:spacing w:after="0" w:line="234" w:lineRule="auto"/>
        <w:ind w:right="320" w:firstLine="216"/>
        <w:rPr>
          <w:color w:val="auto"/>
          <w:sz w:val="20"/>
          <w:szCs w:val="20"/>
        </w:rPr>
      </w:pPr>
      <w:r>
        <w:rPr>
          <w:rFonts w:ascii="Calibri" w:eastAsia="Calibri" w:hAnsi="Calibri" w:cs="Calibri"/>
          <w:b/>
          <w:bCs/>
          <w:i/>
          <w:iCs/>
          <w:color w:val="444867"/>
          <w:sz w:val="12"/>
          <w:szCs w:val="12"/>
        </w:rPr>
        <w:t xml:space="preserve">Report of independent registered public accountng frm. </w:t>
      </w:r>
      <w:r>
        <w:rPr>
          <w:rFonts w:ascii="Calibri" w:eastAsia="Calibri" w:hAnsi="Calibri" w:cs="Calibri"/>
          <w:color w:val="000000"/>
          <w:sz w:val="12"/>
          <w:szCs w:val="12"/>
        </w:rPr>
        <w:t>The report of AbbVie's independent registered public accountng frm related to its assessment of the efectveness of internal control over fnancial reportng is included</w:t>
      </w:r>
      <w:r>
        <w:rPr>
          <w:rFonts w:ascii="Calibri" w:eastAsia="Calibri" w:hAnsi="Calibri" w:cs="Calibri"/>
          <w:b/>
          <w:bCs/>
          <w:i/>
          <w:iCs/>
          <w:color w:val="444867"/>
          <w:sz w:val="12"/>
          <w:szCs w:val="12"/>
        </w:rPr>
        <w:t xml:space="preserve"> </w:t>
      </w:r>
      <w:r>
        <w:rPr>
          <w:rFonts w:ascii="Calibri" w:eastAsia="Calibri" w:hAnsi="Calibri" w:cs="Calibri"/>
          <w:color w:val="000000"/>
          <w:sz w:val="12"/>
          <w:szCs w:val="12"/>
        </w:rPr>
        <w:t>below.</w:t>
      </w:r>
    </w:p>
    <w:p>
      <w:pPr>
        <w:spacing w:after="0" w:line="20" w:lineRule="exact"/>
        <w:rPr>
          <w:color w:val="auto"/>
          <w:sz w:val="20"/>
          <w:szCs w:val="20"/>
        </w:rPr>
      </w:pPr>
      <w:r>
        <w:rPr>
          <w:color w:val="auto"/>
          <w:sz w:val="20"/>
          <w:szCs w:val="20"/>
        </w:rPr>
        <w:drawing>
          <wp:anchor simplePos="0" relativeHeight="251924480" behindDoc="1" locked="0" layoutInCell="0" allowOverlap="1">
            <wp:simplePos x="0" y="0"/>
            <wp:positionH relativeFrom="column">
              <wp:posOffset>6475730</wp:posOffset>
            </wp:positionH>
            <wp:positionV relativeFrom="paragraph">
              <wp:posOffset>119380</wp:posOffset>
            </wp:positionV>
            <wp:extent cx="400050" cy="74295"/>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3" w:lineRule="exact"/>
        <w:rPr>
          <w:color w:val="auto"/>
          <w:sz w:val="20"/>
          <w:szCs w:val="20"/>
        </w:rPr>
      </w:pPr>
    </w:p>
    <w:tbl>
      <w:tblPr>
        <w:tblInd w:w="0" w:type="dxa"/>
        <w:tblLayout w:type="fixed"/>
        <w:tblCellMar>
          <w:top w:w="0" w:type="dxa"/>
          <w:left w:w="0" w:type="dxa"/>
          <w:bottom w:w="0" w:type="dxa"/>
          <w:right w:w="0" w:type="dxa"/>
        </w:tblCellMar>
      </w:tblPr>
      <w:tblGrid>
        <w:gridCol w:w="10640"/>
        <w:gridCol w:w="660"/>
      </w:tblGrid>
      <w:tr>
        <w:tblPrEx>
          <w:tblInd w:w="0" w:type="dxa"/>
          <w:tblLayout w:type="fixed"/>
        </w:tblPrEx>
        <w:trPr>
          <w:trHeight w:val="146"/>
        </w:trPr>
        <w:tc>
          <w:tcPr>
            <w:tcW w:w="1064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60" w:type="dxa"/>
            <w:vAlign w:val="bottom"/>
          </w:tcPr>
          <w:p>
            <w:pPr>
              <w:spacing w:after="0"/>
              <w:jc w:val="right"/>
              <w:rPr>
                <w:color w:val="auto"/>
                <w:sz w:val="20"/>
                <w:szCs w:val="20"/>
              </w:rPr>
            </w:pPr>
            <w:r>
              <w:rPr>
                <w:rFonts w:ascii="Calibri" w:eastAsia="Calibri" w:hAnsi="Calibri" w:cs="Calibri"/>
                <w:b/>
                <w:bCs/>
                <w:i/>
                <w:iCs/>
                <w:color w:val="auto"/>
                <w:sz w:val="12"/>
                <w:szCs w:val="12"/>
              </w:rPr>
              <w:t>104</w:t>
            </w:r>
          </w:p>
        </w:tc>
      </w:tr>
      <w:tr>
        <w:tblPrEx>
          <w:tblInd w:w="0" w:type="dxa"/>
          <w:tblLayout w:type="fixed"/>
        </w:tblPrEx>
        <w:trPr>
          <w:trHeight w:val="152"/>
        </w:trPr>
        <w:tc>
          <w:tcPr>
            <w:tcW w:w="10640" w:type="dxa"/>
            <w:tcBorders>
              <w:bottom w:val="single" w:sz="8" w:space="0" w:color="9A9A9A"/>
            </w:tcBorders>
            <w:vAlign w:val="bottom"/>
          </w:tcPr>
          <w:p>
            <w:pPr>
              <w:spacing w:after="0"/>
              <w:rPr>
                <w:color w:val="auto"/>
                <w:sz w:val="13"/>
                <w:szCs w:val="13"/>
              </w:rPr>
            </w:pPr>
          </w:p>
        </w:tc>
        <w:tc>
          <w:tcPr>
            <w:tcW w:w="66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925504" behindDoc="1" locked="0" layoutInCell="0" allowOverlap="1">
            <wp:simplePos x="0" y="0"/>
            <wp:positionH relativeFrom="column">
              <wp:posOffset>7154545</wp:posOffset>
            </wp:positionH>
            <wp:positionV relativeFrom="paragraph">
              <wp:posOffset>-23495</wp:posOffset>
            </wp:positionV>
            <wp:extent cx="31115" cy="3683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26528" behindDoc="1" locked="0" layoutInCell="0" allowOverlap="1">
            <wp:simplePos x="0" y="0"/>
            <wp:positionH relativeFrom="column">
              <wp:posOffset>-17145</wp:posOffset>
            </wp:positionH>
            <wp:positionV relativeFrom="paragraph">
              <wp:posOffset>-23495</wp:posOffset>
            </wp:positionV>
            <wp:extent cx="31115" cy="3683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553" w:right="299" w:bottom="1440" w:left="300" w:header="0" w:footer="0" w:gutter="0"/>
          <w:cols w:num="1" w:space="720" w:equalWidth="0">
            <w:col w:w="11300" w:space="0"/>
          </w:cols>
        </w:sectPr>
      </w:pPr>
    </w:p>
    <w:bookmarkStart w:id="106" w:name="page107"/>
    <w:bookmarkEnd w:id="106"/>
    <w:p>
      <w:pPr>
        <w:spacing w:after="0"/>
        <w:ind w:right="-19"/>
        <w:jc w:val="center"/>
        <w:rPr>
          <w:color w:val="auto"/>
          <w:sz w:val="20"/>
          <w:szCs w:val="20"/>
        </w:rPr>
      </w:pPr>
      <w:r>
        <w:rPr>
          <w:rFonts w:ascii="Calibri" w:eastAsia="Calibri" w:hAnsi="Calibri" w:cs="Calibri"/>
          <w:b/>
          <w:bCs/>
          <w:color w:val="444867"/>
          <w:sz w:val="14"/>
          <w:szCs w:val="14"/>
        </w:rPr>
        <w:t>Report of Independent Registered Public Accountng Firm</w:t>
      </w:r>
    </w:p>
    <w:p>
      <w:pPr>
        <w:spacing w:after="0" w:line="100" w:lineRule="exact"/>
        <w:rPr>
          <w:color w:val="auto"/>
          <w:sz w:val="20"/>
          <w:szCs w:val="20"/>
        </w:rPr>
      </w:pPr>
    </w:p>
    <w:p>
      <w:pPr>
        <w:spacing w:after="0"/>
        <w:rPr>
          <w:color w:val="auto"/>
          <w:sz w:val="20"/>
          <w:szCs w:val="20"/>
        </w:rPr>
      </w:pPr>
      <w:r>
        <w:rPr>
          <w:rFonts w:ascii="Calibri" w:eastAsia="Calibri" w:hAnsi="Calibri" w:cs="Calibri"/>
          <w:color w:val="auto"/>
          <w:sz w:val="12"/>
          <w:szCs w:val="12"/>
        </w:rPr>
        <w:t>To the Stockholders and the Board of Directors of AbbVie Inc.</w:t>
      </w:r>
    </w:p>
    <w:p>
      <w:pPr>
        <w:spacing w:after="0" w:line="88"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Opinion on Internal Control Over Financial Reportng</w:t>
      </w:r>
    </w:p>
    <w:p>
      <w:pPr>
        <w:spacing w:after="0" w:line="101" w:lineRule="exact"/>
        <w:rPr>
          <w:color w:val="auto"/>
          <w:sz w:val="20"/>
          <w:szCs w:val="20"/>
        </w:rPr>
      </w:pPr>
    </w:p>
    <w:p>
      <w:pPr>
        <w:spacing w:after="0" w:line="234" w:lineRule="auto"/>
        <w:ind w:right="320"/>
        <w:rPr>
          <w:color w:val="auto"/>
          <w:sz w:val="20"/>
          <w:szCs w:val="20"/>
        </w:rPr>
      </w:pPr>
      <w:r>
        <w:rPr>
          <w:rFonts w:ascii="Calibri" w:eastAsia="Calibri" w:hAnsi="Calibri" w:cs="Calibri"/>
          <w:color w:val="auto"/>
          <w:sz w:val="12"/>
          <w:szCs w:val="12"/>
        </w:rPr>
        <w:t>We have audited AbbVie Inc. and subsidiaries' internal control over fnancial reportng as of December 31, 2024, based on criteria established in Internal Control—Integrated Framework issued by the Commitee of Sponsoring Organizatons of the Treadway Commission (2013 framework) (the COSO criteria). In our opinion, AbbVie Inc. and subsidiaries (the Company) maintained, in all material respects, efectve internal control over fnancial reportng as of December 31, 2024, based on the COSO criteria.</w:t>
      </w:r>
    </w:p>
    <w:p>
      <w:pPr>
        <w:spacing w:after="0" w:line="94" w:lineRule="exact"/>
        <w:rPr>
          <w:color w:val="auto"/>
          <w:sz w:val="20"/>
          <w:szCs w:val="20"/>
        </w:rPr>
      </w:pPr>
    </w:p>
    <w:p>
      <w:pPr>
        <w:spacing w:after="0" w:line="234" w:lineRule="auto"/>
        <w:ind w:right="420"/>
        <w:rPr>
          <w:color w:val="auto"/>
          <w:sz w:val="20"/>
          <w:szCs w:val="20"/>
        </w:rPr>
      </w:pPr>
      <w:r>
        <w:rPr>
          <w:rFonts w:ascii="Calibri" w:eastAsia="Calibri" w:hAnsi="Calibri" w:cs="Calibri"/>
          <w:color w:val="auto"/>
          <w:sz w:val="12"/>
          <w:szCs w:val="12"/>
        </w:rPr>
        <w:t>We also have audited, in accordance with the standards of the Public Company Accountng Oversight Board (United States) (PCAOB), the consolidated balance sheets of the Company as of December 31, 2024 and 2023, the related consolidated statements of earnings, comprehensive income, equity and cash fows for each of the three years in the period ended December 31, 2024, and the related notes and our report dated February 14, 2025 expressed an unqualifed opinion thereon.</w:t>
      </w:r>
    </w:p>
    <w:p>
      <w:pPr>
        <w:spacing w:after="0" w:line="98"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Basis for Opinion</w:t>
      </w:r>
    </w:p>
    <w:p>
      <w:pPr>
        <w:spacing w:after="0" w:line="101" w:lineRule="exact"/>
        <w:rPr>
          <w:color w:val="auto"/>
          <w:sz w:val="20"/>
          <w:szCs w:val="20"/>
        </w:rPr>
      </w:pPr>
    </w:p>
    <w:p>
      <w:pPr>
        <w:spacing w:after="0" w:line="264" w:lineRule="auto"/>
        <w:ind w:right="60"/>
        <w:rPr>
          <w:color w:val="auto"/>
          <w:sz w:val="20"/>
          <w:szCs w:val="20"/>
        </w:rPr>
      </w:pPr>
      <w:r>
        <w:rPr>
          <w:rFonts w:ascii="Calibri" w:eastAsia="Calibri" w:hAnsi="Calibri" w:cs="Calibri"/>
          <w:color w:val="auto"/>
          <w:sz w:val="11"/>
          <w:szCs w:val="11"/>
        </w:rPr>
        <w:t>The Company's management is responsible for maintaining efectve internal control over fnancial reportng and for its assessment of the efectveness of internal control over fnancial reportng included in the accompanying Management's annual report on internal control over fnancial reportng. Our responsibility is to express an opinion on the Company's internal control over fnancial reportng based on our audit. We are a public accountng frm registered with the PCAOB and are required to be independent with respect to the Company in accordance with the U.S. federal securites laws and the applicable rules and regulatons of the Securites and Exchange Commission and the PCAOB.</w:t>
      </w:r>
    </w:p>
    <w:p>
      <w:pPr>
        <w:spacing w:after="0" w:line="79" w:lineRule="exact"/>
        <w:rPr>
          <w:color w:val="auto"/>
          <w:sz w:val="20"/>
          <w:szCs w:val="20"/>
        </w:rPr>
      </w:pPr>
    </w:p>
    <w:p>
      <w:pPr>
        <w:spacing w:after="0" w:line="234" w:lineRule="auto"/>
        <w:ind w:right="200"/>
        <w:rPr>
          <w:color w:val="auto"/>
          <w:sz w:val="20"/>
          <w:szCs w:val="20"/>
        </w:rPr>
      </w:pPr>
      <w:r>
        <w:rPr>
          <w:rFonts w:ascii="Calibri" w:eastAsia="Calibri" w:hAnsi="Calibri" w:cs="Calibri"/>
          <w:color w:val="auto"/>
          <w:sz w:val="12"/>
          <w:szCs w:val="12"/>
        </w:rPr>
        <w:t>We conducted our audit in accordance with the standards of the PCAOB. Those standards require that we plan and perform the audit to obtain reasonable assurance about whether efectve internal control over fnancial reportng was maintained in all material respects.</w:t>
      </w:r>
    </w:p>
    <w:p>
      <w:pPr>
        <w:spacing w:after="0" w:line="101" w:lineRule="exact"/>
        <w:rPr>
          <w:color w:val="auto"/>
          <w:sz w:val="20"/>
          <w:szCs w:val="20"/>
        </w:rPr>
      </w:pPr>
    </w:p>
    <w:p>
      <w:pPr>
        <w:spacing w:after="0" w:line="234" w:lineRule="auto"/>
        <w:ind w:right="200"/>
        <w:rPr>
          <w:color w:val="auto"/>
          <w:sz w:val="20"/>
          <w:szCs w:val="20"/>
        </w:rPr>
      </w:pPr>
      <w:r>
        <w:rPr>
          <w:rFonts w:ascii="Calibri" w:eastAsia="Calibri" w:hAnsi="Calibri" w:cs="Calibri"/>
          <w:color w:val="auto"/>
          <w:sz w:val="12"/>
          <w:szCs w:val="12"/>
        </w:rPr>
        <w:t>Our audit included obtaining an understanding of internal control over fnancial reportng, assessing the risk that a material weakness exists, testng and evaluatng the design and operatng efectveness of internal control based on the assessed risk, and performing such other procedures as we considered necessary in the circumstances. We believe that our audit provides a reasonable basis for our opinion.</w:t>
      </w:r>
    </w:p>
    <w:p>
      <w:pPr>
        <w:spacing w:after="0" w:line="97"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Defniton and Limitatons of Internal Control Over Financial Reportng</w:t>
      </w:r>
    </w:p>
    <w:p>
      <w:pPr>
        <w:spacing w:after="0" w:line="92" w:lineRule="exact"/>
        <w:rPr>
          <w:color w:val="auto"/>
          <w:sz w:val="20"/>
          <w:szCs w:val="20"/>
        </w:rPr>
      </w:pPr>
    </w:p>
    <w:p>
      <w:pPr>
        <w:spacing w:after="0" w:line="235" w:lineRule="auto"/>
        <w:rPr>
          <w:color w:val="auto"/>
          <w:sz w:val="20"/>
          <w:szCs w:val="20"/>
        </w:rPr>
      </w:pPr>
      <w:r>
        <w:rPr>
          <w:rFonts w:ascii="Calibri" w:eastAsia="Calibri" w:hAnsi="Calibri" w:cs="Calibri"/>
          <w:color w:val="auto"/>
          <w:sz w:val="12"/>
          <w:szCs w:val="12"/>
        </w:rPr>
        <w:t>A company's internal control over fnancial reportng is a process designed to provide reasonable assurance regarding the reliability of fnancial reportng and the preparaton of fnancial statements for external purposes in accordance with generally accepted accountng principles. A company's internal control over fnancial reportng includes those policies and procedures that (1) pertain to the maintenance of records that, in reasonable detail, accurately and fairly refect the transactons and dispositons of the assets of the company; (2) provide reasonable assurance that transactons are recorded as necessary to permit preparaton of fnancial statements in accordance with generally accepted accountng principles, and that receipts and expenditures of the company are being made only in accordance with authorizatons of management and directors of the company; and (3) provide reasonable assurance regarding preventon or tmely detecton of unauthorized acquisiton, use, or dispositon of the company's assets that could have a material efect on the fnancial statements.</w:t>
      </w:r>
    </w:p>
    <w:p>
      <w:pPr>
        <w:spacing w:after="0" w:line="102" w:lineRule="exact"/>
        <w:rPr>
          <w:color w:val="auto"/>
          <w:sz w:val="20"/>
          <w:szCs w:val="20"/>
        </w:rPr>
      </w:pPr>
    </w:p>
    <w:p>
      <w:pPr>
        <w:spacing w:after="0" w:line="234" w:lineRule="auto"/>
        <w:ind w:right="160"/>
        <w:rPr>
          <w:color w:val="auto"/>
          <w:sz w:val="20"/>
          <w:szCs w:val="20"/>
        </w:rPr>
      </w:pPr>
      <w:r>
        <w:rPr>
          <w:rFonts w:ascii="Calibri" w:eastAsia="Calibri" w:hAnsi="Calibri" w:cs="Calibri"/>
          <w:color w:val="auto"/>
          <w:sz w:val="12"/>
          <w:szCs w:val="12"/>
        </w:rPr>
        <w:t>Because of its inherent limitatons, internal control over fnancial reportng may not prevent or detect misstatements. Also, projectons of any evaluaton of efectveness to future periods are subject to the risk that controls may become inadequate because of changes in conditons, or that the degree of compliance with the policies or procedures may deteriorate.</w:t>
      </w:r>
    </w:p>
    <w:p>
      <w:pPr>
        <w:spacing w:after="0" w:line="97" w:lineRule="exact"/>
        <w:rPr>
          <w:color w:val="auto"/>
          <w:sz w:val="20"/>
          <w:szCs w:val="20"/>
        </w:rPr>
      </w:pPr>
    </w:p>
    <w:p>
      <w:pPr>
        <w:spacing w:after="0"/>
        <w:rPr>
          <w:color w:val="auto"/>
          <w:sz w:val="20"/>
          <w:szCs w:val="20"/>
        </w:rPr>
      </w:pPr>
      <w:r>
        <w:rPr>
          <w:rFonts w:ascii="Calibri" w:eastAsia="Calibri" w:hAnsi="Calibri" w:cs="Calibri"/>
          <w:color w:val="auto"/>
          <w:sz w:val="12"/>
          <w:szCs w:val="12"/>
        </w:rPr>
        <w:t>/s/ Ernst &amp; Young LLP</w:t>
      </w:r>
    </w:p>
    <w:p>
      <w:pPr>
        <w:spacing w:after="0" w:line="88" w:lineRule="exact"/>
        <w:rPr>
          <w:color w:val="auto"/>
          <w:sz w:val="20"/>
          <w:szCs w:val="20"/>
        </w:rPr>
      </w:pPr>
    </w:p>
    <w:p>
      <w:pPr>
        <w:spacing w:after="0"/>
        <w:rPr>
          <w:color w:val="auto"/>
          <w:sz w:val="20"/>
          <w:szCs w:val="20"/>
        </w:rPr>
      </w:pPr>
      <w:r>
        <w:rPr>
          <w:rFonts w:ascii="Calibri" w:eastAsia="Calibri" w:hAnsi="Calibri" w:cs="Calibri"/>
          <w:color w:val="auto"/>
          <w:sz w:val="12"/>
          <w:szCs w:val="12"/>
        </w:rPr>
        <w:t>Chicago, Illinois</w:t>
      </w:r>
    </w:p>
    <w:p>
      <w:pPr>
        <w:spacing w:after="0" w:line="97" w:lineRule="exact"/>
        <w:rPr>
          <w:color w:val="auto"/>
          <w:sz w:val="20"/>
          <w:szCs w:val="20"/>
        </w:rPr>
      </w:pPr>
    </w:p>
    <w:p>
      <w:pPr>
        <w:spacing w:after="0"/>
        <w:rPr>
          <w:color w:val="auto"/>
          <w:sz w:val="20"/>
          <w:szCs w:val="20"/>
        </w:rPr>
      </w:pPr>
      <w:r>
        <w:rPr>
          <w:rFonts w:ascii="Calibri" w:eastAsia="Calibri" w:hAnsi="Calibri" w:cs="Calibri"/>
          <w:color w:val="auto"/>
          <w:sz w:val="12"/>
          <w:szCs w:val="12"/>
        </w:rPr>
        <w:t>February 14, 2025</w:t>
      </w:r>
    </w:p>
    <w:p>
      <w:pPr>
        <w:spacing w:after="0" w:line="204" w:lineRule="exact"/>
        <w:rPr>
          <w:color w:val="auto"/>
          <w:sz w:val="20"/>
          <w:szCs w:val="20"/>
        </w:r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105</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927552" behindDoc="1" locked="0" layoutInCell="0" allowOverlap="1">
            <wp:simplePos x="0" y="0"/>
            <wp:positionH relativeFrom="column">
              <wp:posOffset>-17145</wp:posOffset>
            </wp:positionH>
            <wp:positionV relativeFrom="paragraph">
              <wp:posOffset>133985</wp:posOffset>
            </wp:positionV>
            <wp:extent cx="7203440" cy="3683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928576" behindDoc="1" locked="0" layoutInCell="0" allowOverlap="1">
            <wp:simplePos x="0" y="0"/>
            <wp:positionH relativeFrom="column">
              <wp:posOffset>292100</wp:posOffset>
            </wp:positionH>
            <wp:positionV relativeFrom="paragraph">
              <wp:posOffset>-75565</wp:posOffset>
            </wp:positionV>
            <wp:extent cx="400050" cy="74295"/>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107" w:name="page108"/>
    <w:bookmarkEnd w:id="107"/>
    <w:p>
      <w:pPr>
        <w:spacing w:after="0"/>
        <w:rPr>
          <w:color w:val="auto"/>
          <w:sz w:val="20"/>
          <w:szCs w:val="20"/>
        </w:rPr>
      </w:pPr>
      <w:r>
        <w:rPr>
          <w:rFonts w:ascii="Calibri" w:eastAsia="Calibri" w:hAnsi="Calibri" w:cs="Calibri"/>
          <w:b/>
          <w:bCs/>
          <w:color w:val="444867"/>
          <w:sz w:val="14"/>
          <w:szCs w:val="14"/>
        </w:rPr>
        <w:t>ITEM 9B. OTHER INFORMATION</w:t>
      </w:r>
    </w:p>
    <w:p>
      <w:pPr>
        <w:spacing w:after="0" w:line="20" w:lineRule="exact"/>
        <w:rPr>
          <w:color w:val="auto"/>
          <w:sz w:val="20"/>
          <w:szCs w:val="20"/>
        </w:rPr>
      </w:pPr>
      <w:r>
        <w:rPr>
          <w:color w:val="auto"/>
          <w:sz w:val="20"/>
          <w:szCs w:val="20"/>
        </w:rPr>
        <w:drawing>
          <wp:anchor simplePos="0" relativeHeight="251929600" behindDoc="1" locked="0" layoutInCell="0" allowOverlap="1">
            <wp:simplePos x="0" y="0"/>
            <wp:positionH relativeFrom="column">
              <wp:posOffset>-4445</wp:posOffset>
            </wp:positionH>
            <wp:positionV relativeFrom="paragraph">
              <wp:posOffset>24130</wp:posOffset>
            </wp:positionV>
            <wp:extent cx="7166610" cy="5715"/>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01" w:lineRule="exact"/>
        <w:rPr>
          <w:color w:val="auto"/>
          <w:sz w:val="20"/>
          <w:szCs w:val="20"/>
        </w:rPr>
      </w:pPr>
    </w:p>
    <w:p>
      <w:pPr>
        <w:spacing w:after="0" w:line="234" w:lineRule="auto"/>
        <w:ind w:right="100"/>
        <w:rPr>
          <w:color w:val="auto"/>
          <w:sz w:val="20"/>
          <w:szCs w:val="20"/>
        </w:rPr>
      </w:pPr>
      <w:r>
        <w:rPr>
          <w:rFonts w:ascii="Calibri" w:eastAsia="Calibri" w:hAnsi="Calibri" w:cs="Calibri"/>
          <w:color w:val="auto"/>
          <w:sz w:val="12"/>
          <w:szCs w:val="12"/>
        </w:rPr>
        <w:t>During the three months ended December 31, 2024, no director or ofcer of the company adopted, modifed or terminated a “Rule 10b5-1 trading arrangement” or “non-Rule 10b5-1 trading arrangement,” as each term is defned in Item 408(a) of Regulaton S-K, except as provided below.</w:t>
      </w:r>
    </w:p>
    <w:p>
      <w:pPr>
        <w:spacing w:after="0" w:line="108" w:lineRule="exact"/>
        <w:rPr>
          <w:color w:val="auto"/>
          <w:sz w:val="20"/>
          <w:szCs w:val="20"/>
        </w:rPr>
      </w:pPr>
    </w:p>
    <w:tbl>
      <w:tblPr>
        <w:tblInd w:w="0" w:type="dxa"/>
        <w:tblLayout w:type="fixed"/>
        <w:tblCellMar>
          <w:top w:w="0" w:type="dxa"/>
          <w:left w:w="0" w:type="dxa"/>
          <w:bottom w:w="0" w:type="dxa"/>
          <w:right w:w="0" w:type="dxa"/>
        </w:tblCellMar>
      </w:tblPr>
      <w:tblGrid>
        <w:gridCol w:w="3260"/>
        <w:gridCol w:w="1720"/>
        <w:gridCol w:w="1160"/>
        <w:gridCol w:w="1720"/>
        <w:gridCol w:w="1620"/>
        <w:gridCol w:w="1820"/>
        <w:gridCol w:w="20"/>
      </w:tblGrid>
      <w:tr>
        <w:tblPrEx>
          <w:tblInd w:w="0" w:type="dxa"/>
          <w:tblLayout w:type="fixed"/>
        </w:tblPrEx>
        <w:trPr>
          <w:trHeight w:val="146"/>
        </w:trPr>
        <w:tc>
          <w:tcPr>
            <w:tcW w:w="3260" w:type="dxa"/>
            <w:vAlign w:val="bottom"/>
          </w:tcPr>
          <w:p>
            <w:pPr>
              <w:spacing w:after="0"/>
              <w:rPr>
                <w:color w:val="auto"/>
                <w:sz w:val="12"/>
                <w:szCs w:val="12"/>
              </w:rPr>
            </w:pPr>
          </w:p>
        </w:tc>
        <w:tc>
          <w:tcPr>
            <w:tcW w:w="1720" w:type="dxa"/>
            <w:vAlign w:val="bottom"/>
          </w:tcPr>
          <w:p>
            <w:pPr>
              <w:spacing w:after="0"/>
              <w:rPr>
                <w:color w:val="auto"/>
                <w:sz w:val="12"/>
                <w:szCs w:val="12"/>
              </w:rPr>
            </w:pPr>
          </w:p>
        </w:tc>
        <w:tc>
          <w:tcPr>
            <w:tcW w:w="1160" w:type="dxa"/>
            <w:vAlign w:val="bottom"/>
          </w:tcPr>
          <w:p>
            <w:pPr>
              <w:spacing w:after="0"/>
              <w:rPr>
                <w:color w:val="auto"/>
                <w:sz w:val="12"/>
                <w:szCs w:val="12"/>
              </w:rPr>
            </w:pPr>
          </w:p>
        </w:tc>
        <w:tc>
          <w:tcPr>
            <w:tcW w:w="1720" w:type="dxa"/>
            <w:vAlign w:val="bottom"/>
          </w:tcPr>
          <w:p>
            <w:pPr>
              <w:spacing w:after="0"/>
              <w:rPr>
                <w:color w:val="auto"/>
                <w:sz w:val="12"/>
                <w:szCs w:val="12"/>
              </w:rPr>
            </w:pPr>
          </w:p>
        </w:tc>
        <w:tc>
          <w:tcPr>
            <w:tcW w:w="1620" w:type="dxa"/>
            <w:vAlign w:val="bottom"/>
          </w:tcPr>
          <w:p>
            <w:pPr>
              <w:spacing w:after="0"/>
              <w:jc w:val="center"/>
              <w:rPr>
                <w:color w:val="auto"/>
                <w:sz w:val="20"/>
                <w:szCs w:val="20"/>
              </w:rPr>
            </w:pPr>
            <w:r>
              <w:rPr>
                <w:rFonts w:ascii="Calibri" w:eastAsia="Calibri" w:hAnsi="Calibri" w:cs="Calibri"/>
                <w:b/>
                <w:bCs/>
                <w:color w:val="auto"/>
                <w:w w:val="97"/>
                <w:sz w:val="12"/>
                <w:szCs w:val="12"/>
              </w:rPr>
              <w:t>Aggregate Number of Shares to</w:t>
            </w:r>
          </w:p>
        </w:tc>
        <w:tc>
          <w:tcPr>
            <w:tcW w:w="1820" w:type="dxa"/>
            <w:vAlign w:val="bottom"/>
          </w:tcPr>
          <w:p>
            <w:pPr>
              <w:spacing w:after="0"/>
              <w:rPr>
                <w:color w:val="auto"/>
                <w:sz w:val="12"/>
                <w:szCs w:val="12"/>
              </w:rPr>
            </w:pPr>
          </w:p>
        </w:tc>
        <w:tc>
          <w:tcPr>
            <w:tcW w:w="1" w:type="dxa"/>
            <w:vAlign w:val="bottom"/>
          </w:tcPr>
          <w:p>
            <w:pPr>
              <w:spacing w:after="0"/>
              <w:rPr>
                <w:color w:val="auto"/>
                <w:sz w:val="1"/>
                <w:szCs w:val="1"/>
              </w:rPr>
            </w:pPr>
          </w:p>
        </w:tc>
      </w:tr>
      <w:tr>
        <w:tblPrEx>
          <w:tblInd w:w="0" w:type="dxa"/>
          <w:tblLayout w:type="fixed"/>
        </w:tblPrEx>
        <w:trPr>
          <w:trHeight w:val="132"/>
        </w:trPr>
        <w:tc>
          <w:tcPr>
            <w:tcW w:w="3260" w:type="dxa"/>
            <w:vAlign w:val="bottom"/>
          </w:tcPr>
          <w:p>
            <w:pPr>
              <w:spacing w:after="0"/>
              <w:rPr>
                <w:color w:val="auto"/>
                <w:sz w:val="11"/>
                <w:szCs w:val="11"/>
              </w:rPr>
            </w:pPr>
          </w:p>
        </w:tc>
        <w:tc>
          <w:tcPr>
            <w:tcW w:w="1720" w:type="dxa"/>
            <w:vAlign w:val="bottom"/>
          </w:tcPr>
          <w:p>
            <w:pPr>
              <w:spacing w:after="0"/>
              <w:rPr>
                <w:color w:val="auto"/>
                <w:sz w:val="11"/>
                <w:szCs w:val="11"/>
              </w:rPr>
            </w:pPr>
          </w:p>
        </w:tc>
        <w:tc>
          <w:tcPr>
            <w:tcW w:w="1160" w:type="dxa"/>
            <w:vAlign w:val="bottom"/>
          </w:tcPr>
          <w:p>
            <w:pPr>
              <w:spacing w:after="0"/>
              <w:rPr>
                <w:color w:val="auto"/>
                <w:sz w:val="11"/>
                <w:szCs w:val="11"/>
              </w:rPr>
            </w:pPr>
          </w:p>
        </w:tc>
        <w:tc>
          <w:tcPr>
            <w:tcW w:w="1720" w:type="dxa"/>
            <w:vAlign w:val="bottom"/>
          </w:tcPr>
          <w:p>
            <w:pPr>
              <w:spacing w:after="0"/>
              <w:rPr>
                <w:color w:val="auto"/>
                <w:sz w:val="11"/>
                <w:szCs w:val="11"/>
              </w:rPr>
            </w:pPr>
          </w:p>
        </w:tc>
        <w:tc>
          <w:tcPr>
            <w:tcW w:w="1620" w:type="dxa"/>
            <w:vAlign w:val="bottom"/>
          </w:tcPr>
          <w:p>
            <w:pPr>
              <w:spacing w:after="0" w:line="132" w:lineRule="exact"/>
              <w:jc w:val="center"/>
              <w:rPr>
                <w:color w:val="auto"/>
                <w:sz w:val="20"/>
                <w:szCs w:val="20"/>
              </w:rPr>
            </w:pPr>
            <w:r>
              <w:rPr>
                <w:rFonts w:ascii="Calibri" w:eastAsia="Calibri" w:hAnsi="Calibri" w:cs="Calibri"/>
                <w:b/>
                <w:bCs/>
                <w:color w:val="auto"/>
                <w:w w:val="97"/>
                <w:sz w:val="12"/>
                <w:szCs w:val="12"/>
              </w:rPr>
              <w:t>be Sold Pursuant to Trading</w:t>
            </w:r>
          </w:p>
        </w:tc>
        <w:tc>
          <w:tcPr>
            <w:tcW w:w="1820" w:type="dxa"/>
            <w:vAlign w:val="bottom"/>
          </w:tcPr>
          <w:p>
            <w:pPr>
              <w:spacing w:after="0"/>
              <w:rPr>
                <w:color w:val="auto"/>
                <w:sz w:val="11"/>
                <w:szCs w:val="11"/>
              </w:rPr>
            </w:pPr>
          </w:p>
        </w:tc>
        <w:tc>
          <w:tcPr>
            <w:tcW w:w="1" w:type="dxa"/>
            <w:vAlign w:val="bottom"/>
          </w:tcPr>
          <w:p>
            <w:pPr>
              <w:spacing w:after="0"/>
              <w:rPr>
                <w:color w:val="auto"/>
                <w:sz w:val="1"/>
                <w:szCs w:val="1"/>
              </w:rPr>
            </w:pPr>
          </w:p>
        </w:tc>
      </w:tr>
      <w:tr>
        <w:tblPrEx>
          <w:tblInd w:w="0" w:type="dxa"/>
          <w:tblLayout w:type="fixed"/>
        </w:tblPrEx>
        <w:trPr>
          <w:trHeight w:val="180"/>
        </w:trPr>
        <w:tc>
          <w:tcPr>
            <w:tcW w:w="3260" w:type="dxa"/>
            <w:tcBorders>
              <w:bottom w:val="single" w:sz="8" w:space="0" w:color="auto"/>
            </w:tcBorders>
            <w:vAlign w:val="bottom"/>
          </w:tcPr>
          <w:p>
            <w:pPr>
              <w:spacing w:after="0" w:line="146" w:lineRule="exact"/>
              <w:ind w:left="401"/>
              <w:jc w:val="center"/>
              <w:rPr>
                <w:color w:val="auto"/>
                <w:sz w:val="20"/>
                <w:szCs w:val="20"/>
              </w:rPr>
            </w:pPr>
            <w:r>
              <w:rPr>
                <w:rFonts w:ascii="Calibri" w:eastAsia="Calibri" w:hAnsi="Calibri" w:cs="Calibri"/>
                <w:b/>
                <w:bCs/>
                <w:color w:val="auto"/>
                <w:w w:val="97"/>
                <w:sz w:val="12"/>
                <w:szCs w:val="12"/>
              </w:rPr>
              <w:t>Name &amp; Title</w:t>
            </w:r>
          </w:p>
        </w:tc>
        <w:tc>
          <w:tcPr>
            <w:tcW w:w="1720" w:type="dxa"/>
            <w:tcBorders>
              <w:bottom w:val="single" w:sz="8" w:space="0" w:color="auto"/>
            </w:tcBorders>
            <w:vAlign w:val="bottom"/>
          </w:tcPr>
          <w:p>
            <w:pPr>
              <w:spacing w:after="0" w:line="146" w:lineRule="exact"/>
              <w:ind w:left="440"/>
              <w:jc w:val="center"/>
              <w:rPr>
                <w:color w:val="auto"/>
                <w:sz w:val="20"/>
                <w:szCs w:val="20"/>
              </w:rPr>
            </w:pPr>
            <w:r>
              <w:rPr>
                <w:rFonts w:ascii="Calibri" w:eastAsia="Calibri" w:hAnsi="Calibri" w:cs="Calibri"/>
                <w:b/>
                <w:bCs/>
                <w:color w:val="auto"/>
                <w:w w:val="99"/>
                <w:sz w:val="12"/>
                <w:szCs w:val="12"/>
              </w:rPr>
              <w:t>Acton Taken</w:t>
            </w:r>
          </w:p>
        </w:tc>
        <w:tc>
          <w:tcPr>
            <w:tcW w:w="1160" w:type="dxa"/>
            <w:tcBorders>
              <w:bottom w:val="single" w:sz="8" w:space="0" w:color="auto"/>
            </w:tcBorders>
            <w:vAlign w:val="bottom"/>
          </w:tcPr>
          <w:p>
            <w:pPr>
              <w:spacing w:after="0" w:line="146" w:lineRule="exact"/>
              <w:ind w:left="80"/>
              <w:jc w:val="center"/>
              <w:rPr>
                <w:color w:val="auto"/>
                <w:sz w:val="20"/>
                <w:szCs w:val="20"/>
              </w:rPr>
            </w:pPr>
            <w:r>
              <w:rPr>
                <w:rFonts w:ascii="Calibri" w:eastAsia="Calibri" w:hAnsi="Calibri" w:cs="Calibri"/>
                <w:b/>
                <w:bCs/>
                <w:color w:val="auto"/>
                <w:w w:val="94"/>
                <w:sz w:val="12"/>
                <w:szCs w:val="12"/>
              </w:rPr>
              <w:t>Date Adopted</w:t>
            </w:r>
          </w:p>
        </w:tc>
        <w:tc>
          <w:tcPr>
            <w:tcW w:w="1720" w:type="dxa"/>
            <w:tcBorders>
              <w:bottom w:val="single" w:sz="8" w:space="0" w:color="auto"/>
            </w:tcBorders>
            <w:vAlign w:val="bottom"/>
          </w:tcPr>
          <w:p>
            <w:pPr>
              <w:spacing w:after="0" w:line="181" w:lineRule="exact"/>
              <w:ind w:left="60"/>
              <w:jc w:val="center"/>
              <w:rPr>
                <w:color w:val="auto"/>
                <w:sz w:val="20"/>
                <w:szCs w:val="20"/>
              </w:rPr>
            </w:pPr>
            <w:r>
              <w:rPr>
                <w:rFonts w:ascii="Calibri" w:eastAsia="Calibri" w:hAnsi="Calibri" w:cs="Calibri"/>
                <w:b/>
                <w:bCs/>
                <w:color w:val="auto"/>
                <w:w w:val="94"/>
                <w:sz w:val="12"/>
                <w:szCs w:val="12"/>
              </w:rPr>
              <w:t xml:space="preserve">Type of Trading Arrangement </w:t>
            </w:r>
            <w:r>
              <w:rPr>
                <w:rFonts w:ascii="Calibri" w:eastAsia="Calibri" w:hAnsi="Calibri" w:cs="Calibri"/>
                <w:b/>
                <w:bCs/>
                <w:color w:val="auto"/>
                <w:w w:val="94"/>
                <w:sz w:val="15"/>
                <w:szCs w:val="15"/>
                <w:vertAlign w:val="superscript"/>
              </w:rPr>
              <w:t>(1)</w:t>
            </w:r>
          </w:p>
        </w:tc>
        <w:tc>
          <w:tcPr>
            <w:tcW w:w="1620" w:type="dxa"/>
            <w:tcBorders>
              <w:bottom w:val="single" w:sz="8" w:space="0" w:color="auto"/>
            </w:tcBorders>
            <w:vAlign w:val="bottom"/>
          </w:tcPr>
          <w:p>
            <w:pPr>
              <w:spacing w:after="0" w:line="178" w:lineRule="exact"/>
              <w:jc w:val="center"/>
              <w:rPr>
                <w:color w:val="auto"/>
                <w:sz w:val="20"/>
                <w:szCs w:val="20"/>
              </w:rPr>
            </w:pPr>
            <w:r>
              <w:rPr>
                <w:rFonts w:ascii="Calibri" w:eastAsia="Calibri" w:hAnsi="Calibri" w:cs="Calibri"/>
                <w:b/>
                <w:bCs/>
                <w:color w:val="auto"/>
                <w:w w:val="94"/>
                <w:sz w:val="12"/>
                <w:szCs w:val="12"/>
              </w:rPr>
              <w:t xml:space="preserve">Arrangement </w:t>
            </w:r>
            <w:r>
              <w:rPr>
                <w:rFonts w:ascii="Calibri" w:eastAsia="Calibri" w:hAnsi="Calibri" w:cs="Calibri"/>
                <w:b/>
                <w:bCs/>
                <w:color w:val="auto"/>
                <w:w w:val="94"/>
                <w:sz w:val="15"/>
                <w:szCs w:val="15"/>
                <w:vertAlign w:val="superscript"/>
              </w:rPr>
              <w:t>(2)</w:t>
            </w:r>
          </w:p>
        </w:tc>
        <w:tc>
          <w:tcPr>
            <w:tcW w:w="1820" w:type="dxa"/>
            <w:tcBorders>
              <w:bottom w:val="single" w:sz="8" w:space="0" w:color="auto"/>
            </w:tcBorders>
            <w:vAlign w:val="bottom"/>
          </w:tcPr>
          <w:p>
            <w:pPr>
              <w:spacing w:after="0" w:line="181" w:lineRule="exact"/>
              <w:jc w:val="center"/>
              <w:rPr>
                <w:color w:val="auto"/>
                <w:sz w:val="20"/>
                <w:szCs w:val="20"/>
              </w:rPr>
            </w:pPr>
            <w:r>
              <w:rPr>
                <w:rFonts w:ascii="Calibri" w:eastAsia="Calibri" w:hAnsi="Calibri" w:cs="Calibri"/>
                <w:b/>
                <w:bCs/>
                <w:color w:val="auto"/>
                <w:w w:val="97"/>
                <w:sz w:val="12"/>
                <w:szCs w:val="12"/>
              </w:rPr>
              <w:t>Duraton of Trading Arrangement</w:t>
            </w:r>
            <w:r>
              <w:rPr>
                <w:rFonts w:ascii="Calibri" w:eastAsia="Calibri" w:hAnsi="Calibri" w:cs="Calibri"/>
                <w:b/>
                <w:bCs/>
                <w:color w:val="auto"/>
                <w:w w:val="97"/>
                <w:sz w:val="15"/>
                <w:szCs w:val="15"/>
                <w:vertAlign w:val="superscript"/>
              </w:rPr>
              <w:t>(3)</w:t>
            </w:r>
          </w:p>
        </w:tc>
        <w:tc>
          <w:tcPr>
            <w:tcW w:w="1" w:type="dxa"/>
            <w:vAlign w:val="bottom"/>
          </w:tcPr>
          <w:p>
            <w:pPr>
              <w:spacing w:after="0"/>
              <w:rPr>
                <w:color w:val="auto"/>
                <w:sz w:val="1"/>
                <w:szCs w:val="1"/>
              </w:rPr>
            </w:pPr>
          </w:p>
        </w:tc>
      </w:tr>
      <w:tr>
        <w:tblPrEx>
          <w:tblInd w:w="0" w:type="dxa"/>
          <w:tblLayout w:type="fixed"/>
        </w:tblPrEx>
        <w:trPr>
          <w:trHeight w:val="100"/>
        </w:trPr>
        <w:tc>
          <w:tcPr>
            <w:tcW w:w="3260" w:type="dxa"/>
            <w:shd w:val="clear" w:color="auto" w:fill="CCEEFF"/>
            <w:vAlign w:val="bottom"/>
          </w:tcPr>
          <w:p>
            <w:pPr>
              <w:spacing w:after="0" w:line="100" w:lineRule="exact"/>
              <w:ind w:left="401"/>
              <w:jc w:val="center"/>
              <w:rPr>
                <w:color w:val="auto"/>
                <w:sz w:val="20"/>
                <w:szCs w:val="20"/>
              </w:rPr>
            </w:pPr>
            <w:r>
              <w:rPr>
                <w:rFonts w:ascii="Calibri" w:eastAsia="Calibri" w:hAnsi="Calibri" w:cs="Calibri"/>
                <w:color w:val="auto"/>
                <w:sz w:val="10"/>
                <w:szCs w:val="10"/>
              </w:rPr>
              <w:t>Perry C. Siats</w:t>
            </w:r>
          </w:p>
        </w:tc>
        <w:tc>
          <w:tcPr>
            <w:tcW w:w="1720" w:type="dxa"/>
            <w:shd w:val="clear" w:color="auto" w:fill="CCEEFF"/>
            <w:vAlign w:val="bottom"/>
          </w:tcPr>
          <w:p>
            <w:pPr>
              <w:spacing w:after="0"/>
              <w:rPr>
                <w:color w:val="auto"/>
                <w:sz w:val="8"/>
                <w:szCs w:val="8"/>
              </w:rPr>
            </w:pPr>
          </w:p>
        </w:tc>
        <w:tc>
          <w:tcPr>
            <w:tcW w:w="1160" w:type="dxa"/>
            <w:shd w:val="clear" w:color="auto" w:fill="CCEEFF"/>
            <w:vAlign w:val="bottom"/>
          </w:tcPr>
          <w:p>
            <w:pPr>
              <w:spacing w:after="0"/>
              <w:rPr>
                <w:color w:val="auto"/>
                <w:sz w:val="8"/>
                <w:szCs w:val="8"/>
              </w:rPr>
            </w:pPr>
          </w:p>
        </w:tc>
        <w:tc>
          <w:tcPr>
            <w:tcW w:w="1720" w:type="dxa"/>
            <w:shd w:val="clear" w:color="auto" w:fill="CCEEFF"/>
            <w:vAlign w:val="bottom"/>
          </w:tcPr>
          <w:p>
            <w:pPr>
              <w:spacing w:after="0"/>
              <w:rPr>
                <w:color w:val="auto"/>
                <w:sz w:val="8"/>
                <w:szCs w:val="8"/>
              </w:rPr>
            </w:pPr>
          </w:p>
        </w:tc>
        <w:tc>
          <w:tcPr>
            <w:tcW w:w="1620" w:type="dxa"/>
            <w:shd w:val="clear" w:color="auto" w:fill="CCEEFF"/>
            <w:vAlign w:val="bottom"/>
          </w:tcPr>
          <w:p>
            <w:pPr>
              <w:spacing w:after="0"/>
              <w:rPr>
                <w:color w:val="auto"/>
                <w:sz w:val="8"/>
                <w:szCs w:val="8"/>
              </w:rPr>
            </w:pPr>
          </w:p>
        </w:tc>
        <w:tc>
          <w:tcPr>
            <w:tcW w:w="1820" w:type="dxa"/>
            <w:shd w:val="clear" w:color="auto" w:fill="CCEEFF"/>
            <w:vAlign w:val="bottom"/>
          </w:tcPr>
          <w:p>
            <w:pPr>
              <w:spacing w:after="0"/>
              <w:rPr>
                <w:color w:val="auto"/>
                <w:sz w:val="8"/>
                <w:szCs w:val="8"/>
              </w:rPr>
            </w:pPr>
          </w:p>
        </w:tc>
        <w:tc>
          <w:tcPr>
            <w:tcW w:w="1" w:type="dxa"/>
            <w:vAlign w:val="bottom"/>
          </w:tcPr>
          <w:p>
            <w:pPr>
              <w:spacing w:after="0"/>
              <w:rPr>
                <w:color w:val="auto"/>
                <w:sz w:val="1"/>
                <w:szCs w:val="1"/>
              </w:rPr>
            </w:pPr>
          </w:p>
        </w:tc>
      </w:tr>
      <w:tr>
        <w:tblPrEx>
          <w:tblInd w:w="0" w:type="dxa"/>
          <w:tblLayout w:type="fixed"/>
        </w:tblPrEx>
        <w:trPr>
          <w:trHeight w:val="126"/>
        </w:trPr>
        <w:tc>
          <w:tcPr>
            <w:tcW w:w="3260" w:type="dxa"/>
            <w:shd w:val="clear" w:color="auto" w:fill="CCEEFF"/>
            <w:vAlign w:val="bottom"/>
          </w:tcPr>
          <w:p>
            <w:pPr>
              <w:spacing w:after="0" w:line="126" w:lineRule="exact"/>
              <w:ind w:left="401"/>
              <w:jc w:val="center"/>
              <w:rPr>
                <w:color w:val="auto"/>
                <w:sz w:val="20"/>
                <w:szCs w:val="20"/>
              </w:rPr>
            </w:pPr>
            <w:r>
              <w:rPr>
                <w:rFonts w:ascii="Calibri" w:eastAsia="Calibri" w:hAnsi="Calibri" w:cs="Calibri"/>
                <w:color w:val="auto"/>
                <w:sz w:val="12"/>
                <w:szCs w:val="12"/>
              </w:rPr>
              <w:t>Executve Vice President,</w:t>
            </w:r>
          </w:p>
        </w:tc>
        <w:tc>
          <w:tcPr>
            <w:tcW w:w="1720" w:type="dxa"/>
            <w:shd w:val="clear" w:color="auto" w:fill="CCEEFF"/>
            <w:vAlign w:val="bottom"/>
          </w:tcPr>
          <w:p>
            <w:pPr>
              <w:spacing w:after="0"/>
              <w:rPr>
                <w:color w:val="auto"/>
                <w:sz w:val="10"/>
                <w:szCs w:val="10"/>
              </w:rPr>
            </w:pPr>
          </w:p>
        </w:tc>
        <w:tc>
          <w:tcPr>
            <w:tcW w:w="1160" w:type="dxa"/>
            <w:shd w:val="clear" w:color="auto" w:fill="CCEEFF"/>
            <w:vAlign w:val="bottom"/>
          </w:tcPr>
          <w:p>
            <w:pPr>
              <w:spacing w:after="0"/>
              <w:rPr>
                <w:color w:val="auto"/>
                <w:sz w:val="10"/>
                <w:szCs w:val="10"/>
              </w:rPr>
            </w:pPr>
          </w:p>
        </w:tc>
        <w:tc>
          <w:tcPr>
            <w:tcW w:w="1720" w:type="dxa"/>
            <w:vMerge w:val="restart"/>
            <w:shd w:val="clear" w:color="auto" w:fill="CCEEFF"/>
            <w:vAlign w:val="bottom"/>
          </w:tcPr>
          <w:p>
            <w:pPr>
              <w:spacing w:after="0"/>
              <w:ind w:left="60"/>
              <w:jc w:val="center"/>
              <w:rPr>
                <w:color w:val="auto"/>
                <w:sz w:val="20"/>
                <w:szCs w:val="20"/>
              </w:rPr>
            </w:pPr>
            <w:r>
              <w:rPr>
                <w:rFonts w:ascii="Calibri" w:eastAsia="Calibri" w:hAnsi="Calibri" w:cs="Calibri"/>
                <w:color w:val="auto"/>
                <w:w w:val="97"/>
                <w:sz w:val="12"/>
                <w:szCs w:val="12"/>
              </w:rPr>
              <w:t>Rule 10b5-1 Trading</w:t>
            </w:r>
          </w:p>
        </w:tc>
        <w:tc>
          <w:tcPr>
            <w:tcW w:w="1620" w:type="dxa"/>
            <w:shd w:val="clear" w:color="auto" w:fill="CCEEFF"/>
            <w:vAlign w:val="bottom"/>
          </w:tcPr>
          <w:p>
            <w:pPr>
              <w:spacing w:after="0"/>
              <w:rPr>
                <w:color w:val="auto"/>
                <w:sz w:val="10"/>
                <w:szCs w:val="10"/>
              </w:rPr>
            </w:pPr>
          </w:p>
        </w:tc>
        <w:tc>
          <w:tcPr>
            <w:tcW w:w="1820" w:type="dxa"/>
            <w:shd w:val="clear" w:color="auto" w:fill="CCEEFF"/>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114"/>
        </w:trPr>
        <w:tc>
          <w:tcPr>
            <w:tcW w:w="3260" w:type="dxa"/>
            <w:shd w:val="clear" w:color="auto" w:fill="CCEEFF"/>
            <w:vAlign w:val="bottom"/>
          </w:tcPr>
          <w:p>
            <w:pPr>
              <w:spacing w:after="0" w:line="114" w:lineRule="exact"/>
              <w:ind w:left="381"/>
              <w:jc w:val="center"/>
              <w:rPr>
                <w:color w:val="auto"/>
                <w:sz w:val="20"/>
                <w:szCs w:val="20"/>
              </w:rPr>
            </w:pPr>
            <w:r>
              <w:rPr>
                <w:rFonts w:ascii="Calibri" w:eastAsia="Calibri" w:hAnsi="Calibri" w:cs="Calibri"/>
                <w:color w:val="auto"/>
                <w:w w:val="96"/>
                <w:sz w:val="12"/>
                <w:szCs w:val="12"/>
              </w:rPr>
              <w:t>General Counsel and</w:t>
            </w:r>
          </w:p>
        </w:tc>
        <w:tc>
          <w:tcPr>
            <w:tcW w:w="1720" w:type="dxa"/>
            <w:shd w:val="clear" w:color="auto" w:fill="CCEEFF"/>
            <w:vAlign w:val="bottom"/>
          </w:tcPr>
          <w:p>
            <w:pPr>
              <w:spacing w:after="0"/>
              <w:rPr>
                <w:color w:val="auto"/>
                <w:sz w:val="9"/>
                <w:szCs w:val="9"/>
              </w:rPr>
            </w:pPr>
          </w:p>
        </w:tc>
        <w:tc>
          <w:tcPr>
            <w:tcW w:w="1160" w:type="dxa"/>
            <w:shd w:val="clear" w:color="auto" w:fill="CCEEFF"/>
            <w:vAlign w:val="bottom"/>
          </w:tcPr>
          <w:p>
            <w:pPr>
              <w:spacing w:after="0"/>
              <w:rPr>
                <w:color w:val="auto"/>
                <w:sz w:val="9"/>
                <w:szCs w:val="9"/>
              </w:rPr>
            </w:pPr>
          </w:p>
        </w:tc>
        <w:tc>
          <w:tcPr>
            <w:tcW w:w="1720" w:type="dxa"/>
            <w:vMerge/>
            <w:shd w:val="clear" w:color="auto" w:fill="CCEEFF"/>
            <w:vAlign w:val="bottom"/>
          </w:tcPr>
          <w:p>
            <w:pPr>
              <w:spacing w:after="0"/>
              <w:rPr>
                <w:color w:val="auto"/>
                <w:sz w:val="9"/>
                <w:szCs w:val="9"/>
              </w:rPr>
            </w:pPr>
          </w:p>
        </w:tc>
        <w:tc>
          <w:tcPr>
            <w:tcW w:w="1620" w:type="dxa"/>
            <w:shd w:val="clear" w:color="auto" w:fill="CCEEFF"/>
            <w:vAlign w:val="bottom"/>
          </w:tcPr>
          <w:p>
            <w:pPr>
              <w:spacing w:after="0"/>
              <w:rPr>
                <w:color w:val="auto"/>
                <w:sz w:val="9"/>
                <w:szCs w:val="9"/>
              </w:rPr>
            </w:pPr>
          </w:p>
        </w:tc>
        <w:tc>
          <w:tcPr>
            <w:tcW w:w="1820" w:type="dxa"/>
            <w:shd w:val="clear" w:color="auto" w:fill="CCEEFF"/>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162"/>
        </w:trPr>
        <w:tc>
          <w:tcPr>
            <w:tcW w:w="3260" w:type="dxa"/>
            <w:shd w:val="clear" w:color="auto" w:fill="CCEEFF"/>
            <w:vAlign w:val="bottom"/>
          </w:tcPr>
          <w:p>
            <w:pPr>
              <w:spacing w:after="0" w:line="145" w:lineRule="exact"/>
              <w:ind w:left="401"/>
              <w:jc w:val="center"/>
              <w:rPr>
                <w:color w:val="auto"/>
                <w:sz w:val="20"/>
                <w:szCs w:val="20"/>
              </w:rPr>
            </w:pPr>
            <w:r>
              <w:rPr>
                <w:rFonts w:ascii="Calibri" w:eastAsia="Calibri" w:hAnsi="Calibri" w:cs="Calibri"/>
                <w:color w:val="auto"/>
                <w:w w:val="95"/>
                <w:sz w:val="12"/>
                <w:szCs w:val="12"/>
              </w:rPr>
              <w:t>Secretary</w:t>
            </w:r>
          </w:p>
        </w:tc>
        <w:tc>
          <w:tcPr>
            <w:tcW w:w="1720" w:type="dxa"/>
            <w:shd w:val="clear" w:color="auto" w:fill="CCEEFF"/>
            <w:vAlign w:val="bottom"/>
          </w:tcPr>
          <w:p>
            <w:pPr>
              <w:spacing w:after="0" w:line="145" w:lineRule="exact"/>
              <w:ind w:left="420"/>
              <w:jc w:val="center"/>
              <w:rPr>
                <w:color w:val="auto"/>
                <w:sz w:val="20"/>
                <w:szCs w:val="20"/>
              </w:rPr>
            </w:pPr>
            <w:r>
              <w:rPr>
                <w:rFonts w:ascii="Calibri" w:eastAsia="Calibri" w:hAnsi="Calibri" w:cs="Calibri"/>
                <w:color w:val="auto"/>
                <w:sz w:val="12"/>
                <w:szCs w:val="12"/>
              </w:rPr>
              <w:t>Adopton</w:t>
            </w:r>
          </w:p>
        </w:tc>
        <w:tc>
          <w:tcPr>
            <w:tcW w:w="1160" w:type="dxa"/>
            <w:shd w:val="clear" w:color="auto" w:fill="CCEEFF"/>
            <w:vAlign w:val="bottom"/>
          </w:tcPr>
          <w:p>
            <w:pPr>
              <w:spacing w:after="0" w:line="145" w:lineRule="exact"/>
              <w:ind w:left="80"/>
              <w:jc w:val="center"/>
              <w:rPr>
                <w:color w:val="auto"/>
                <w:sz w:val="20"/>
                <w:szCs w:val="20"/>
              </w:rPr>
            </w:pPr>
            <w:r>
              <w:rPr>
                <w:rFonts w:ascii="Calibri" w:eastAsia="Calibri" w:hAnsi="Calibri" w:cs="Calibri"/>
                <w:color w:val="auto"/>
                <w:sz w:val="12"/>
                <w:szCs w:val="12"/>
              </w:rPr>
              <w:t>11/19/2024</w:t>
            </w:r>
          </w:p>
        </w:tc>
        <w:tc>
          <w:tcPr>
            <w:tcW w:w="1720" w:type="dxa"/>
            <w:shd w:val="clear" w:color="auto" w:fill="CCEEFF"/>
            <w:vAlign w:val="bottom"/>
          </w:tcPr>
          <w:p>
            <w:pPr>
              <w:spacing w:after="0" w:line="142" w:lineRule="exact"/>
              <w:ind w:left="60"/>
              <w:jc w:val="center"/>
              <w:rPr>
                <w:color w:val="auto"/>
                <w:sz w:val="20"/>
                <w:szCs w:val="20"/>
              </w:rPr>
            </w:pPr>
            <w:r>
              <w:rPr>
                <w:rFonts w:ascii="Calibri" w:eastAsia="Calibri" w:hAnsi="Calibri" w:cs="Calibri"/>
                <w:color w:val="auto"/>
                <w:w w:val="98"/>
                <w:sz w:val="12"/>
                <w:szCs w:val="12"/>
              </w:rPr>
              <w:t>Arrangement</w:t>
            </w:r>
          </w:p>
        </w:tc>
        <w:tc>
          <w:tcPr>
            <w:tcW w:w="1620" w:type="dxa"/>
            <w:shd w:val="clear" w:color="auto" w:fill="CCEEFF"/>
            <w:vAlign w:val="bottom"/>
          </w:tcPr>
          <w:p>
            <w:pPr>
              <w:spacing w:after="0" w:line="145" w:lineRule="exact"/>
              <w:jc w:val="center"/>
              <w:rPr>
                <w:color w:val="auto"/>
                <w:sz w:val="20"/>
                <w:szCs w:val="20"/>
              </w:rPr>
            </w:pPr>
            <w:r>
              <w:rPr>
                <w:rFonts w:ascii="Calibri" w:eastAsia="Calibri" w:hAnsi="Calibri" w:cs="Calibri"/>
                <w:color w:val="auto"/>
                <w:w w:val="97"/>
                <w:sz w:val="12"/>
                <w:szCs w:val="12"/>
              </w:rPr>
              <w:t>Up to 48,568 Shares to be Sold</w:t>
            </w:r>
          </w:p>
        </w:tc>
        <w:tc>
          <w:tcPr>
            <w:tcW w:w="1820" w:type="dxa"/>
            <w:shd w:val="clear" w:color="auto" w:fill="CCEEFF"/>
            <w:vAlign w:val="bottom"/>
          </w:tcPr>
          <w:p>
            <w:pPr>
              <w:spacing w:after="0" w:line="145" w:lineRule="exact"/>
              <w:jc w:val="center"/>
              <w:rPr>
                <w:color w:val="auto"/>
                <w:sz w:val="20"/>
                <w:szCs w:val="20"/>
              </w:rPr>
            </w:pPr>
            <w:r>
              <w:rPr>
                <w:rFonts w:ascii="Calibri" w:eastAsia="Calibri" w:hAnsi="Calibri" w:cs="Calibri"/>
                <w:color w:val="auto"/>
                <w:sz w:val="12"/>
                <w:szCs w:val="12"/>
              </w:rPr>
              <w:t>11/19/2025</w:t>
            </w:r>
          </w:p>
        </w:tc>
        <w:tc>
          <w:tcPr>
            <w:tcW w:w="1" w:type="dxa"/>
            <w:vAlign w:val="bottom"/>
          </w:tcPr>
          <w:p>
            <w:pPr>
              <w:spacing w:after="0"/>
              <w:rPr>
                <w:color w:val="auto"/>
                <w:sz w:val="1"/>
                <w:szCs w:val="1"/>
              </w:rPr>
            </w:pPr>
          </w:p>
        </w:tc>
      </w:tr>
      <w:tr>
        <w:tblPrEx>
          <w:tblInd w:w="0" w:type="dxa"/>
          <w:tblLayout w:type="fixed"/>
        </w:tblPrEx>
        <w:trPr>
          <w:trHeight w:val="111"/>
        </w:trPr>
        <w:tc>
          <w:tcPr>
            <w:tcW w:w="3260" w:type="dxa"/>
            <w:vAlign w:val="bottom"/>
          </w:tcPr>
          <w:p>
            <w:pPr>
              <w:spacing w:after="0" w:line="111" w:lineRule="exact"/>
              <w:ind w:left="401"/>
              <w:jc w:val="center"/>
              <w:rPr>
                <w:color w:val="auto"/>
                <w:sz w:val="20"/>
                <w:szCs w:val="20"/>
              </w:rPr>
            </w:pPr>
            <w:r>
              <w:rPr>
                <w:rFonts w:ascii="Calibri" w:eastAsia="Calibri" w:hAnsi="Calibri" w:cs="Calibri"/>
                <w:color w:val="auto"/>
                <w:w w:val="98"/>
                <w:sz w:val="12"/>
                <w:szCs w:val="12"/>
              </w:rPr>
              <w:t>Timothy J. Richmond</w:t>
            </w:r>
          </w:p>
        </w:tc>
        <w:tc>
          <w:tcPr>
            <w:tcW w:w="1720" w:type="dxa"/>
            <w:vAlign w:val="bottom"/>
          </w:tcPr>
          <w:p>
            <w:pPr>
              <w:spacing w:after="0"/>
              <w:rPr>
                <w:color w:val="auto"/>
                <w:sz w:val="9"/>
                <w:szCs w:val="9"/>
              </w:rPr>
            </w:pPr>
          </w:p>
        </w:tc>
        <w:tc>
          <w:tcPr>
            <w:tcW w:w="1160" w:type="dxa"/>
            <w:vAlign w:val="bottom"/>
          </w:tcPr>
          <w:p>
            <w:pPr>
              <w:spacing w:after="0"/>
              <w:rPr>
                <w:color w:val="auto"/>
                <w:sz w:val="9"/>
                <w:szCs w:val="9"/>
              </w:rPr>
            </w:pPr>
          </w:p>
        </w:tc>
        <w:tc>
          <w:tcPr>
            <w:tcW w:w="1720" w:type="dxa"/>
            <w:vAlign w:val="bottom"/>
          </w:tcPr>
          <w:p>
            <w:pPr>
              <w:spacing w:after="0"/>
              <w:rPr>
                <w:color w:val="auto"/>
                <w:sz w:val="9"/>
                <w:szCs w:val="9"/>
              </w:rPr>
            </w:pPr>
          </w:p>
        </w:tc>
        <w:tc>
          <w:tcPr>
            <w:tcW w:w="1620" w:type="dxa"/>
            <w:vAlign w:val="bottom"/>
          </w:tcPr>
          <w:p>
            <w:pPr>
              <w:spacing w:after="0"/>
              <w:rPr>
                <w:color w:val="auto"/>
                <w:sz w:val="9"/>
                <w:szCs w:val="9"/>
              </w:rPr>
            </w:pPr>
          </w:p>
        </w:tc>
        <w:tc>
          <w:tcPr>
            <w:tcW w:w="1820" w:type="dxa"/>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126"/>
        </w:trPr>
        <w:tc>
          <w:tcPr>
            <w:tcW w:w="3260" w:type="dxa"/>
            <w:vAlign w:val="bottom"/>
          </w:tcPr>
          <w:p>
            <w:pPr>
              <w:spacing w:after="0" w:line="126" w:lineRule="exact"/>
              <w:ind w:left="401"/>
              <w:jc w:val="center"/>
              <w:rPr>
                <w:color w:val="auto"/>
                <w:sz w:val="20"/>
                <w:szCs w:val="20"/>
              </w:rPr>
            </w:pPr>
            <w:r>
              <w:rPr>
                <w:rFonts w:ascii="Calibri" w:eastAsia="Calibri" w:hAnsi="Calibri" w:cs="Calibri"/>
                <w:color w:val="auto"/>
                <w:sz w:val="12"/>
                <w:szCs w:val="12"/>
              </w:rPr>
              <w:t>Executve Vice President,</w:t>
            </w:r>
          </w:p>
        </w:tc>
        <w:tc>
          <w:tcPr>
            <w:tcW w:w="1720" w:type="dxa"/>
            <w:vAlign w:val="bottom"/>
          </w:tcPr>
          <w:p>
            <w:pPr>
              <w:spacing w:after="0"/>
              <w:rPr>
                <w:color w:val="auto"/>
                <w:sz w:val="10"/>
                <w:szCs w:val="10"/>
              </w:rPr>
            </w:pPr>
          </w:p>
        </w:tc>
        <w:tc>
          <w:tcPr>
            <w:tcW w:w="1160" w:type="dxa"/>
            <w:vAlign w:val="bottom"/>
          </w:tcPr>
          <w:p>
            <w:pPr>
              <w:spacing w:after="0"/>
              <w:rPr>
                <w:color w:val="auto"/>
                <w:sz w:val="10"/>
                <w:szCs w:val="10"/>
              </w:rPr>
            </w:pPr>
          </w:p>
        </w:tc>
        <w:tc>
          <w:tcPr>
            <w:tcW w:w="1720" w:type="dxa"/>
            <w:vMerge w:val="restart"/>
            <w:vAlign w:val="bottom"/>
          </w:tcPr>
          <w:p>
            <w:pPr>
              <w:spacing w:after="0"/>
              <w:ind w:left="60"/>
              <w:jc w:val="center"/>
              <w:rPr>
                <w:color w:val="auto"/>
                <w:sz w:val="20"/>
                <w:szCs w:val="20"/>
              </w:rPr>
            </w:pPr>
            <w:r>
              <w:rPr>
                <w:rFonts w:ascii="Calibri" w:eastAsia="Calibri" w:hAnsi="Calibri" w:cs="Calibri"/>
                <w:color w:val="auto"/>
                <w:w w:val="97"/>
                <w:sz w:val="12"/>
                <w:szCs w:val="12"/>
              </w:rPr>
              <w:t>Rule 10b5-1 Trading</w:t>
            </w:r>
          </w:p>
        </w:tc>
        <w:tc>
          <w:tcPr>
            <w:tcW w:w="1620" w:type="dxa"/>
            <w:vAlign w:val="bottom"/>
          </w:tcPr>
          <w:p>
            <w:pPr>
              <w:spacing w:after="0"/>
              <w:rPr>
                <w:color w:val="auto"/>
                <w:sz w:val="10"/>
                <w:szCs w:val="10"/>
              </w:rPr>
            </w:pPr>
          </w:p>
        </w:tc>
        <w:tc>
          <w:tcPr>
            <w:tcW w:w="1820" w:type="dxa"/>
            <w:vAlign w:val="bottom"/>
          </w:tcPr>
          <w:p>
            <w:pPr>
              <w:spacing w:after="0"/>
              <w:rPr>
                <w:color w:val="auto"/>
                <w:sz w:val="10"/>
                <w:szCs w:val="10"/>
              </w:rPr>
            </w:pPr>
          </w:p>
        </w:tc>
        <w:tc>
          <w:tcPr>
            <w:tcW w:w="1" w:type="dxa"/>
            <w:vAlign w:val="bottom"/>
          </w:tcPr>
          <w:p>
            <w:pPr>
              <w:spacing w:after="0"/>
              <w:rPr>
                <w:color w:val="auto"/>
                <w:sz w:val="1"/>
                <w:szCs w:val="1"/>
              </w:rPr>
            </w:pPr>
          </w:p>
        </w:tc>
      </w:tr>
      <w:tr>
        <w:tblPrEx>
          <w:tblInd w:w="0" w:type="dxa"/>
          <w:tblLayout w:type="fixed"/>
        </w:tblPrEx>
        <w:trPr>
          <w:trHeight w:val="114"/>
        </w:trPr>
        <w:tc>
          <w:tcPr>
            <w:tcW w:w="3260" w:type="dxa"/>
            <w:vAlign w:val="bottom"/>
          </w:tcPr>
          <w:p>
            <w:pPr>
              <w:spacing w:after="0" w:line="114" w:lineRule="exact"/>
              <w:ind w:left="401"/>
              <w:jc w:val="center"/>
              <w:rPr>
                <w:color w:val="auto"/>
                <w:sz w:val="20"/>
                <w:szCs w:val="20"/>
              </w:rPr>
            </w:pPr>
            <w:r>
              <w:rPr>
                <w:rFonts w:ascii="Calibri" w:eastAsia="Calibri" w:hAnsi="Calibri" w:cs="Calibri"/>
                <w:color w:val="auto"/>
                <w:w w:val="96"/>
                <w:sz w:val="12"/>
                <w:szCs w:val="12"/>
              </w:rPr>
              <w:t>Chief Human Resources</w:t>
            </w:r>
          </w:p>
        </w:tc>
        <w:tc>
          <w:tcPr>
            <w:tcW w:w="1720" w:type="dxa"/>
            <w:vAlign w:val="bottom"/>
          </w:tcPr>
          <w:p>
            <w:pPr>
              <w:spacing w:after="0"/>
              <w:rPr>
                <w:color w:val="auto"/>
                <w:sz w:val="9"/>
                <w:szCs w:val="9"/>
              </w:rPr>
            </w:pPr>
          </w:p>
        </w:tc>
        <w:tc>
          <w:tcPr>
            <w:tcW w:w="1160" w:type="dxa"/>
            <w:vAlign w:val="bottom"/>
          </w:tcPr>
          <w:p>
            <w:pPr>
              <w:spacing w:after="0"/>
              <w:rPr>
                <w:color w:val="auto"/>
                <w:sz w:val="9"/>
                <w:szCs w:val="9"/>
              </w:rPr>
            </w:pPr>
          </w:p>
        </w:tc>
        <w:tc>
          <w:tcPr>
            <w:tcW w:w="1720" w:type="dxa"/>
            <w:vMerge/>
            <w:vAlign w:val="bottom"/>
          </w:tcPr>
          <w:p>
            <w:pPr>
              <w:spacing w:after="0"/>
              <w:rPr>
                <w:color w:val="auto"/>
                <w:sz w:val="9"/>
                <w:szCs w:val="9"/>
              </w:rPr>
            </w:pPr>
          </w:p>
        </w:tc>
        <w:tc>
          <w:tcPr>
            <w:tcW w:w="1620" w:type="dxa"/>
            <w:vAlign w:val="bottom"/>
          </w:tcPr>
          <w:p>
            <w:pPr>
              <w:spacing w:after="0"/>
              <w:rPr>
                <w:color w:val="auto"/>
                <w:sz w:val="9"/>
                <w:szCs w:val="9"/>
              </w:rPr>
            </w:pPr>
          </w:p>
        </w:tc>
        <w:tc>
          <w:tcPr>
            <w:tcW w:w="1820" w:type="dxa"/>
            <w:vAlign w:val="bottom"/>
          </w:tcPr>
          <w:p>
            <w:pPr>
              <w:spacing w:after="0"/>
              <w:rPr>
                <w:color w:val="auto"/>
                <w:sz w:val="9"/>
                <w:szCs w:val="9"/>
              </w:rPr>
            </w:pPr>
          </w:p>
        </w:tc>
        <w:tc>
          <w:tcPr>
            <w:tcW w:w="1" w:type="dxa"/>
            <w:vAlign w:val="bottom"/>
          </w:tcPr>
          <w:p>
            <w:pPr>
              <w:spacing w:after="0"/>
              <w:rPr>
                <w:color w:val="auto"/>
                <w:sz w:val="1"/>
                <w:szCs w:val="1"/>
              </w:rPr>
            </w:pPr>
          </w:p>
        </w:tc>
      </w:tr>
      <w:tr>
        <w:tblPrEx>
          <w:tblInd w:w="0" w:type="dxa"/>
          <w:tblLayout w:type="fixed"/>
        </w:tblPrEx>
        <w:trPr>
          <w:trHeight w:val="154"/>
        </w:trPr>
        <w:tc>
          <w:tcPr>
            <w:tcW w:w="3260" w:type="dxa"/>
            <w:tcBorders>
              <w:bottom w:val="single" w:sz="8" w:space="0" w:color="auto"/>
            </w:tcBorders>
            <w:vAlign w:val="bottom"/>
          </w:tcPr>
          <w:p>
            <w:pPr>
              <w:spacing w:after="0" w:line="145" w:lineRule="exact"/>
              <w:ind w:left="401"/>
              <w:jc w:val="center"/>
              <w:rPr>
                <w:color w:val="auto"/>
                <w:sz w:val="20"/>
                <w:szCs w:val="20"/>
              </w:rPr>
            </w:pPr>
            <w:r>
              <w:rPr>
                <w:rFonts w:ascii="Calibri" w:eastAsia="Calibri" w:hAnsi="Calibri" w:cs="Calibri"/>
                <w:color w:val="auto"/>
                <w:sz w:val="12"/>
                <w:szCs w:val="12"/>
              </w:rPr>
              <w:t>Ofcer</w:t>
            </w:r>
          </w:p>
        </w:tc>
        <w:tc>
          <w:tcPr>
            <w:tcW w:w="1720" w:type="dxa"/>
            <w:tcBorders>
              <w:bottom w:val="single" w:sz="8" w:space="0" w:color="auto"/>
            </w:tcBorders>
            <w:vAlign w:val="bottom"/>
          </w:tcPr>
          <w:p>
            <w:pPr>
              <w:spacing w:after="0" w:line="145" w:lineRule="exact"/>
              <w:ind w:left="420"/>
              <w:jc w:val="center"/>
              <w:rPr>
                <w:color w:val="auto"/>
                <w:sz w:val="20"/>
                <w:szCs w:val="20"/>
              </w:rPr>
            </w:pPr>
            <w:r>
              <w:rPr>
                <w:rFonts w:ascii="Calibri" w:eastAsia="Calibri" w:hAnsi="Calibri" w:cs="Calibri"/>
                <w:color w:val="auto"/>
                <w:sz w:val="12"/>
                <w:szCs w:val="12"/>
              </w:rPr>
              <w:t>Adopton</w:t>
            </w:r>
          </w:p>
        </w:tc>
        <w:tc>
          <w:tcPr>
            <w:tcW w:w="1160" w:type="dxa"/>
            <w:tcBorders>
              <w:bottom w:val="single" w:sz="8" w:space="0" w:color="auto"/>
            </w:tcBorders>
            <w:vAlign w:val="bottom"/>
          </w:tcPr>
          <w:p>
            <w:pPr>
              <w:spacing w:after="0" w:line="145" w:lineRule="exact"/>
              <w:ind w:left="80"/>
              <w:jc w:val="center"/>
              <w:rPr>
                <w:color w:val="auto"/>
                <w:sz w:val="20"/>
                <w:szCs w:val="20"/>
              </w:rPr>
            </w:pPr>
            <w:r>
              <w:rPr>
                <w:rFonts w:ascii="Calibri" w:eastAsia="Calibri" w:hAnsi="Calibri" w:cs="Calibri"/>
                <w:color w:val="auto"/>
                <w:sz w:val="12"/>
                <w:szCs w:val="12"/>
              </w:rPr>
              <w:t>11/27/2024</w:t>
            </w:r>
          </w:p>
        </w:tc>
        <w:tc>
          <w:tcPr>
            <w:tcW w:w="1720" w:type="dxa"/>
            <w:tcBorders>
              <w:bottom w:val="single" w:sz="8" w:space="0" w:color="auto"/>
            </w:tcBorders>
            <w:vAlign w:val="bottom"/>
          </w:tcPr>
          <w:p>
            <w:pPr>
              <w:spacing w:after="0" w:line="142" w:lineRule="exact"/>
              <w:ind w:left="60"/>
              <w:jc w:val="center"/>
              <w:rPr>
                <w:color w:val="auto"/>
                <w:sz w:val="20"/>
                <w:szCs w:val="20"/>
              </w:rPr>
            </w:pPr>
            <w:r>
              <w:rPr>
                <w:rFonts w:ascii="Calibri" w:eastAsia="Calibri" w:hAnsi="Calibri" w:cs="Calibri"/>
                <w:color w:val="auto"/>
                <w:w w:val="98"/>
                <w:sz w:val="12"/>
                <w:szCs w:val="12"/>
              </w:rPr>
              <w:t>Arrangement</w:t>
            </w:r>
          </w:p>
        </w:tc>
        <w:tc>
          <w:tcPr>
            <w:tcW w:w="1620" w:type="dxa"/>
            <w:tcBorders>
              <w:bottom w:val="single" w:sz="8" w:space="0" w:color="auto"/>
            </w:tcBorders>
            <w:vAlign w:val="bottom"/>
          </w:tcPr>
          <w:p>
            <w:pPr>
              <w:spacing w:after="0" w:line="145" w:lineRule="exact"/>
              <w:jc w:val="center"/>
              <w:rPr>
                <w:color w:val="auto"/>
                <w:sz w:val="20"/>
                <w:szCs w:val="20"/>
              </w:rPr>
            </w:pPr>
            <w:r>
              <w:rPr>
                <w:rFonts w:ascii="Calibri" w:eastAsia="Calibri" w:hAnsi="Calibri" w:cs="Calibri"/>
                <w:color w:val="auto"/>
                <w:w w:val="97"/>
                <w:sz w:val="12"/>
                <w:szCs w:val="12"/>
              </w:rPr>
              <w:t>Up to 83,887 Shares to be Sold</w:t>
            </w:r>
          </w:p>
        </w:tc>
        <w:tc>
          <w:tcPr>
            <w:tcW w:w="1820" w:type="dxa"/>
            <w:tcBorders>
              <w:bottom w:val="single" w:sz="8" w:space="0" w:color="auto"/>
            </w:tcBorders>
            <w:vAlign w:val="bottom"/>
          </w:tcPr>
          <w:p>
            <w:pPr>
              <w:spacing w:after="0" w:line="145" w:lineRule="exact"/>
              <w:jc w:val="center"/>
              <w:rPr>
                <w:color w:val="auto"/>
                <w:sz w:val="20"/>
                <w:szCs w:val="20"/>
              </w:rPr>
            </w:pPr>
            <w:r>
              <w:rPr>
                <w:rFonts w:ascii="Calibri" w:eastAsia="Calibri" w:hAnsi="Calibri" w:cs="Calibri"/>
                <w:color w:val="auto"/>
                <w:sz w:val="12"/>
                <w:szCs w:val="12"/>
              </w:rPr>
              <w:t>07/01/2025</w:t>
            </w:r>
          </w:p>
        </w:tc>
        <w:tc>
          <w:tcPr>
            <w:tcW w:w="1" w:type="dxa"/>
            <w:vAlign w:val="bottom"/>
          </w:tcPr>
          <w:p>
            <w:pPr>
              <w:spacing w:after="0"/>
              <w:rPr>
                <w:color w:val="auto"/>
                <w:sz w:val="1"/>
                <w:szCs w:val="1"/>
              </w:rPr>
            </w:pPr>
          </w:p>
        </w:tc>
      </w:tr>
    </w:tbl>
    <w:p>
      <w:pPr>
        <w:spacing w:after="0" w:line="134" w:lineRule="exact"/>
        <w:rPr>
          <w:color w:val="auto"/>
          <w:sz w:val="20"/>
          <w:szCs w:val="20"/>
        </w:rPr>
      </w:pPr>
    </w:p>
    <w:p>
      <w:pPr>
        <w:numPr>
          <w:ilvl w:val="0"/>
          <w:numId w:val="31"/>
        </w:numPr>
        <w:tabs>
          <w:tab w:val="left" w:pos="220"/>
        </w:tabs>
        <w:spacing w:after="0"/>
        <w:ind w:left="220" w:hanging="201"/>
        <w:rPr>
          <w:rFonts w:ascii="Calibri" w:eastAsia="Calibri" w:hAnsi="Calibri" w:cs="Calibri"/>
          <w:color w:val="auto"/>
          <w:sz w:val="12"/>
          <w:szCs w:val="12"/>
        </w:rPr>
      </w:pPr>
      <w:r>
        <w:rPr>
          <w:rFonts w:ascii="Calibri" w:eastAsia="Calibri" w:hAnsi="Calibri" w:cs="Calibri"/>
          <w:color w:val="auto"/>
          <w:sz w:val="12"/>
          <w:szCs w:val="12"/>
        </w:rPr>
        <w:t>Except as indicated by footnote, each trading arrangement marked as a "Rule 10b5-1 Trading Arrangement" is intended to satsfy the afrmatve defense of Rule 10b5-1(c), as amended.</w:t>
      </w:r>
    </w:p>
    <w:p>
      <w:pPr>
        <w:spacing w:after="0" w:line="101" w:lineRule="exact"/>
        <w:rPr>
          <w:rFonts w:ascii="Calibri" w:eastAsia="Calibri" w:hAnsi="Calibri" w:cs="Calibri"/>
          <w:color w:val="auto"/>
          <w:sz w:val="12"/>
          <w:szCs w:val="12"/>
        </w:rPr>
      </w:pPr>
    </w:p>
    <w:p>
      <w:pPr>
        <w:numPr>
          <w:ilvl w:val="0"/>
          <w:numId w:val="31"/>
        </w:numPr>
        <w:tabs>
          <w:tab w:val="left" w:pos="218"/>
        </w:tabs>
        <w:spacing w:after="0" w:line="234" w:lineRule="auto"/>
        <w:ind w:left="320" w:right="60" w:hanging="301"/>
        <w:rPr>
          <w:rFonts w:ascii="Calibri" w:eastAsia="Calibri" w:hAnsi="Calibri" w:cs="Calibri"/>
          <w:color w:val="auto"/>
          <w:sz w:val="12"/>
          <w:szCs w:val="12"/>
        </w:rPr>
      </w:pPr>
      <w:r>
        <w:rPr>
          <w:rFonts w:ascii="Calibri" w:eastAsia="Calibri" w:hAnsi="Calibri" w:cs="Calibri"/>
          <w:color w:val="auto"/>
          <w:sz w:val="12"/>
          <w:szCs w:val="12"/>
        </w:rPr>
        <w:t>The number of shares to be sold under each trading arrangement represents the maximum actual number of shares issuable under the applicable performance stock awards. The actual number of shares to be sold under each trading arrangement will depend on the achievement of applicable performance conditons under the performance stock awards and the number of shares withheld to satsfy tax obligatons upon the vestng of the awards.</w:t>
      </w:r>
    </w:p>
    <w:p>
      <w:pPr>
        <w:spacing w:after="0" w:line="101" w:lineRule="exact"/>
        <w:rPr>
          <w:rFonts w:ascii="Calibri" w:eastAsia="Calibri" w:hAnsi="Calibri" w:cs="Calibri"/>
          <w:color w:val="auto"/>
          <w:sz w:val="12"/>
          <w:szCs w:val="12"/>
        </w:rPr>
      </w:pPr>
    </w:p>
    <w:p>
      <w:pPr>
        <w:numPr>
          <w:ilvl w:val="0"/>
          <w:numId w:val="31"/>
        </w:numPr>
        <w:tabs>
          <w:tab w:val="left" w:pos="218"/>
        </w:tabs>
        <w:spacing w:after="0" w:line="234" w:lineRule="auto"/>
        <w:ind w:left="320" w:right="280" w:hanging="301"/>
        <w:rPr>
          <w:rFonts w:ascii="Calibri" w:eastAsia="Calibri" w:hAnsi="Calibri" w:cs="Calibri"/>
          <w:color w:val="auto"/>
          <w:sz w:val="12"/>
          <w:szCs w:val="12"/>
        </w:rPr>
      </w:pPr>
      <w:r>
        <w:rPr>
          <w:rFonts w:ascii="Calibri" w:eastAsia="Calibri" w:hAnsi="Calibri" w:cs="Calibri"/>
          <w:color w:val="auto"/>
          <w:sz w:val="12"/>
          <w:szCs w:val="12"/>
        </w:rPr>
        <w:t>Except as indicated by footnote, each trading arrangement permited or permits transactons through and including the earlier to occur of (a) the completon of all sales or (b) the date listed in the table. Each trading arrangement marked as a “Rule 10b5-1 Trading Arrangement” only permited or only permits transactons upon expiraton of the applicable mandatory cooling-of period under the Rule.</w:t>
      </w:r>
    </w:p>
    <w:p>
      <w:pPr>
        <w:spacing w:after="0" w:line="349"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9C. DISCLOSURE REGARDING FOREIGN JURISDICTIONS THAT PREVENT INSPECTIONS</w:t>
      </w:r>
    </w:p>
    <w:p>
      <w:pPr>
        <w:spacing w:after="0" w:line="20" w:lineRule="exact"/>
        <w:rPr>
          <w:color w:val="auto"/>
          <w:sz w:val="20"/>
          <w:szCs w:val="20"/>
        </w:rPr>
      </w:pPr>
      <w:r>
        <w:rPr>
          <w:color w:val="auto"/>
          <w:sz w:val="20"/>
          <w:szCs w:val="20"/>
        </w:rPr>
        <w:drawing>
          <wp:anchor simplePos="0" relativeHeight="251930624" behindDoc="1" locked="0" layoutInCell="0" allowOverlap="1">
            <wp:simplePos x="0" y="0"/>
            <wp:positionH relativeFrom="column">
              <wp:posOffset>-4445</wp:posOffset>
            </wp:positionH>
            <wp:positionV relativeFrom="paragraph">
              <wp:posOffset>23495</wp:posOffset>
            </wp:positionV>
            <wp:extent cx="7166610" cy="5715"/>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33" w:lineRule="exact"/>
        <w:rPr>
          <w:color w:val="auto"/>
          <w:sz w:val="20"/>
          <w:szCs w:val="20"/>
        </w:rPr>
      </w:pPr>
    </w:p>
    <w:p>
      <w:pPr>
        <w:spacing w:after="0"/>
        <w:ind w:left="280"/>
        <w:rPr>
          <w:color w:val="auto"/>
          <w:sz w:val="20"/>
          <w:szCs w:val="20"/>
        </w:rPr>
      </w:pPr>
      <w:r>
        <w:rPr>
          <w:rFonts w:ascii="Calibri" w:eastAsia="Calibri" w:hAnsi="Calibri" w:cs="Calibri"/>
          <w:color w:val="auto"/>
          <w:sz w:val="12"/>
          <w:szCs w:val="12"/>
        </w:rPr>
        <w:t>Not Applicable.</w:t>
      </w:r>
    </w:p>
    <w:p>
      <w:pPr>
        <w:spacing w:after="0" w:line="20" w:lineRule="exact"/>
        <w:rPr>
          <w:color w:val="auto"/>
          <w:sz w:val="20"/>
          <w:szCs w:val="20"/>
        </w:rPr>
      </w:pPr>
      <w:r>
        <w:rPr>
          <w:color w:val="auto"/>
          <w:sz w:val="20"/>
          <w:szCs w:val="20"/>
        </w:rPr>
        <w:drawing>
          <wp:anchor simplePos="0" relativeHeight="251931648" behindDoc="1" locked="0" layoutInCell="0" allowOverlap="1">
            <wp:simplePos x="0" y="0"/>
            <wp:positionH relativeFrom="column">
              <wp:posOffset>6475730</wp:posOffset>
            </wp:positionH>
            <wp:positionV relativeFrom="paragraph">
              <wp:posOffset>210820</wp:posOffset>
            </wp:positionV>
            <wp:extent cx="400050" cy="74295"/>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47" w:lineRule="exact"/>
        <w:rPr>
          <w:color w:val="auto"/>
          <w:sz w:val="20"/>
          <w:szCs w:val="20"/>
        </w:rPr>
      </w:pPr>
    </w:p>
    <w:tbl>
      <w:tblPr>
        <w:tblInd w:w="0" w:type="dxa"/>
        <w:tblLayout w:type="fixed"/>
        <w:tblCellMar>
          <w:top w:w="0" w:type="dxa"/>
          <w:left w:w="0" w:type="dxa"/>
          <w:bottom w:w="0" w:type="dxa"/>
          <w:right w:w="0" w:type="dxa"/>
        </w:tblCellMar>
      </w:tblPr>
      <w:tblGrid>
        <w:gridCol w:w="10640"/>
        <w:gridCol w:w="660"/>
      </w:tblGrid>
      <w:tr>
        <w:tblPrEx>
          <w:tblInd w:w="0" w:type="dxa"/>
          <w:tblLayout w:type="fixed"/>
        </w:tblPrEx>
        <w:trPr>
          <w:trHeight w:val="146"/>
        </w:trPr>
        <w:tc>
          <w:tcPr>
            <w:tcW w:w="1064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60" w:type="dxa"/>
            <w:vAlign w:val="bottom"/>
          </w:tcPr>
          <w:p>
            <w:pPr>
              <w:spacing w:after="0"/>
              <w:jc w:val="right"/>
              <w:rPr>
                <w:color w:val="auto"/>
                <w:sz w:val="20"/>
                <w:szCs w:val="20"/>
              </w:rPr>
            </w:pPr>
            <w:r>
              <w:rPr>
                <w:rFonts w:ascii="Calibri" w:eastAsia="Calibri" w:hAnsi="Calibri" w:cs="Calibri"/>
                <w:b/>
                <w:bCs/>
                <w:i/>
                <w:iCs/>
                <w:color w:val="auto"/>
                <w:sz w:val="12"/>
                <w:szCs w:val="12"/>
              </w:rPr>
              <w:t>106</w:t>
            </w:r>
          </w:p>
        </w:tc>
      </w:tr>
      <w:tr>
        <w:tblPrEx>
          <w:tblInd w:w="0" w:type="dxa"/>
          <w:tblLayout w:type="fixed"/>
        </w:tblPrEx>
        <w:trPr>
          <w:trHeight w:val="152"/>
        </w:trPr>
        <w:tc>
          <w:tcPr>
            <w:tcW w:w="10640" w:type="dxa"/>
            <w:tcBorders>
              <w:bottom w:val="single" w:sz="8" w:space="0" w:color="9A9A9A"/>
            </w:tcBorders>
            <w:vAlign w:val="bottom"/>
          </w:tcPr>
          <w:p>
            <w:pPr>
              <w:spacing w:after="0"/>
              <w:rPr>
                <w:color w:val="auto"/>
                <w:sz w:val="13"/>
                <w:szCs w:val="13"/>
              </w:rPr>
            </w:pPr>
          </w:p>
        </w:tc>
        <w:tc>
          <w:tcPr>
            <w:tcW w:w="660" w:type="dxa"/>
            <w:tcBorders>
              <w:bottom w:val="single" w:sz="8" w:space="0" w:color="9A9A9A"/>
            </w:tcBorders>
            <w:vAlign w:val="bottom"/>
          </w:tcPr>
          <w:p>
            <w:pPr>
              <w:spacing w:after="0"/>
              <w:rPr>
                <w:color w:val="auto"/>
                <w:sz w:val="13"/>
                <w:szCs w:val="13"/>
              </w:rPr>
            </w:pPr>
          </w:p>
        </w:tc>
      </w:tr>
    </w:tbl>
    <w:p>
      <w:pPr>
        <w:spacing w:after="0" w:line="20" w:lineRule="exact"/>
        <w:rPr>
          <w:color w:val="auto"/>
          <w:sz w:val="20"/>
          <w:szCs w:val="20"/>
        </w:rPr>
      </w:pPr>
      <w:r>
        <w:rPr>
          <w:color w:val="auto"/>
          <w:sz w:val="20"/>
          <w:szCs w:val="20"/>
        </w:rPr>
        <w:drawing>
          <wp:anchor simplePos="0" relativeHeight="251932672" behindDoc="1" locked="0" layoutInCell="0" allowOverlap="1">
            <wp:simplePos x="0" y="0"/>
            <wp:positionH relativeFrom="column">
              <wp:posOffset>7154545</wp:posOffset>
            </wp:positionH>
            <wp:positionV relativeFrom="paragraph">
              <wp:posOffset>-23495</wp:posOffset>
            </wp:positionV>
            <wp:extent cx="31115" cy="3683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33696" behindDoc="1" locked="0" layoutInCell="0" allowOverlap="1">
            <wp:simplePos x="0" y="0"/>
            <wp:positionH relativeFrom="column">
              <wp:posOffset>-17145</wp:posOffset>
            </wp:positionH>
            <wp:positionV relativeFrom="paragraph">
              <wp:posOffset>-23495</wp:posOffset>
            </wp:positionV>
            <wp:extent cx="31115" cy="3683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0" w:right="299" w:bottom="1440" w:left="300" w:header="0" w:footer="0" w:gutter="0"/>
          <w:cols w:num="1" w:space="720" w:equalWidth="0">
            <w:col w:w="11300" w:space="0"/>
          </w:cols>
        </w:sectPr>
      </w:pPr>
    </w:p>
    <w:bookmarkStart w:id="108" w:name="page109"/>
    <w:bookmarkEnd w:id="108"/>
    <w:p>
      <w:pPr>
        <w:spacing w:after="0"/>
        <w:jc w:val="center"/>
        <w:rPr>
          <w:color w:val="auto"/>
          <w:sz w:val="20"/>
          <w:szCs w:val="20"/>
        </w:rPr>
      </w:pPr>
      <w:r>
        <w:rPr>
          <w:rFonts w:ascii="Calibri" w:eastAsia="Calibri" w:hAnsi="Calibri" w:cs="Calibri"/>
          <w:b/>
          <w:bCs/>
          <w:color w:val="444867"/>
          <w:sz w:val="14"/>
          <w:szCs w:val="14"/>
        </w:rPr>
        <w:t>PART III</w:t>
      </w:r>
    </w:p>
    <w:p>
      <w:pPr>
        <w:spacing w:after="0" w:line="261"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10. DIRECTORS, EXECUTIVE OFFICERS AND CORPORATE GOVERNANCE</w:t>
      </w:r>
    </w:p>
    <w:p>
      <w:pPr>
        <w:spacing w:after="0" w:line="20" w:lineRule="exact"/>
        <w:rPr>
          <w:color w:val="auto"/>
          <w:sz w:val="20"/>
          <w:szCs w:val="20"/>
        </w:rPr>
      </w:pPr>
      <w:r>
        <w:rPr>
          <w:color w:val="auto"/>
          <w:sz w:val="20"/>
          <w:szCs w:val="20"/>
        </w:rPr>
        <w:drawing>
          <wp:anchor simplePos="0" relativeHeight="251934720" behindDoc="1" locked="0" layoutInCell="0" allowOverlap="1">
            <wp:simplePos x="0" y="0"/>
            <wp:positionH relativeFrom="column">
              <wp:posOffset>-4445</wp:posOffset>
            </wp:positionH>
            <wp:positionV relativeFrom="paragraph">
              <wp:posOffset>24130</wp:posOffset>
            </wp:positionV>
            <wp:extent cx="7166610" cy="5715"/>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19" w:lineRule="exact"/>
        <w:rPr>
          <w:color w:val="auto"/>
          <w:sz w:val="20"/>
          <w:szCs w:val="20"/>
        </w:rPr>
      </w:pPr>
    </w:p>
    <w:p>
      <w:pPr>
        <w:spacing w:after="0" w:line="234" w:lineRule="auto"/>
        <w:ind w:right="100" w:firstLine="297"/>
        <w:rPr>
          <w:color w:val="auto"/>
          <w:sz w:val="20"/>
          <w:szCs w:val="20"/>
        </w:rPr>
      </w:pPr>
      <w:r>
        <w:rPr>
          <w:rFonts w:ascii="Calibri" w:eastAsia="Calibri" w:hAnsi="Calibri" w:cs="Calibri"/>
          <w:color w:val="auto"/>
          <w:sz w:val="12"/>
          <w:szCs w:val="12"/>
        </w:rPr>
        <w:t>Incorporated herein by reference are "Informaton Concerning Director Nominees," "The Board of Directors and its Commitees—Commitees of the Board of Directors," "Communicatng with the Board of Directors," "Deadlines for Notce of Stockholder Actons to be Considered at the 2025 Annual Meetng of Stockholders" and "Insider Trading Policy" to be included in the 2025 AbbVie Inc. Proxy Statement. The 2025 Defnitve Proxy Statement will be fled on or about March 24, 2025. Also incorporated herein by reference is the text found in this Form 10-K under the capton, "Informaton about Our Executve Ofcers."</w:t>
      </w:r>
    </w:p>
    <w:p>
      <w:pPr>
        <w:spacing w:after="0" w:line="94" w:lineRule="exact"/>
        <w:rPr>
          <w:color w:val="auto"/>
          <w:sz w:val="20"/>
          <w:szCs w:val="20"/>
        </w:rPr>
      </w:pPr>
    </w:p>
    <w:p>
      <w:pPr>
        <w:spacing w:after="0" w:line="234" w:lineRule="auto"/>
        <w:ind w:firstLine="297"/>
        <w:rPr>
          <w:color w:val="auto"/>
          <w:sz w:val="20"/>
          <w:szCs w:val="20"/>
        </w:rPr>
      </w:pPr>
      <w:r>
        <w:rPr>
          <w:rFonts w:ascii="Calibri" w:eastAsia="Calibri" w:hAnsi="Calibri" w:cs="Calibri"/>
          <w:color w:val="auto"/>
          <w:sz w:val="12"/>
          <w:szCs w:val="12"/>
        </w:rPr>
        <w:t>AbbVie's code of business conduct requires all its business actvites to be conducted in compliance with all applicable laws, regulatons and ethical principles and values. All directors, ofcers and employees of AbbVie are expected to understand and abide by the requirements of the code of business conduct applicable to them. AbbVie's code of business conduct is available in the corporate governance secton of AbbVie's investor relatons website at investors.abbvie.com.</w:t>
      </w:r>
    </w:p>
    <w:p>
      <w:pPr>
        <w:spacing w:after="0" w:line="103" w:lineRule="exact"/>
        <w:rPr>
          <w:color w:val="auto"/>
          <w:sz w:val="20"/>
          <w:szCs w:val="20"/>
        </w:rPr>
      </w:pPr>
    </w:p>
    <w:p>
      <w:pPr>
        <w:spacing w:after="0" w:line="234" w:lineRule="auto"/>
        <w:ind w:right="180" w:firstLine="297"/>
        <w:rPr>
          <w:color w:val="auto"/>
          <w:sz w:val="20"/>
          <w:szCs w:val="20"/>
        </w:rPr>
      </w:pPr>
      <w:r>
        <w:rPr>
          <w:rFonts w:ascii="Calibri" w:eastAsia="Calibri" w:hAnsi="Calibri" w:cs="Calibri"/>
          <w:color w:val="auto"/>
          <w:sz w:val="12"/>
          <w:szCs w:val="12"/>
        </w:rPr>
        <w:t>Any waiver of the code of business conduct for directors or executve ofcers may be made only by AbbVie's audit commitee. AbbVie will disclose any amendment to, or waiver from, a provision of the code of conduct for the principal executve ofcer, principal fnancial ofcer, principal accountng ofcer or controller, or persons performing similar functons, on its website within four business days following the date of the amendment or waiver. In additon, AbbVie will disclose any waiver from the code of business conduct for the other executve ofcers and for directors on the website.</w:t>
      </w:r>
    </w:p>
    <w:p>
      <w:pPr>
        <w:spacing w:after="0" w:line="103"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AbbVie has a chief ethics and compliance ofcer who reports to the Executve Vice President, General Counsel and Secretary, to the public policy and sustainability commitee, and to the full board of directors. The chief ethics and compliance ofcer is responsible for overseeing, administering and monitoring AbbVie's compliance program.</w:t>
      </w:r>
    </w:p>
    <w:p>
      <w:pPr>
        <w:spacing w:after="0" w:line="159"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11. EXECUTIVE COMPENSATION</w:t>
      </w:r>
    </w:p>
    <w:p>
      <w:pPr>
        <w:spacing w:after="0" w:line="20" w:lineRule="exact"/>
        <w:rPr>
          <w:color w:val="auto"/>
          <w:sz w:val="20"/>
          <w:szCs w:val="20"/>
        </w:rPr>
      </w:pPr>
      <w:r>
        <w:rPr>
          <w:color w:val="auto"/>
          <w:sz w:val="20"/>
          <w:szCs w:val="20"/>
        </w:rPr>
        <w:drawing>
          <wp:anchor simplePos="0" relativeHeight="251935744" behindDoc="1" locked="0" layoutInCell="0" allowOverlap="1">
            <wp:simplePos x="0" y="0"/>
            <wp:positionH relativeFrom="column">
              <wp:posOffset>-4445</wp:posOffset>
            </wp:positionH>
            <wp:positionV relativeFrom="paragraph">
              <wp:posOffset>24130</wp:posOffset>
            </wp:positionV>
            <wp:extent cx="7166610" cy="5715"/>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19" w:lineRule="exact"/>
        <w:rPr>
          <w:color w:val="auto"/>
          <w:sz w:val="20"/>
          <w:szCs w:val="20"/>
        </w:rPr>
      </w:pPr>
    </w:p>
    <w:p>
      <w:pPr>
        <w:spacing w:after="0" w:line="234" w:lineRule="auto"/>
        <w:ind w:right="140" w:firstLine="297"/>
        <w:rPr>
          <w:color w:val="auto"/>
          <w:sz w:val="20"/>
          <w:szCs w:val="20"/>
        </w:rPr>
      </w:pPr>
      <w:r>
        <w:rPr>
          <w:rFonts w:ascii="Calibri" w:eastAsia="Calibri" w:hAnsi="Calibri" w:cs="Calibri"/>
          <w:color w:val="auto"/>
          <w:sz w:val="12"/>
          <w:szCs w:val="12"/>
        </w:rPr>
        <w:t>The material to be included in the 2025 AbbVie Inc. Proxy Statement under the headings "Director Compensaton," "Executve Compensaton," and "Compensaton Commitee Report" is incorporated herein by reference. The 2025 Defnitve Proxy Statement will be fled on or about March 24, 2025.</w:t>
      </w:r>
    </w:p>
    <w:p>
      <w:pPr>
        <w:spacing w:after="0" w:line="204" w:lineRule="exact"/>
        <w:rPr>
          <w:color w:val="auto"/>
          <w:sz w:val="20"/>
          <w:szCs w:val="20"/>
        </w:rPr>
      </w:pPr>
    </w:p>
    <w:p>
      <w:pPr>
        <w:tabs>
          <w:tab w:val="left" w:pos="439"/>
        </w:tabs>
        <w:spacing w:after="0"/>
        <w:rPr>
          <w:color w:val="auto"/>
          <w:sz w:val="20"/>
          <w:szCs w:val="20"/>
        </w:rPr>
      </w:pPr>
      <w:r>
        <w:rPr>
          <w:rFonts w:ascii="Calibri" w:eastAsia="Calibri" w:hAnsi="Calibri" w:cs="Calibri"/>
          <w:b/>
          <w:bCs/>
          <w:i/>
          <w:iCs/>
          <w:color w:val="auto"/>
          <w:sz w:val="24"/>
          <w:szCs w:val="24"/>
          <w:vertAlign w:val="subscript"/>
        </w:rPr>
        <w:t>107</w:t>
      </w:r>
      <w:r>
        <w:rPr>
          <w:color w:val="auto"/>
          <w:sz w:val="20"/>
          <w:szCs w:val="20"/>
        </w:rPr>
        <w:tab/>
      </w:r>
      <w:r>
        <w:rPr>
          <w:color w:val="auto"/>
          <w:sz w:val="1"/>
          <w:szCs w:val="1"/>
        </w:rPr>
        <w:drawing>
          <wp:inline distT="0" distB="0" distL="0" distR="0">
            <wp:extent cx="400050" cy="74295"/>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a:ln>
                      <a:noFill/>
                    </a:ln>
                  </pic:spPr>
                </pic:pic>
              </a:graphicData>
            </a:graphic>
          </wp:inline>
        </w:drawing>
      </w:r>
      <w:r>
        <w:rPr>
          <w:rFonts w:ascii="Calibri" w:eastAsia="Calibri" w:hAnsi="Calibri" w:cs="Calibri"/>
          <w:b/>
          <w:bCs/>
          <w:color w:val="444867"/>
          <w:sz w:val="17"/>
          <w:szCs w:val="17"/>
        </w:rPr>
        <w:t xml:space="preserve"> | </w:t>
      </w:r>
      <w:r>
        <w:rPr>
          <w:rFonts w:ascii="Calibri" w:eastAsia="Calibri" w:hAnsi="Calibri" w:cs="Calibri"/>
          <w:i/>
          <w:iCs/>
          <w:color w:val="000000"/>
          <w:sz w:val="11"/>
          <w:szCs w:val="11"/>
        </w:rPr>
        <w:t>2024 Form 10-K</w:t>
      </w:r>
    </w:p>
    <w:p>
      <w:pPr>
        <w:spacing w:after="0" w:line="20" w:lineRule="exact"/>
        <w:rPr>
          <w:color w:val="auto"/>
          <w:sz w:val="20"/>
          <w:szCs w:val="20"/>
        </w:rPr>
      </w:pPr>
      <w:r>
        <w:rPr>
          <w:color w:val="auto"/>
          <w:sz w:val="20"/>
          <w:szCs w:val="20"/>
        </w:rPr>
        <w:drawing>
          <wp:anchor simplePos="0" relativeHeight="251936768" behindDoc="1" locked="0" layoutInCell="0" allowOverlap="1">
            <wp:simplePos x="0" y="0"/>
            <wp:positionH relativeFrom="column">
              <wp:posOffset>-17145</wp:posOffset>
            </wp:positionH>
            <wp:positionV relativeFrom="paragraph">
              <wp:posOffset>128270</wp:posOffset>
            </wp:positionV>
            <wp:extent cx="7203440" cy="3683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p>
    <w:p>
      <w:pPr>
        <w:sectPr>
          <w:pgSz w:w="11900" w:h="16838" w:orient="portrait"/>
          <w:pgMar w:top="759" w:right="319" w:bottom="1440" w:left="300" w:header="0" w:footer="0" w:gutter="0"/>
          <w:cols w:num="1" w:space="720" w:equalWidth="0">
            <w:col w:w="11280" w:space="0"/>
          </w:cols>
        </w:sectPr>
      </w:pPr>
    </w:p>
    <w:bookmarkStart w:id="109" w:name="page110"/>
    <w:bookmarkEnd w:id="109"/>
    <w:p>
      <w:pPr>
        <w:spacing w:after="0"/>
        <w:ind w:left="8"/>
        <w:rPr>
          <w:color w:val="auto"/>
          <w:sz w:val="20"/>
          <w:szCs w:val="20"/>
        </w:rPr>
      </w:pPr>
      <w:r>
        <w:rPr>
          <w:rFonts w:ascii="Calibri" w:eastAsia="Calibri" w:hAnsi="Calibri" w:cs="Calibri"/>
          <w:b/>
          <w:bCs/>
          <w:color w:val="444867"/>
          <w:sz w:val="14"/>
          <w:szCs w:val="14"/>
        </w:rPr>
        <w:t>ITEM 12. SECURITY OWNERSHIP OF CERTAIN BENEFICIAL OWNERS AND MANAGEMENT AND RELATED STOCKHOLDER MATTERS</w:t>
      </w:r>
    </w:p>
    <w:p>
      <w:pPr>
        <w:spacing w:after="0" w:line="20" w:lineRule="exact"/>
        <w:rPr>
          <w:color w:val="auto"/>
          <w:sz w:val="20"/>
          <w:szCs w:val="20"/>
        </w:rPr>
      </w:pPr>
      <w:r>
        <w:rPr>
          <w:color w:val="auto"/>
          <w:sz w:val="20"/>
          <w:szCs w:val="20"/>
        </w:rPr>
        <w:drawing>
          <wp:anchor simplePos="0" relativeHeight="251937792" behindDoc="1" locked="0" layoutInCell="0" allowOverlap="1">
            <wp:simplePos x="0" y="0"/>
            <wp:positionH relativeFrom="column">
              <wp:posOffset>0</wp:posOffset>
            </wp:positionH>
            <wp:positionV relativeFrom="paragraph">
              <wp:posOffset>24130</wp:posOffset>
            </wp:positionV>
            <wp:extent cx="7166610" cy="5715"/>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15" w:lineRule="exact"/>
        <w:rPr>
          <w:color w:val="auto"/>
          <w:sz w:val="20"/>
          <w:szCs w:val="20"/>
        </w:rPr>
      </w:pPr>
    </w:p>
    <w:p>
      <w:pPr>
        <w:numPr>
          <w:ilvl w:val="0"/>
          <w:numId w:val="32"/>
        </w:numPr>
        <w:tabs>
          <w:tab w:val="left" w:pos="228"/>
        </w:tabs>
        <w:spacing w:after="0"/>
        <w:ind w:left="228" w:hanging="228"/>
        <w:rPr>
          <w:rFonts w:ascii="Calibri" w:eastAsia="Calibri" w:hAnsi="Calibri" w:cs="Calibri"/>
          <w:color w:val="auto"/>
          <w:sz w:val="12"/>
          <w:szCs w:val="12"/>
        </w:rPr>
      </w:pPr>
      <w:r>
        <w:rPr>
          <w:rFonts w:ascii="Calibri" w:eastAsia="Calibri" w:hAnsi="Calibri" w:cs="Calibri"/>
          <w:i/>
          <w:iCs/>
          <w:color w:val="auto"/>
          <w:sz w:val="12"/>
          <w:szCs w:val="12"/>
        </w:rPr>
        <w:t>Equity Compensaton Plan Informaton.</w:t>
      </w:r>
    </w:p>
    <w:p>
      <w:pPr>
        <w:spacing w:after="0" w:line="97" w:lineRule="exact"/>
        <w:rPr>
          <w:color w:val="auto"/>
          <w:sz w:val="20"/>
          <w:szCs w:val="20"/>
        </w:rPr>
      </w:pPr>
    </w:p>
    <w:p>
      <w:pPr>
        <w:spacing w:after="0"/>
        <w:ind w:left="288"/>
        <w:rPr>
          <w:color w:val="auto"/>
          <w:sz w:val="20"/>
          <w:szCs w:val="20"/>
        </w:rPr>
      </w:pPr>
      <w:r>
        <w:rPr>
          <w:rFonts w:ascii="Calibri" w:eastAsia="Calibri" w:hAnsi="Calibri" w:cs="Calibri"/>
          <w:color w:val="auto"/>
          <w:sz w:val="12"/>
          <w:szCs w:val="12"/>
        </w:rPr>
        <w:t>The following table presents informaton as of December 31, 2024 about AbbVie's equity compensaton plans under which AbbVie common stock has been authorized for issuance:</w:t>
      </w:r>
    </w:p>
    <w:tbl>
      <w:tblPr>
        <w:tblInd w:w="8" w:type="dxa"/>
        <w:tblLayout w:type="fixed"/>
        <w:tblCellMar>
          <w:top w:w="0" w:type="dxa"/>
          <w:left w:w="0" w:type="dxa"/>
          <w:bottom w:w="0" w:type="dxa"/>
          <w:right w:w="0" w:type="dxa"/>
        </w:tblCellMar>
      </w:tblPr>
      <w:tblGrid>
        <w:gridCol w:w="4840"/>
        <w:gridCol w:w="3100"/>
        <w:gridCol w:w="260"/>
        <w:gridCol w:w="1500"/>
        <w:gridCol w:w="1560"/>
      </w:tblGrid>
      <w:tr>
        <w:tblPrEx>
          <w:tblInd w:w="8" w:type="dxa"/>
          <w:tblLayout w:type="fixed"/>
        </w:tblPrEx>
        <w:trPr>
          <w:trHeight w:val="116"/>
        </w:trPr>
        <w:tc>
          <w:tcPr>
            <w:tcW w:w="4840" w:type="dxa"/>
            <w:vAlign w:val="bottom"/>
          </w:tcPr>
          <w:p>
            <w:pPr>
              <w:spacing w:after="0"/>
              <w:rPr>
                <w:color w:val="auto"/>
                <w:sz w:val="10"/>
                <w:szCs w:val="10"/>
              </w:rPr>
            </w:pPr>
          </w:p>
        </w:tc>
        <w:tc>
          <w:tcPr>
            <w:tcW w:w="3100" w:type="dxa"/>
            <w:vAlign w:val="bottom"/>
          </w:tcPr>
          <w:p>
            <w:pPr>
              <w:spacing w:after="0" w:line="116" w:lineRule="exact"/>
              <w:ind w:left="1410"/>
              <w:jc w:val="center"/>
              <w:rPr>
                <w:color w:val="auto"/>
                <w:sz w:val="20"/>
                <w:szCs w:val="20"/>
              </w:rPr>
            </w:pPr>
            <w:r>
              <w:rPr>
                <w:rFonts w:ascii="Calibri" w:eastAsia="Calibri" w:hAnsi="Calibri" w:cs="Calibri"/>
                <w:b/>
                <w:bCs/>
                <w:color w:val="auto"/>
                <w:sz w:val="10"/>
                <w:szCs w:val="10"/>
              </w:rPr>
              <w:t>(a)</w:t>
            </w:r>
          </w:p>
        </w:tc>
        <w:tc>
          <w:tcPr>
            <w:tcW w:w="260" w:type="dxa"/>
            <w:vAlign w:val="bottom"/>
          </w:tcPr>
          <w:p>
            <w:pPr>
              <w:spacing w:after="0"/>
              <w:rPr>
                <w:color w:val="auto"/>
                <w:sz w:val="10"/>
                <w:szCs w:val="10"/>
              </w:rPr>
            </w:pPr>
          </w:p>
        </w:tc>
        <w:tc>
          <w:tcPr>
            <w:tcW w:w="1500" w:type="dxa"/>
            <w:vAlign w:val="bottom"/>
          </w:tcPr>
          <w:p>
            <w:pPr>
              <w:spacing w:after="0"/>
              <w:rPr>
                <w:color w:val="auto"/>
                <w:sz w:val="10"/>
                <w:szCs w:val="10"/>
              </w:rPr>
            </w:pPr>
          </w:p>
        </w:tc>
        <w:tc>
          <w:tcPr>
            <w:tcW w:w="1560" w:type="dxa"/>
            <w:vAlign w:val="bottom"/>
          </w:tcPr>
          <w:p>
            <w:pPr>
              <w:spacing w:after="0"/>
              <w:rPr>
                <w:color w:val="auto"/>
                <w:sz w:val="10"/>
                <w:szCs w:val="10"/>
              </w:rPr>
            </w:pPr>
          </w:p>
        </w:tc>
      </w:tr>
      <w:tr>
        <w:tblPrEx>
          <w:tblInd w:w="8" w:type="dxa"/>
          <w:tblLayout w:type="fixed"/>
        </w:tblPrEx>
        <w:trPr>
          <w:trHeight w:val="99"/>
        </w:trPr>
        <w:tc>
          <w:tcPr>
            <w:tcW w:w="4840" w:type="dxa"/>
            <w:vAlign w:val="bottom"/>
          </w:tcPr>
          <w:p>
            <w:pPr>
              <w:spacing w:after="0"/>
              <w:rPr>
                <w:color w:val="auto"/>
                <w:sz w:val="8"/>
                <w:szCs w:val="8"/>
              </w:rPr>
            </w:pPr>
          </w:p>
        </w:tc>
        <w:tc>
          <w:tcPr>
            <w:tcW w:w="3100" w:type="dxa"/>
            <w:vAlign w:val="bottom"/>
          </w:tcPr>
          <w:p>
            <w:pPr>
              <w:spacing w:after="0" w:line="99" w:lineRule="exact"/>
              <w:ind w:left="1430"/>
              <w:jc w:val="center"/>
              <w:rPr>
                <w:color w:val="auto"/>
                <w:sz w:val="20"/>
                <w:szCs w:val="20"/>
              </w:rPr>
            </w:pPr>
            <w:r>
              <w:rPr>
                <w:rFonts w:ascii="Calibri" w:eastAsia="Calibri" w:hAnsi="Calibri" w:cs="Calibri"/>
                <w:b/>
                <w:bCs/>
                <w:color w:val="auto"/>
                <w:w w:val="93"/>
                <w:sz w:val="10"/>
                <w:szCs w:val="10"/>
              </w:rPr>
              <w:t>Number of</w:t>
            </w:r>
          </w:p>
        </w:tc>
        <w:tc>
          <w:tcPr>
            <w:tcW w:w="260" w:type="dxa"/>
            <w:vAlign w:val="bottom"/>
          </w:tcPr>
          <w:p>
            <w:pPr>
              <w:spacing w:after="0"/>
              <w:rPr>
                <w:color w:val="auto"/>
                <w:sz w:val="8"/>
                <w:szCs w:val="8"/>
              </w:rPr>
            </w:pPr>
          </w:p>
        </w:tc>
        <w:tc>
          <w:tcPr>
            <w:tcW w:w="1500" w:type="dxa"/>
            <w:vAlign w:val="bottom"/>
          </w:tcPr>
          <w:p>
            <w:pPr>
              <w:spacing w:after="0"/>
              <w:rPr>
                <w:color w:val="auto"/>
                <w:sz w:val="8"/>
                <w:szCs w:val="8"/>
              </w:rPr>
            </w:pPr>
          </w:p>
        </w:tc>
        <w:tc>
          <w:tcPr>
            <w:tcW w:w="1560" w:type="dxa"/>
            <w:vAlign w:val="bottom"/>
          </w:tcPr>
          <w:p>
            <w:pPr>
              <w:spacing w:after="0" w:line="99" w:lineRule="exact"/>
              <w:jc w:val="center"/>
              <w:rPr>
                <w:color w:val="auto"/>
                <w:sz w:val="20"/>
                <w:szCs w:val="20"/>
              </w:rPr>
            </w:pPr>
            <w:r>
              <w:rPr>
                <w:rFonts w:ascii="Calibri" w:eastAsia="Calibri" w:hAnsi="Calibri" w:cs="Calibri"/>
                <w:b/>
                <w:bCs/>
                <w:color w:val="auto"/>
                <w:w w:val="95"/>
                <w:sz w:val="10"/>
                <w:szCs w:val="10"/>
              </w:rPr>
              <w:t>(c)</w:t>
            </w:r>
          </w:p>
        </w:tc>
      </w:tr>
      <w:tr>
        <w:tblPrEx>
          <w:tblInd w:w="8" w:type="dxa"/>
          <w:tblLayout w:type="fixed"/>
        </w:tblPrEx>
        <w:trPr>
          <w:trHeight w:val="99"/>
        </w:trPr>
        <w:tc>
          <w:tcPr>
            <w:tcW w:w="4840" w:type="dxa"/>
            <w:vAlign w:val="bottom"/>
          </w:tcPr>
          <w:p>
            <w:pPr>
              <w:spacing w:after="0"/>
              <w:rPr>
                <w:color w:val="auto"/>
                <w:sz w:val="8"/>
                <w:szCs w:val="8"/>
              </w:rPr>
            </w:pPr>
          </w:p>
        </w:tc>
        <w:tc>
          <w:tcPr>
            <w:tcW w:w="3100" w:type="dxa"/>
            <w:vAlign w:val="bottom"/>
          </w:tcPr>
          <w:p>
            <w:pPr>
              <w:spacing w:after="0" w:line="99" w:lineRule="exact"/>
              <w:ind w:left="1430"/>
              <w:jc w:val="center"/>
              <w:rPr>
                <w:color w:val="auto"/>
                <w:sz w:val="20"/>
                <w:szCs w:val="20"/>
              </w:rPr>
            </w:pPr>
            <w:r>
              <w:rPr>
                <w:rFonts w:ascii="Calibri" w:eastAsia="Calibri" w:hAnsi="Calibri" w:cs="Calibri"/>
                <w:b/>
                <w:bCs/>
                <w:color w:val="auto"/>
                <w:sz w:val="10"/>
                <w:szCs w:val="10"/>
              </w:rPr>
              <w:t>securites to be</w:t>
            </w:r>
          </w:p>
        </w:tc>
        <w:tc>
          <w:tcPr>
            <w:tcW w:w="260" w:type="dxa"/>
            <w:vAlign w:val="bottom"/>
          </w:tcPr>
          <w:p>
            <w:pPr>
              <w:spacing w:after="0"/>
              <w:rPr>
                <w:color w:val="auto"/>
                <w:sz w:val="8"/>
                <w:szCs w:val="8"/>
              </w:rPr>
            </w:pPr>
          </w:p>
        </w:tc>
        <w:tc>
          <w:tcPr>
            <w:tcW w:w="1500" w:type="dxa"/>
            <w:vAlign w:val="bottom"/>
          </w:tcPr>
          <w:p>
            <w:pPr>
              <w:spacing w:after="0"/>
              <w:rPr>
                <w:color w:val="auto"/>
                <w:sz w:val="8"/>
                <w:szCs w:val="8"/>
              </w:rPr>
            </w:pPr>
          </w:p>
        </w:tc>
        <w:tc>
          <w:tcPr>
            <w:tcW w:w="1560" w:type="dxa"/>
            <w:vAlign w:val="bottom"/>
          </w:tcPr>
          <w:p>
            <w:pPr>
              <w:spacing w:after="0" w:line="99" w:lineRule="exact"/>
              <w:jc w:val="center"/>
              <w:rPr>
                <w:color w:val="auto"/>
                <w:sz w:val="20"/>
                <w:szCs w:val="20"/>
              </w:rPr>
            </w:pPr>
            <w:r>
              <w:rPr>
                <w:rFonts w:ascii="Calibri" w:eastAsia="Calibri" w:hAnsi="Calibri" w:cs="Calibri"/>
                <w:b/>
                <w:bCs/>
                <w:color w:val="auto"/>
                <w:w w:val="96"/>
                <w:sz w:val="10"/>
                <w:szCs w:val="10"/>
              </w:rPr>
              <w:t>Number of securites remaining</w:t>
            </w:r>
          </w:p>
        </w:tc>
      </w:tr>
      <w:tr>
        <w:tblPrEx>
          <w:tblInd w:w="8" w:type="dxa"/>
          <w:tblLayout w:type="fixed"/>
        </w:tblPrEx>
        <w:trPr>
          <w:trHeight w:val="90"/>
        </w:trPr>
        <w:tc>
          <w:tcPr>
            <w:tcW w:w="4840" w:type="dxa"/>
            <w:vAlign w:val="bottom"/>
          </w:tcPr>
          <w:p>
            <w:pPr>
              <w:spacing w:after="0"/>
              <w:rPr>
                <w:color w:val="auto"/>
                <w:sz w:val="7"/>
                <w:szCs w:val="7"/>
              </w:rPr>
            </w:pPr>
          </w:p>
        </w:tc>
        <w:tc>
          <w:tcPr>
            <w:tcW w:w="3100" w:type="dxa"/>
            <w:vAlign w:val="bottom"/>
          </w:tcPr>
          <w:p>
            <w:pPr>
              <w:spacing w:after="0" w:line="90" w:lineRule="exact"/>
              <w:ind w:left="1450"/>
              <w:jc w:val="center"/>
              <w:rPr>
                <w:color w:val="auto"/>
                <w:sz w:val="20"/>
                <w:szCs w:val="20"/>
              </w:rPr>
            </w:pPr>
            <w:r>
              <w:rPr>
                <w:rFonts w:ascii="Calibri" w:eastAsia="Calibri" w:hAnsi="Calibri" w:cs="Calibri"/>
                <w:b/>
                <w:bCs/>
                <w:color w:val="auto"/>
                <w:sz w:val="8"/>
                <w:szCs w:val="8"/>
              </w:rPr>
              <w:t>issued upon</w:t>
            </w:r>
          </w:p>
        </w:tc>
        <w:tc>
          <w:tcPr>
            <w:tcW w:w="260" w:type="dxa"/>
            <w:vAlign w:val="bottom"/>
          </w:tcPr>
          <w:p>
            <w:pPr>
              <w:spacing w:after="0"/>
              <w:rPr>
                <w:color w:val="auto"/>
                <w:sz w:val="7"/>
                <w:szCs w:val="7"/>
              </w:rPr>
            </w:pPr>
          </w:p>
        </w:tc>
        <w:tc>
          <w:tcPr>
            <w:tcW w:w="1500" w:type="dxa"/>
            <w:vAlign w:val="bottom"/>
          </w:tcPr>
          <w:p>
            <w:pPr>
              <w:spacing w:after="0" w:line="90" w:lineRule="exact"/>
              <w:ind w:right="269"/>
              <w:jc w:val="center"/>
              <w:rPr>
                <w:color w:val="auto"/>
                <w:sz w:val="20"/>
                <w:szCs w:val="20"/>
              </w:rPr>
            </w:pPr>
            <w:r>
              <w:rPr>
                <w:rFonts w:ascii="Calibri" w:eastAsia="Calibri" w:hAnsi="Calibri" w:cs="Calibri"/>
                <w:b/>
                <w:bCs/>
                <w:color w:val="auto"/>
                <w:sz w:val="8"/>
                <w:szCs w:val="8"/>
              </w:rPr>
              <w:t>(b)</w:t>
            </w:r>
          </w:p>
        </w:tc>
        <w:tc>
          <w:tcPr>
            <w:tcW w:w="1560" w:type="dxa"/>
            <w:vAlign w:val="bottom"/>
          </w:tcPr>
          <w:p>
            <w:pPr>
              <w:spacing w:after="0" w:line="90" w:lineRule="exact"/>
              <w:jc w:val="center"/>
              <w:rPr>
                <w:color w:val="auto"/>
                <w:sz w:val="20"/>
                <w:szCs w:val="20"/>
              </w:rPr>
            </w:pPr>
            <w:r>
              <w:rPr>
                <w:rFonts w:ascii="Calibri" w:eastAsia="Calibri" w:hAnsi="Calibri" w:cs="Calibri"/>
                <w:b/>
                <w:bCs/>
                <w:color w:val="auto"/>
                <w:sz w:val="8"/>
                <w:szCs w:val="8"/>
              </w:rPr>
              <w:t>available for</w:t>
            </w:r>
          </w:p>
        </w:tc>
      </w:tr>
      <w:tr>
        <w:tblPrEx>
          <w:tblInd w:w="8" w:type="dxa"/>
          <w:tblLayout w:type="fixed"/>
        </w:tblPrEx>
        <w:trPr>
          <w:trHeight w:val="99"/>
        </w:trPr>
        <w:tc>
          <w:tcPr>
            <w:tcW w:w="4840" w:type="dxa"/>
            <w:vAlign w:val="bottom"/>
          </w:tcPr>
          <w:p>
            <w:pPr>
              <w:spacing w:after="0"/>
              <w:rPr>
                <w:color w:val="auto"/>
                <w:sz w:val="8"/>
                <w:szCs w:val="8"/>
              </w:rPr>
            </w:pPr>
          </w:p>
        </w:tc>
        <w:tc>
          <w:tcPr>
            <w:tcW w:w="3100" w:type="dxa"/>
            <w:vAlign w:val="bottom"/>
          </w:tcPr>
          <w:p>
            <w:pPr>
              <w:spacing w:after="0" w:line="99" w:lineRule="exact"/>
              <w:ind w:left="1430"/>
              <w:jc w:val="center"/>
              <w:rPr>
                <w:color w:val="auto"/>
                <w:sz w:val="20"/>
                <w:szCs w:val="20"/>
              </w:rPr>
            </w:pPr>
            <w:r>
              <w:rPr>
                <w:rFonts w:ascii="Calibri" w:eastAsia="Calibri" w:hAnsi="Calibri" w:cs="Calibri"/>
                <w:b/>
                <w:bCs/>
                <w:color w:val="auto"/>
                <w:w w:val="93"/>
                <w:sz w:val="10"/>
                <w:szCs w:val="10"/>
              </w:rPr>
              <w:t>exercise of</w:t>
            </w:r>
          </w:p>
        </w:tc>
        <w:tc>
          <w:tcPr>
            <w:tcW w:w="260" w:type="dxa"/>
            <w:vAlign w:val="bottom"/>
          </w:tcPr>
          <w:p>
            <w:pPr>
              <w:spacing w:after="0"/>
              <w:rPr>
                <w:color w:val="auto"/>
                <w:sz w:val="8"/>
                <w:szCs w:val="8"/>
              </w:rPr>
            </w:pPr>
          </w:p>
        </w:tc>
        <w:tc>
          <w:tcPr>
            <w:tcW w:w="1500" w:type="dxa"/>
            <w:vAlign w:val="bottom"/>
          </w:tcPr>
          <w:p>
            <w:pPr>
              <w:spacing w:after="0" w:line="99" w:lineRule="exact"/>
              <w:ind w:right="229"/>
              <w:jc w:val="center"/>
              <w:rPr>
                <w:color w:val="auto"/>
                <w:sz w:val="20"/>
                <w:szCs w:val="20"/>
              </w:rPr>
            </w:pPr>
            <w:r>
              <w:rPr>
                <w:rFonts w:ascii="Calibri" w:eastAsia="Calibri" w:hAnsi="Calibri" w:cs="Calibri"/>
                <w:b/>
                <w:bCs/>
                <w:color w:val="auto"/>
                <w:w w:val="96"/>
                <w:sz w:val="10"/>
                <w:szCs w:val="10"/>
              </w:rPr>
              <w:t>Weighted-</w:t>
            </w:r>
          </w:p>
        </w:tc>
        <w:tc>
          <w:tcPr>
            <w:tcW w:w="1560" w:type="dxa"/>
            <w:vAlign w:val="bottom"/>
          </w:tcPr>
          <w:p>
            <w:pPr>
              <w:spacing w:after="0" w:line="99" w:lineRule="exact"/>
              <w:jc w:val="center"/>
              <w:rPr>
                <w:color w:val="auto"/>
                <w:sz w:val="20"/>
                <w:szCs w:val="20"/>
              </w:rPr>
            </w:pPr>
            <w:r>
              <w:rPr>
                <w:rFonts w:ascii="Calibri" w:eastAsia="Calibri" w:hAnsi="Calibri" w:cs="Calibri"/>
                <w:b/>
                <w:bCs/>
                <w:color w:val="auto"/>
                <w:w w:val="95"/>
                <w:sz w:val="10"/>
                <w:szCs w:val="10"/>
              </w:rPr>
              <w:t>future issuance under equity</w:t>
            </w:r>
          </w:p>
        </w:tc>
      </w:tr>
      <w:tr>
        <w:tblPrEx>
          <w:tblInd w:w="8" w:type="dxa"/>
          <w:tblLayout w:type="fixed"/>
        </w:tblPrEx>
        <w:trPr>
          <w:trHeight w:val="99"/>
        </w:trPr>
        <w:tc>
          <w:tcPr>
            <w:tcW w:w="4840" w:type="dxa"/>
            <w:vAlign w:val="bottom"/>
          </w:tcPr>
          <w:p>
            <w:pPr>
              <w:spacing w:after="0"/>
              <w:rPr>
                <w:color w:val="auto"/>
                <w:sz w:val="8"/>
                <w:szCs w:val="8"/>
              </w:rPr>
            </w:pPr>
          </w:p>
        </w:tc>
        <w:tc>
          <w:tcPr>
            <w:tcW w:w="3100" w:type="dxa"/>
            <w:vAlign w:val="bottom"/>
          </w:tcPr>
          <w:p>
            <w:pPr>
              <w:spacing w:after="0" w:line="99" w:lineRule="exact"/>
              <w:ind w:left="1430"/>
              <w:jc w:val="center"/>
              <w:rPr>
                <w:color w:val="auto"/>
                <w:sz w:val="20"/>
                <w:szCs w:val="20"/>
              </w:rPr>
            </w:pPr>
            <w:r>
              <w:rPr>
                <w:rFonts w:ascii="Calibri" w:eastAsia="Calibri" w:hAnsi="Calibri" w:cs="Calibri"/>
                <w:b/>
                <w:bCs/>
                <w:color w:val="auto"/>
                <w:w w:val="92"/>
                <w:sz w:val="10"/>
                <w:szCs w:val="10"/>
              </w:rPr>
              <w:t>outstanding</w:t>
            </w:r>
          </w:p>
        </w:tc>
        <w:tc>
          <w:tcPr>
            <w:tcW w:w="260" w:type="dxa"/>
            <w:vAlign w:val="bottom"/>
          </w:tcPr>
          <w:p>
            <w:pPr>
              <w:spacing w:after="0"/>
              <w:rPr>
                <w:color w:val="auto"/>
                <w:sz w:val="8"/>
                <w:szCs w:val="8"/>
              </w:rPr>
            </w:pPr>
          </w:p>
        </w:tc>
        <w:tc>
          <w:tcPr>
            <w:tcW w:w="1500" w:type="dxa"/>
            <w:vAlign w:val="bottom"/>
          </w:tcPr>
          <w:p>
            <w:pPr>
              <w:spacing w:after="0" w:line="99" w:lineRule="exact"/>
              <w:ind w:right="229"/>
              <w:jc w:val="center"/>
              <w:rPr>
                <w:color w:val="auto"/>
                <w:sz w:val="20"/>
                <w:szCs w:val="20"/>
              </w:rPr>
            </w:pPr>
            <w:r>
              <w:rPr>
                <w:rFonts w:ascii="Calibri" w:eastAsia="Calibri" w:hAnsi="Calibri" w:cs="Calibri"/>
                <w:b/>
                <w:bCs/>
                <w:color w:val="auto"/>
                <w:w w:val="95"/>
                <w:sz w:val="10"/>
                <w:szCs w:val="10"/>
              </w:rPr>
              <w:t>average exercise price of</w:t>
            </w:r>
          </w:p>
        </w:tc>
        <w:tc>
          <w:tcPr>
            <w:tcW w:w="1560" w:type="dxa"/>
            <w:vAlign w:val="bottom"/>
          </w:tcPr>
          <w:p>
            <w:pPr>
              <w:spacing w:after="0" w:line="99" w:lineRule="exact"/>
              <w:jc w:val="center"/>
              <w:rPr>
                <w:color w:val="auto"/>
                <w:sz w:val="20"/>
                <w:szCs w:val="20"/>
              </w:rPr>
            </w:pPr>
            <w:r>
              <w:rPr>
                <w:rFonts w:ascii="Calibri" w:eastAsia="Calibri" w:hAnsi="Calibri" w:cs="Calibri"/>
                <w:b/>
                <w:bCs/>
                <w:color w:val="auto"/>
                <w:w w:val="96"/>
                <w:sz w:val="10"/>
                <w:szCs w:val="10"/>
              </w:rPr>
              <w:t>compensaton plans (excluding</w:t>
            </w:r>
          </w:p>
        </w:tc>
      </w:tr>
      <w:tr>
        <w:tblPrEx>
          <w:tblInd w:w="8" w:type="dxa"/>
          <w:tblLayout w:type="fixed"/>
        </w:tblPrEx>
        <w:trPr>
          <w:trHeight w:val="90"/>
        </w:trPr>
        <w:tc>
          <w:tcPr>
            <w:tcW w:w="4840" w:type="dxa"/>
            <w:vAlign w:val="bottom"/>
          </w:tcPr>
          <w:p>
            <w:pPr>
              <w:spacing w:after="0"/>
              <w:rPr>
                <w:color w:val="auto"/>
                <w:sz w:val="7"/>
                <w:szCs w:val="7"/>
              </w:rPr>
            </w:pPr>
          </w:p>
        </w:tc>
        <w:tc>
          <w:tcPr>
            <w:tcW w:w="3100" w:type="dxa"/>
            <w:vAlign w:val="bottom"/>
          </w:tcPr>
          <w:p>
            <w:pPr>
              <w:spacing w:after="0" w:line="90" w:lineRule="exact"/>
              <w:ind w:left="1430"/>
              <w:jc w:val="center"/>
              <w:rPr>
                <w:color w:val="auto"/>
                <w:sz w:val="20"/>
                <w:szCs w:val="20"/>
              </w:rPr>
            </w:pPr>
            <w:r>
              <w:rPr>
                <w:rFonts w:ascii="Calibri" w:eastAsia="Calibri" w:hAnsi="Calibri" w:cs="Calibri"/>
                <w:b/>
                <w:bCs/>
                <w:color w:val="auto"/>
                <w:sz w:val="8"/>
                <w:szCs w:val="8"/>
              </w:rPr>
              <w:t>optons,</w:t>
            </w:r>
          </w:p>
        </w:tc>
        <w:tc>
          <w:tcPr>
            <w:tcW w:w="260" w:type="dxa"/>
            <w:vAlign w:val="bottom"/>
          </w:tcPr>
          <w:p>
            <w:pPr>
              <w:spacing w:after="0"/>
              <w:rPr>
                <w:color w:val="auto"/>
                <w:sz w:val="7"/>
                <w:szCs w:val="7"/>
              </w:rPr>
            </w:pPr>
          </w:p>
        </w:tc>
        <w:tc>
          <w:tcPr>
            <w:tcW w:w="1500" w:type="dxa"/>
            <w:vAlign w:val="bottom"/>
          </w:tcPr>
          <w:p>
            <w:pPr>
              <w:spacing w:after="0" w:line="90" w:lineRule="exact"/>
              <w:ind w:right="229"/>
              <w:jc w:val="center"/>
              <w:rPr>
                <w:color w:val="auto"/>
                <w:sz w:val="20"/>
                <w:szCs w:val="20"/>
              </w:rPr>
            </w:pPr>
            <w:r>
              <w:rPr>
                <w:rFonts w:ascii="Calibri" w:eastAsia="Calibri" w:hAnsi="Calibri" w:cs="Calibri"/>
                <w:b/>
                <w:bCs/>
                <w:color w:val="auto"/>
                <w:sz w:val="8"/>
                <w:szCs w:val="8"/>
              </w:rPr>
              <w:t>outstanding optons,</w:t>
            </w:r>
          </w:p>
        </w:tc>
        <w:tc>
          <w:tcPr>
            <w:tcW w:w="1560" w:type="dxa"/>
            <w:vAlign w:val="bottom"/>
          </w:tcPr>
          <w:p>
            <w:pPr>
              <w:spacing w:after="0" w:line="90" w:lineRule="exact"/>
              <w:ind w:right="10"/>
              <w:jc w:val="center"/>
              <w:rPr>
                <w:color w:val="auto"/>
                <w:sz w:val="20"/>
                <w:szCs w:val="20"/>
              </w:rPr>
            </w:pPr>
            <w:r>
              <w:rPr>
                <w:rFonts w:ascii="Calibri" w:eastAsia="Calibri" w:hAnsi="Calibri" w:cs="Calibri"/>
                <w:b/>
                <w:bCs/>
                <w:color w:val="auto"/>
                <w:sz w:val="8"/>
                <w:szCs w:val="8"/>
              </w:rPr>
              <w:t>securites</w:t>
            </w:r>
          </w:p>
        </w:tc>
      </w:tr>
      <w:tr>
        <w:tblPrEx>
          <w:tblInd w:w="8" w:type="dxa"/>
          <w:tblLayout w:type="fixed"/>
        </w:tblPrEx>
        <w:trPr>
          <w:trHeight w:val="99"/>
        </w:trPr>
        <w:tc>
          <w:tcPr>
            <w:tcW w:w="4840" w:type="dxa"/>
            <w:vAlign w:val="bottom"/>
          </w:tcPr>
          <w:p>
            <w:pPr>
              <w:spacing w:after="0"/>
              <w:rPr>
                <w:color w:val="auto"/>
                <w:sz w:val="8"/>
                <w:szCs w:val="8"/>
              </w:rPr>
            </w:pPr>
          </w:p>
        </w:tc>
        <w:tc>
          <w:tcPr>
            <w:tcW w:w="3100" w:type="dxa"/>
            <w:vAlign w:val="bottom"/>
          </w:tcPr>
          <w:p>
            <w:pPr>
              <w:spacing w:after="0" w:line="99" w:lineRule="exact"/>
              <w:ind w:left="1430"/>
              <w:jc w:val="center"/>
              <w:rPr>
                <w:color w:val="auto"/>
                <w:sz w:val="20"/>
                <w:szCs w:val="20"/>
              </w:rPr>
            </w:pPr>
            <w:r>
              <w:rPr>
                <w:rFonts w:ascii="Calibri" w:eastAsia="Calibri" w:hAnsi="Calibri" w:cs="Calibri"/>
                <w:b/>
                <w:bCs/>
                <w:color w:val="auto"/>
                <w:w w:val="97"/>
                <w:sz w:val="10"/>
                <w:szCs w:val="10"/>
              </w:rPr>
              <w:t>warrants and</w:t>
            </w:r>
          </w:p>
        </w:tc>
        <w:tc>
          <w:tcPr>
            <w:tcW w:w="260" w:type="dxa"/>
            <w:vAlign w:val="bottom"/>
          </w:tcPr>
          <w:p>
            <w:pPr>
              <w:spacing w:after="0"/>
              <w:rPr>
                <w:color w:val="auto"/>
                <w:sz w:val="8"/>
                <w:szCs w:val="8"/>
              </w:rPr>
            </w:pPr>
          </w:p>
        </w:tc>
        <w:tc>
          <w:tcPr>
            <w:tcW w:w="1500" w:type="dxa"/>
            <w:vAlign w:val="bottom"/>
          </w:tcPr>
          <w:p>
            <w:pPr>
              <w:spacing w:after="0" w:line="99" w:lineRule="exact"/>
              <w:ind w:right="249"/>
              <w:jc w:val="center"/>
              <w:rPr>
                <w:color w:val="auto"/>
                <w:sz w:val="20"/>
                <w:szCs w:val="20"/>
              </w:rPr>
            </w:pPr>
            <w:r>
              <w:rPr>
                <w:rFonts w:ascii="Calibri" w:eastAsia="Calibri" w:hAnsi="Calibri" w:cs="Calibri"/>
                <w:b/>
                <w:bCs/>
                <w:color w:val="auto"/>
                <w:w w:val="94"/>
                <w:sz w:val="10"/>
                <w:szCs w:val="10"/>
              </w:rPr>
              <w:t>warrants and</w:t>
            </w:r>
          </w:p>
        </w:tc>
        <w:tc>
          <w:tcPr>
            <w:tcW w:w="1560" w:type="dxa"/>
            <w:vAlign w:val="bottom"/>
          </w:tcPr>
          <w:p>
            <w:pPr>
              <w:spacing w:after="0" w:line="99" w:lineRule="exact"/>
              <w:jc w:val="center"/>
              <w:rPr>
                <w:color w:val="auto"/>
                <w:sz w:val="20"/>
                <w:szCs w:val="20"/>
              </w:rPr>
            </w:pPr>
            <w:r>
              <w:rPr>
                <w:rFonts w:ascii="Calibri" w:eastAsia="Calibri" w:hAnsi="Calibri" w:cs="Calibri"/>
                <w:b/>
                <w:bCs/>
                <w:color w:val="auto"/>
                <w:sz w:val="10"/>
                <w:szCs w:val="10"/>
              </w:rPr>
              <w:t>refected in</w:t>
            </w:r>
          </w:p>
        </w:tc>
      </w:tr>
      <w:tr>
        <w:tblPrEx>
          <w:tblInd w:w="8" w:type="dxa"/>
          <w:tblLayout w:type="fixed"/>
        </w:tblPrEx>
        <w:trPr>
          <w:trHeight w:val="112"/>
        </w:trPr>
        <w:tc>
          <w:tcPr>
            <w:tcW w:w="4840" w:type="dxa"/>
            <w:vAlign w:val="bottom"/>
          </w:tcPr>
          <w:p>
            <w:pPr>
              <w:spacing w:after="0" w:line="112" w:lineRule="exact"/>
              <w:rPr>
                <w:color w:val="auto"/>
                <w:sz w:val="20"/>
                <w:szCs w:val="20"/>
              </w:rPr>
            </w:pPr>
            <w:r>
              <w:rPr>
                <w:rFonts w:ascii="Calibri" w:eastAsia="Calibri" w:hAnsi="Calibri" w:cs="Calibri"/>
                <w:b/>
                <w:bCs/>
                <w:color w:val="auto"/>
                <w:sz w:val="10"/>
                <w:szCs w:val="10"/>
              </w:rPr>
              <w:t>Plan Category</w:t>
            </w:r>
          </w:p>
        </w:tc>
        <w:tc>
          <w:tcPr>
            <w:tcW w:w="3100" w:type="dxa"/>
            <w:vAlign w:val="bottom"/>
          </w:tcPr>
          <w:p>
            <w:pPr>
              <w:spacing w:after="0" w:line="112" w:lineRule="exact"/>
              <w:ind w:left="1430"/>
              <w:jc w:val="center"/>
              <w:rPr>
                <w:color w:val="auto"/>
                <w:sz w:val="20"/>
                <w:szCs w:val="20"/>
              </w:rPr>
            </w:pPr>
            <w:r>
              <w:rPr>
                <w:rFonts w:ascii="Calibri" w:eastAsia="Calibri" w:hAnsi="Calibri" w:cs="Calibri"/>
                <w:b/>
                <w:bCs/>
                <w:color w:val="auto"/>
                <w:w w:val="91"/>
                <w:sz w:val="10"/>
                <w:szCs w:val="10"/>
              </w:rPr>
              <w:t>rights (1)</w:t>
            </w:r>
          </w:p>
        </w:tc>
        <w:tc>
          <w:tcPr>
            <w:tcW w:w="260" w:type="dxa"/>
            <w:vAlign w:val="bottom"/>
          </w:tcPr>
          <w:p>
            <w:pPr>
              <w:spacing w:after="0"/>
              <w:rPr>
                <w:color w:val="auto"/>
                <w:sz w:val="9"/>
                <w:szCs w:val="9"/>
              </w:rPr>
            </w:pPr>
          </w:p>
        </w:tc>
        <w:tc>
          <w:tcPr>
            <w:tcW w:w="1500" w:type="dxa"/>
            <w:vAlign w:val="bottom"/>
          </w:tcPr>
          <w:p>
            <w:pPr>
              <w:spacing w:after="0" w:line="112" w:lineRule="exact"/>
              <w:ind w:right="249"/>
              <w:jc w:val="center"/>
              <w:rPr>
                <w:color w:val="auto"/>
                <w:sz w:val="20"/>
                <w:szCs w:val="20"/>
              </w:rPr>
            </w:pPr>
            <w:r>
              <w:rPr>
                <w:rFonts w:ascii="Calibri" w:eastAsia="Calibri" w:hAnsi="Calibri" w:cs="Calibri"/>
                <w:b/>
                <w:bCs/>
                <w:color w:val="auto"/>
                <w:w w:val="96"/>
                <w:sz w:val="10"/>
                <w:szCs w:val="10"/>
              </w:rPr>
              <w:t>rights (2)</w:t>
            </w:r>
          </w:p>
        </w:tc>
        <w:tc>
          <w:tcPr>
            <w:tcW w:w="1560" w:type="dxa"/>
            <w:vAlign w:val="bottom"/>
          </w:tcPr>
          <w:p>
            <w:pPr>
              <w:spacing w:after="0" w:line="112" w:lineRule="exact"/>
              <w:jc w:val="center"/>
              <w:rPr>
                <w:color w:val="auto"/>
                <w:sz w:val="20"/>
                <w:szCs w:val="20"/>
              </w:rPr>
            </w:pPr>
            <w:r>
              <w:rPr>
                <w:rFonts w:ascii="Calibri" w:eastAsia="Calibri" w:hAnsi="Calibri" w:cs="Calibri"/>
                <w:b/>
                <w:bCs/>
                <w:color w:val="auto"/>
                <w:w w:val="98"/>
                <w:sz w:val="10"/>
                <w:szCs w:val="10"/>
              </w:rPr>
              <w:t>column (a)) (3)</w:t>
            </w:r>
          </w:p>
        </w:tc>
      </w:tr>
      <w:tr>
        <w:tblPrEx>
          <w:tblInd w:w="8" w:type="dxa"/>
          <w:tblLayout w:type="fixed"/>
        </w:tblPrEx>
        <w:trPr>
          <w:trHeight w:val="32"/>
        </w:trPr>
        <w:tc>
          <w:tcPr>
            <w:tcW w:w="4840" w:type="dxa"/>
            <w:tcBorders>
              <w:bottom w:val="single" w:sz="8" w:space="0" w:color="auto"/>
            </w:tcBorders>
            <w:vAlign w:val="bottom"/>
          </w:tcPr>
          <w:p>
            <w:pPr>
              <w:spacing w:after="0"/>
              <w:rPr>
                <w:color w:val="auto"/>
                <w:sz w:val="2"/>
                <w:szCs w:val="2"/>
              </w:rPr>
            </w:pPr>
          </w:p>
        </w:tc>
        <w:tc>
          <w:tcPr>
            <w:tcW w:w="3100" w:type="dxa"/>
            <w:tcBorders>
              <w:bottom w:val="single" w:sz="8" w:space="0" w:color="auto"/>
            </w:tcBorders>
            <w:vAlign w:val="bottom"/>
          </w:tcPr>
          <w:p>
            <w:pPr>
              <w:spacing w:after="0"/>
              <w:rPr>
                <w:color w:val="auto"/>
                <w:sz w:val="2"/>
                <w:szCs w:val="2"/>
              </w:rPr>
            </w:pPr>
          </w:p>
        </w:tc>
        <w:tc>
          <w:tcPr>
            <w:tcW w:w="260" w:type="dxa"/>
            <w:tcBorders>
              <w:bottom w:val="single" w:sz="8" w:space="0" w:color="auto"/>
            </w:tcBorders>
            <w:vAlign w:val="bottom"/>
          </w:tcPr>
          <w:p>
            <w:pPr>
              <w:spacing w:after="0"/>
              <w:rPr>
                <w:color w:val="auto"/>
                <w:sz w:val="2"/>
                <w:szCs w:val="2"/>
              </w:rPr>
            </w:pPr>
          </w:p>
        </w:tc>
        <w:tc>
          <w:tcPr>
            <w:tcW w:w="1500" w:type="dxa"/>
            <w:tcBorders>
              <w:bottom w:val="single" w:sz="8" w:space="0" w:color="auto"/>
            </w:tcBorders>
            <w:vAlign w:val="bottom"/>
          </w:tcPr>
          <w:p>
            <w:pPr>
              <w:spacing w:after="0"/>
              <w:rPr>
                <w:color w:val="auto"/>
                <w:sz w:val="2"/>
                <w:szCs w:val="2"/>
              </w:rPr>
            </w:pPr>
          </w:p>
        </w:tc>
        <w:tc>
          <w:tcPr>
            <w:tcW w:w="1560" w:type="dxa"/>
            <w:tcBorders>
              <w:bottom w:val="single" w:sz="8" w:space="0" w:color="auto"/>
            </w:tcBorders>
            <w:vAlign w:val="bottom"/>
          </w:tcPr>
          <w:p>
            <w:pPr>
              <w:spacing w:after="0"/>
              <w:rPr>
                <w:color w:val="auto"/>
                <w:sz w:val="2"/>
                <w:szCs w:val="2"/>
              </w:rPr>
            </w:pPr>
          </w:p>
        </w:tc>
      </w:tr>
      <w:tr>
        <w:tblPrEx>
          <w:tblInd w:w="8" w:type="dxa"/>
          <w:tblLayout w:type="fixed"/>
        </w:tblPrEx>
        <w:trPr>
          <w:trHeight w:val="142"/>
        </w:trPr>
        <w:tc>
          <w:tcPr>
            <w:tcW w:w="4840" w:type="dxa"/>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Equity compensaton plans approved by security holders</w:t>
            </w:r>
          </w:p>
        </w:tc>
        <w:tc>
          <w:tcPr>
            <w:tcW w:w="3100" w:type="dxa"/>
            <w:shd w:val="clear" w:color="auto" w:fill="CCEEFF"/>
            <w:vAlign w:val="bottom"/>
          </w:tcPr>
          <w:p>
            <w:pPr>
              <w:spacing w:after="0" w:line="142" w:lineRule="exact"/>
              <w:ind w:right="30"/>
              <w:jc w:val="right"/>
              <w:rPr>
                <w:color w:val="auto"/>
                <w:sz w:val="20"/>
                <w:szCs w:val="20"/>
              </w:rPr>
            </w:pPr>
            <w:r>
              <w:rPr>
                <w:rFonts w:ascii="Calibri" w:eastAsia="Calibri" w:hAnsi="Calibri" w:cs="Calibri"/>
                <w:color w:val="auto"/>
                <w:sz w:val="12"/>
                <w:szCs w:val="12"/>
              </w:rPr>
              <w:t>16,000,443</w:t>
            </w:r>
          </w:p>
        </w:tc>
        <w:tc>
          <w:tcPr>
            <w:tcW w:w="260" w:type="dxa"/>
            <w:shd w:val="clear" w:color="auto" w:fill="CCEEFF"/>
            <w:vAlign w:val="bottom"/>
          </w:tcPr>
          <w:p>
            <w:pPr>
              <w:spacing w:after="0" w:line="142" w:lineRule="exact"/>
              <w:ind w:right="60"/>
              <w:jc w:val="right"/>
              <w:rPr>
                <w:color w:val="auto"/>
                <w:sz w:val="20"/>
                <w:szCs w:val="20"/>
              </w:rPr>
            </w:pPr>
            <w:r>
              <w:rPr>
                <w:rFonts w:ascii="Calibri" w:eastAsia="Calibri" w:hAnsi="Calibri" w:cs="Calibri"/>
                <w:color w:val="auto"/>
                <w:sz w:val="12"/>
                <w:szCs w:val="12"/>
              </w:rPr>
              <w:t>$</w:t>
            </w:r>
          </w:p>
        </w:tc>
        <w:tc>
          <w:tcPr>
            <w:tcW w:w="1500" w:type="dxa"/>
            <w:shd w:val="clear" w:color="auto" w:fill="CCEEFF"/>
            <w:vAlign w:val="bottom"/>
          </w:tcPr>
          <w:p>
            <w:pPr>
              <w:spacing w:after="0" w:line="142" w:lineRule="exact"/>
              <w:ind w:right="109"/>
              <w:jc w:val="right"/>
              <w:rPr>
                <w:color w:val="auto"/>
                <w:sz w:val="20"/>
                <w:szCs w:val="20"/>
              </w:rPr>
            </w:pPr>
            <w:r>
              <w:rPr>
                <w:rFonts w:ascii="Calibri" w:eastAsia="Calibri" w:hAnsi="Calibri" w:cs="Calibri"/>
                <w:color w:val="auto"/>
                <w:sz w:val="12"/>
                <w:szCs w:val="12"/>
              </w:rPr>
              <w:t>117.48</w:t>
            </w:r>
          </w:p>
        </w:tc>
        <w:tc>
          <w:tcPr>
            <w:tcW w:w="1560" w:type="dxa"/>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55,106,928</w:t>
            </w:r>
          </w:p>
        </w:tc>
      </w:tr>
      <w:tr>
        <w:tblPrEx>
          <w:tblInd w:w="8" w:type="dxa"/>
          <w:tblLayout w:type="fixed"/>
        </w:tblPrEx>
        <w:trPr>
          <w:trHeight w:val="147"/>
        </w:trPr>
        <w:tc>
          <w:tcPr>
            <w:tcW w:w="4840" w:type="dxa"/>
            <w:tcBorders>
              <w:bottom w:val="single" w:sz="8" w:space="0" w:color="auto"/>
            </w:tcBorders>
            <w:vAlign w:val="bottom"/>
          </w:tcPr>
          <w:p>
            <w:pPr>
              <w:spacing w:after="0" w:line="142" w:lineRule="exact"/>
              <w:rPr>
                <w:color w:val="auto"/>
                <w:sz w:val="20"/>
                <w:szCs w:val="20"/>
              </w:rPr>
            </w:pPr>
            <w:r>
              <w:rPr>
                <w:rFonts w:ascii="Calibri" w:eastAsia="Calibri" w:hAnsi="Calibri" w:cs="Calibri"/>
                <w:color w:val="auto"/>
                <w:sz w:val="12"/>
                <w:szCs w:val="12"/>
              </w:rPr>
              <w:t>Equity compensaton plans not approved by security holders</w:t>
            </w:r>
          </w:p>
        </w:tc>
        <w:tc>
          <w:tcPr>
            <w:tcW w:w="3100" w:type="dxa"/>
            <w:tcBorders>
              <w:bottom w:val="single" w:sz="8" w:space="0" w:color="auto"/>
            </w:tcBorders>
            <w:vAlign w:val="bottom"/>
          </w:tcPr>
          <w:p>
            <w:pPr>
              <w:spacing w:after="0" w:line="142" w:lineRule="exact"/>
              <w:ind w:right="10"/>
              <w:jc w:val="right"/>
              <w:rPr>
                <w:color w:val="auto"/>
                <w:sz w:val="20"/>
                <w:szCs w:val="20"/>
              </w:rPr>
            </w:pPr>
            <w:r>
              <w:rPr>
                <w:rFonts w:ascii="Calibri" w:eastAsia="Calibri" w:hAnsi="Calibri" w:cs="Calibri"/>
                <w:color w:val="auto"/>
                <w:sz w:val="12"/>
                <w:szCs w:val="12"/>
              </w:rPr>
              <w:t>—</w:t>
            </w:r>
          </w:p>
        </w:tc>
        <w:tc>
          <w:tcPr>
            <w:tcW w:w="260" w:type="dxa"/>
            <w:tcBorders>
              <w:bottom w:val="single" w:sz="8" w:space="0" w:color="auto"/>
            </w:tcBorders>
            <w:vAlign w:val="bottom"/>
          </w:tcPr>
          <w:p>
            <w:pPr>
              <w:spacing w:after="0"/>
              <w:rPr>
                <w:color w:val="auto"/>
                <w:sz w:val="12"/>
                <w:szCs w:val="12"/>
              </w:rPr>
            </w:pPr>
          </w:p>
        </w:tc>
        <w:tc>
          <w:tcPr>
            <w:tcW w:w="1500" w:type="dxa"/>
            <w:tcBorders>
              <w:bottom w:val="single" w:sz="8" w:space="0" w:color="auto"/>
            </w:tcBorders>
            <w:vAlign w:val="bottom"/>
          </w:tcPr>
          <w:p>
            <w:pPr>
              <w:spacing w:after="0" w:line="142" w:lineRule="exact"/>
              <w:ind w:right="109"/>
              <w:jc w:val="right"/>
              <w:rPr>
                <w:color w:val="auto"/>
                <w:sz w:val="20"/>
                <w:szCs w:val="20"/>
              </w:rPr>
            </w:pPr>
            <w:r>
              <w:rPr>
                <w:rFonts w:ascii="Calibri" w:eastAsia="Calibri" w:hAnsi="Calibri" w:cs="Calibri"/>
                <w:color w:val="auto"/>
                <w:sz w:val="12"/>
                <w:szCs w:val="12"/>
              </w:rPr>
              <w:t>—</w:t>
            </w:r>
          </w:p>
        </w:tc>
        <w:tc>
          <w:tcPr>
            <w:tcW w:w="1560" w:type="dxa"/>
            <w:tcBorders>
              <w:bottom w:val="single" w:sz="8" w:space="0" w:color="auto"/>
            </w:tcBorders>
            <w:vAlign w:val="bottom"/>
          </w:tcPr>
          <w:p>
            <w:pPr>
              <w:spacing w:after="0" w:line="142" w:lineRule="exact"/>
              <w:jc w:val="right"/>
              <w:rPr>
                <w:color w:val="auto"/>
                <w:sz w:val="20"/>
                <w:szCs w:val="20"/>
              </w:rPr>
            </w:pPr>
            <w:r>
              <w:rPr>
                <w:rFonts w:ascii="Calibri" w:eastAsia="Calibri" w:hAnsi="Calibri" w:cs="Calibri"/>
                <w:color w:val="auto"/>
                <w:sz w:val="12"/>
                <w:szCs w:val="12"/>
              </w:rPr>
              <w:t>—</w:t>
            </w:r>
          </w:p>
        </w:tc>
      </w:tr>
      <w:tr>
        <w:tblPrEx>
          <w:tblInd w:w="8" w:type="dxa"/>
          <w:tblLayout w:type="fixed"/>
        </w:tblPrEx>
        <w:trPr>
          <w:trHeight w:val="164"/>
        </w:trPr>
        <w:tc>
          <w:tcPr>
            <w:tcW w:w="4840" w:type="dxa"/>
            <w:tcBorders>
              <w:bottom w:val="single" w:sz="8" w:space="0" w:color="auto"/>
            </w:tcBorders>
            <w:shd w:val="clear" w:color="auto" w:fill="CCEEFF"/>
            <w:vAlign w:val="bottom"/>
          </w:tcPr>
          <w:p>
            <w:pPr>
              <w:spacing w:after="0" w:line="142" w:lineRule="exact"/>
              <w:rPr>
                <w:color w:val="auto"/>
                <w:sz w:val="20"/>
                <w:szCs w:val="20"/>
              </w:rPr>
            </w:pPr>
            <w:r>
              <w:rPr>
                <w:rFonts w:ascii="Calibri" w:eastAsia="Calibri" w:hAnsi="Calibri" w:cs="Calibri"/>
                <w:color w:val="auto"/>
                <w:sz w:val="12"/>
                <w:szCs w:val="12"/>
              </w:rPr>
              <w:t>Total</w:t>
            </w:r>
          </w:p>
        </w:tc>
        <w:tc>
          <w:tcPr>
            <w:tcW w:w="3100" w:type="dxa"/>
            <w:tcBorders>
              <w:bottom w:val="single" w:sz="8" w:space="0" w:color="auto"/>
            </w:tcBorders>
            <w:shd w:val="clear" w:color="auto" w:fill="CCEEFF"/>
            <w:vAlign w:val="bottom"/>
          </w:tcPr>
          <w:p>
            <w:pPr>
              <w:spacing w:after="0" w:line="142" w:lineRule="exact"/>
              <w:ind w:right="30"/>
              <w:jc w:val="right"/>
              <w:rPr>
                <w:color w:val="auto"/>
                <w:sz w:val="20"/>
                <w:szCs w:val="20"/>
              </w:rPr>
            </w:pPr>
            <w:r>
              <w:rPr>
                <w:rFonts w:ascii="Calibri" w:eastAsia="Calibri" w:hAnsi="Calibri" w:cs="Calibri"/>
                <w:color w:val="auto"/>
                <w:sz w:val="12"/>
                <w:szCs w:val="12"/>
              </w:rPr>
              <w:t>16,000,443</w:t>
            </w:r>
          </w:p>
        </w:tc>
        <w:tc>
          <w:tcPr>
            <w:tcW w:w="260" w:type="dxa"/>
            <w:tcBorders>
              <w:bottom w:val="single" w:sz="8" w:space="0" w:color="auto"/>
            </w:tcBorders>
            <w:shd w:val="clear" w:color="auto" w:fill="CCEEFF"/>
            <w:vAlign w:val="bottom"/>
          </w:tcPr>
          <w:p>
            <w:pPr>
              <w:spacing w:after="0" w:line="142" w:lineRule="exact"/>
              <w:ind w:right="60"/>
              <w:jc w:val="right"/>
              <w:rPr>
                <w:color w:val="auto"/>
                <w:sz w:val="20"/>
                <w:szCs w:val="20"/>
              </w:rPr>
            </w:pPr>
            <w:r>
              <w:rPr>
                <w:rFonts w:ascii="Calibri" w:eastAsia="Calibri" w:hAnsi="Calibri" w:cs="Calibri"/>
                <w:color w:val="auto"/>
                <w:sz w:val="12"/>
                <w:szCs w:val="12"/>
              </w:rPr>
              <w:t>$</w:t>
            </w:r>
          </w:p>
        </w:tc>
        <w:tc>
          <w:tcPr>
            <w:tcW w:w="1500" w:type="dxa"/>
            <w:tcBorders>
              <w:bottom w:val="single" w:sz="8" w:space="0" w:color="auto"/>
            </w:tcBorders>
            <w:shd w:val="clear" w:color="auto" w:fill="CCEEFF"/>
            <w:vAlign w:val="bottom"/>
          </w:tcPr>
          <w:p>
            <w:pPr>
              <w:spacing w:after="0" w:line="142" w:lineRule="exact"/>
              <w:ind w:right="109"/>
              <w:jc w:val="right"/>
              <w:rPr>
                <w:color w:val="auto"/>
                <w:sz w:val="20"/>
                <w:szCs w:val="20"/>
              </w:rPr>
            </w:pPr>
            <w:r>
              <w:rPr>
                <w:rFonts w:ascii="Calibri" w:eastAsia="Calibri" w:hAnsi="Calibri" w:cs="Calibri"/>
                <w:color w:val="auto"/>
                <w:sz w:val="12"/>
                <w:szCs w:val="12"/>
              </w:rPr>
              <w:t>117.48</w:t>
            </w:r>
          </w:p>
        </w:tc>
        <w:tc>
          <w:tcPr>
            <w:tcW w:w="1560" w:type="dxa"/>
            <w:tcBorders>
              <w:bottom w:val="single" w:sz="8" w:space="0" w:color="auto"/>
            </w:tcBorders>
            <w:shd w:val="clear" w:color="auto" w:fill="CCEEFF"/>
            <w:vAlign w:val="bottom"/>
          </w:tcPr>
          <w:p>
            <w:pPr>
              <w:spacing w:after="0" w:line="142" w:lineRule="exact"/>
              <w:jc w:val="right"/>
              <w:rPr>
                <w:color w:val="auto"/>
                <w:sz w:val="20"/>
                <w:szCs w:val="20"/>
              </w:rPr>
            </w:pPr>
            <w:r>
              <w:rPr>
                <w:rFonts w:ascii="Calibri" w:eastAsia="Calibri" w:hAnsi="Calibri" w:cs="Calibri"/>
                <w:color w:val="auto"/>
                <w:sz w:val="12"/>
                <w:szCs w:val="12"/>
              </w:rPr>
              <w:t>55,106,928</w:t>
            </w:r>
          </w:p>
        </w:tc>
      </w:tr>
    </w:tbl>
    <w:p>
      <w:pPr>
        <w:spacing w:after="0" w:line="161" w:lineRule="exact"/>
        <w:rPr>
          <w:color w:val="auto"/>
          <w:sz w:val="20"/>
          <w:szCs w:val="20"/>
        </w:rPr>
      </w:pPr>
    </w:p>
    <w:p>
      <w:pPr>
        <w:numPr>
          <w:ilvl w:val="1"/>
          <w:numId w:val="33"/>
        </w:numPr>
        <w:tabs>
          <w:tab w:val="left" w:pos="428"/>
        </w:tabs>
        <w:spacing w:after="0"/>
        <w:ind w:left="428" w:hanging="212"/>
        <w:rPr>
          <w:rFonts w:ascii="Calibri" w:eastAsia="Calibri" w:hAnsi="Calibri" w:cs="Calibri"/>
          <w:color w:val="auto"/>
          <w:sz w:val="12"/>
          <w:szCs w:val="12"/>
        </w:rPr>
      </w:pPr>
      <w:r>
        <w:rPr>
          <w:rFonts w:ascii="Calibri" w:eastAsia="Calibri" w:hAnsi="Calibri" w:cs="Calibri"/>
          <w:color w:val="auto"/>
          <w:sz w:val="12"/>
          <w:szCs w:val="12"/>
        </w:rPr>
        <w:t>Includes 12,197 shares issuable under AbbVie's Incentve Stock Program pursuant to awards granted by Abbot and adjusted into AbbVie awards in connecton with AbbVie's separaton from Abbot.</w:t>
      </w:r>
    </w:p>
    <w:p>
      <w:pPr>
        <w:spacing w:after="0" w:line="87" w:lineRule="exact"/>
        <w:rPr>
          <w:rFonts w:ascii="Calibri" w:eastAsia="Calibri" w:hAnsi="Calibri" w:cs="Calibri"/>
          <w:color w:val="auto"/>
          <w:sz w:val="12"/>
          <w:szCs w:val="12"/>
        </w:rPr>
      </w:pPr>
    </w:p>
    <w:p>
      <w:pPr>
        <w:numPr>
          <w:ilvl w:val="1"/>
          <w:numId w:val="33"/>
        </w:numPr>
        <w:tabs>
          <w:tab w:val="left" w:pos="428"/>
        </w:tabs>
        <w:spacing w:after="0"/>
        <w:ind w:left="428" w:hanging="212"/>
        <w:rPr>
          <w:rFonts w:ascii="Calibri" w:eastAsia="Calibri" w:hAnsi="Calibri" w:cs="Calibri"/>
          <w:color w:val="auto"/>
          <w:sz w:val="12"/>
          <w:szCs w:val="12"/>
        </w:rPr>
      </w:pPr>
      <w:r>
        <w:rPr>
          <w:rFonts w:ascii="Calibri" w:eastAsia="Calibri" w:hAnsi="Calibri" w:cs="Calibri"/>
          <w:color w:val="auto"/>
          <w:sz w:val="12"/>
          <w:szCs w:val="12"/>
        </w:rPr>
        <w:t>The weighted-average exercise price does not include outstanding restricted stock units, restricted stock awards and performance shares that have no exercise price.</w:t>
      </w:r>
    </w:p>
    <w:p>
      <w:pPr>
        <w:spacing w:after="0" w:line="101" w:lineRule="exact"/>
        <w:rPr>
          <w:rFonts w:ascii="Calibri" w:eastAsia="Calibri" w:hAnsi="Calibri" w:cs="Calibri"/>
          <w:color w:val="auto"/>
          <w:sz w:val="12"/>
          <w:szCs w:val="12"/>
        </w:rPr>
      </w:pPr>
    </w:p>
    <w:p>
      <w:pPr>
        <w:numPr>
          <w:ilvl w:val="1"/>
          <w:numId w:val="33"/>
        </w:numPr>
        <w:tabs>
          <w:tab w:val="left" w:pos="423"/>
        </w:tabs>
        <w:spacing w:after="0" w:line="235" w:lineRule="auto"/>
        <w:ind w:left="428" w:right="40" w:hanging="212"/>
        <w:rPr>
          <w:rFonts w:ascii="Calibri" w:eastAsia="Calibri" w:hAnsi="Calibri" w:cs="Calibri"/>
          <w:color w:val="auto"/>
          <w:sz w:val="12"/>
          <w:szCs w:val="12"/>
        </w:rPr>
      </w:pPr>
      <w:r>
        <w:rPr>
          <w:rFonts w:ascii="Calibri" w:eastAsia="Calibri" w:hAnsi="Calibri" w:cs="Calibri"/>
          <w:color w:val="auto"/>
          <w:sz w:val="12"/>
          <w:szCs w:val="12"/>
        </w:rPr>
        <w:t>Excludes shares issuable upon the exercise of stock optons and pursuant to other rights granted under the Stemcentrx 2011 Equity Incentve Plan, the ImmunoGen 2018 Equity Incentve Plan and the Cerevel Therapeutcs 2020 Equity Incentve Plan. AbbVie assumed these incentve plans upon the consummaton of acquisiton of Stemcentrx, Inc., ImmunoGen Inc. and Cerevel Therapeutcs Holdings, Inc. As of December 31, 2024, 33,494 optons with a weighted-average exercise price of $18.89 remained outstanding under the Stemcentrx plan, and 120,401 and 174,123 unvested restricted stock units remained outstanding under the ImmunoGen and Cerevel Therapeutcs plans, respectvely. No further awards will be granted under these plans.</w:t>
      </w:r>
    </w:p>
    <w:p>
      <w:pPr>
        <w:spacing w:after="0" w:line="101" w:lineRule="exact"/>
        <w:rPr>
          <w:rFonts w:ascii="Calibri" w:eastAsia="Calibri" w:hAnsi="Calibri" w:cs="Calibri"/>
          <w:color w:val="auto"/>
          <w:sz w:val="12"/>
          <w:szCs w:val="12"/>
        </w:rPr>
      </w:pPr>
    </w:p>
    <w:p>
      <w:pPr>
        <w:numPr>
          <w:ilvl w:val="0"/>
          <w:numId w:val="34"/>
        </w:numPr>
        <w:tabs>
          <w:tab w:val="left" w:pos="204"/>
        </w:tabs>
        <w:spacing w:after="0" w:line="234" w:lineRule="auto"/>
        <w:ind w:left="208" w:right="420" w:hanging="208"/>
        <w:rPr>
          <w:rFonts w:ascii="Calibri" w:eastAsia="Calibri" w:hAnsi="Calibri" w:cs="Calibri"/>
          <w:i/>
          <w:iCs/>
          <w:color w:val="auto"/>
          <w:sz w:val="12"/>
          <w:szCs w:val="12"/>
        </w:rPr>
      </w:pPr>
      <w:r>
        <w:rPr>
          <w:rFonts w:ascii="Calibri" w:eastAsia="Calibri" w:hAnsi="Calibri" w:cs="Calibri"/>
          <w:i/>
          <w:iCs/>
          <w:color w:val="auto"/>
          <w:sz w:val="12"/>
          <w:szCs w:val="12"/>
        </w:rPr>
        <w:t xml:space="preserve">Informaton Concerning Security Ownership. </w:t>
      </w:r>
      <w:r>
        <w:rPr>
          <w:rFonts w:ascii="Calibri" w:eastAsia="Calibri" w:hAnsi="Calibri" w:cs="Calibri"/>
          <w:color w:val="auto"/>
          <w:sz w:val="12"/>
          <w:szCs w:val="12"/>
        </w:rPr>
        <w:t>Incorporated herein by reference is the material under the heading "Securites Ownership—Securites Ownership of Executve Ofcers and Directors" in the 2025 AbbVie Inc. Proxy</w:t>
      </w:r>
      <w:r>
        <w:rPr>
          <w:rFonts w:ascii="Calibri" w:eastAsia="Calibri" w:hAnsi="Calibri" w:cs="Calibri"/>
          <w:i/>
          <w:iCs/>
          <w:color w:val="auto"/>
          <w:sz w:val="12"/>
          <w:szCs w:val="12"/>
        </w:rPr>
        <w:t xml:space="preserve"> </w:t>
      </w:r>
      <w:r>
        <w:rPr>
          <w:rFonts w:ascii="Calibri" w:eastAsia="Calibri" w:hAnsi="Calibri" w:cs="Calibri"/>
          <w:color w:val="auto"/>
          <w:sz w:val="12"/>
          <w:szCs w:val="12"/>
        </w:rPr>
        <w:t>Statement. The 2025 Defnitve Proxy Statement will be fled on or about March 24, 2025.</w:t>
      </w:r>
    </w:p>
    <w:p>
      <w:pPr>
        <w:spacing w:after="0" w:line="141" w:lineRule="exact"/>
        <w:rPr>
          <w:color w:val="auto"/>
          <w:sz w:val="20"/>
          <w:szCs w:val="20"/>
        </w:rPr>
      </w:pPr>
    </w:p>
    <w:p>
      <w:pPr>
        <w:spacing w:after="0"/>
        <w:ind w:left="8"/>
        <w:rPr>
          <w:color w:val="auto"/>
          <w:sz w:val="20"/>
          <w:szCs w:val="20"/>
        </w:rPr>
      </w:pPr>
      <w:r>
        <w:rPr>
          <w:rFonts w:ascii="Calibri" w:eastAsia="Calibri" w:hAnsi="Calibri" w:cs="Calibri"/>
          <w:b/>
          <w:bCs/>
          <w:color w:val="444867"/>
          <w:sz w:val="14"/>
          <w:szCs w:val="14"/>
        </w:rPr>
        <w:t>ITEM 13. CERTAIN RELATIONSHIPS AND RELATED TRANSACTIONS, AND DIRECTOR INDEPENDENCE</w:t>
      </w:r>
    </w:p>
    <w:p>
      <w:pPr>
        <w:spacing w:after="0" w:line="20" w:lineRule="exact"/>
        <w:rPr>
          <w:color w:val="auto"/>
          <w:sz w:val="20"/>
          <w:szCs w:val="20"/>
        </w:rPr>
      </w:pPr>
      <w:r>
        <w:rPr>
          <w:color w:val="auto"/>
          <w:sz w:val="20"/>
          <w:szCs w:val="20"/>
        </w:rPr>
        <w:drawing>
          <wp:anchor simplePos="0" relativeHeight="251938816" behindDoc="1" locked="0" layoutInCell="0" allowOverlap="1">
            <wp:simplePos x="0" y="0"/>
            <wp:positionH relativeFrom="column">
              <wp:posOffset>0</wp:posOffset>
            </wp:positionH>
            <wp:positionV relativeFrom="paragraph">
              <wp:posOffset>24130</wp:posOffset>
            </wp:positionV>
            <wp:extent cx="7166610" cy="5715"/>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192" w:lineRule="exact"/>
        <w:rPr>
          <w:color w:val="auto"/>
          <w:sz w:val="20"/>
          <w:szCs w:val="20"/>
        </w:rPr>
      </w:pPr>
    </w:p>
    <w:p>
      <w:pPr>
        <w:spacing w:after="0" w:line="234" w:lineRule="auto"/>
        <w:ind w:left="8" w:right="20" w:firstLine="297"/>
        <w:rPr>
          <w:color w:val="auto"/>
          <w:sz w:val="20"/>
          <w:szCs w:val="20"/>
        </w:rPr>
      </w:pPr>
      <w:r>
        <w:rPr>
          <w:rFonts w:ascii="Calibri" w:eastAsia="Calibri" w:hAnsi="Calibri" w:cs="Calibri"/>
          <w:color w:val="auto"/>
          <w:sz w:val="12"/>
          <w:szCs w:val="12"/>
        </w:rPr>
        <w:t>The material to be included in the 2025 AbbVie Inc. Proxy Statement under the headings "The Board of Directors and its Commitees," "Corporate Governance Materials," and "Procedures for Approval of Related Person Transactons" is incorporated herein by reference. The 2025 Defnitve Proxy Statement will be fled on or about March 24, 2025.</w:t>
      </w:r>
    </w:p>
    <w:p>
      <w:pPr>
        <w:spacing w:after="0" w:line="141" w:lineRule="exact"/>
        <w:rPr>
          <w:color w:val="auto"/>
          <w:sz w:val="20"/>
          <w:szCs w:val="20"/>
        </w:rPr>
      </w:pPr>
    </w:p>
    <w:p>
      <w:pPr>
        <w:spacing w:after="0"/>
        <w:ind w:left="8"/>
        <w:rPr>
          <w:color w:val="auto"/>
          <w:sz w:val="20"/>
          <w:szCs w:val="20"/>
        </w:rPr>
      </w:pPr>
      <w:r>
        <w:rPr>
          <w:rFonts w:ascii="Calibri" w:eastAsia="Calibri" w:hAnsi="Calibri" w:cs="Calibri"/>
          <w:b/>
          <w:bCs/>
          <w:color w:val="444867"/>
          <w:sz w:val="14"/>
          <w:szCs w:val="14"/>
        </w:rPr>
        <w:t>ITEM 14. PRINCIPAL ACCOUNTING FEES AND SERVICES</w:t>
      </w:r>
    </w:p>
    <w:p>
      <w:pPr>
        <w:spacing w:after="0" w:line="20" w:lineRule="exact"/>
        <w:rPr>
          <w:color w:val="auto"/>
          <w:sz w:val="20"/>
          <w:szCs w:val="20"/>
        </w:rPr>
      </w:pPr>
      <w:r>
        <w:rPr>
          <w:color w:val="auto"/>
          <w:sz w:val="20"/>
          <w:szCs w:val="20"/>
        </w:rPr>
        <w:drawing>
          <wp:anchor simplePos="0" relativeHeight="251939840" behindDoc="1" locked="0" layoutInCell="0" allowOverlap="1">
            <wp:simplePos x="0" y="0"/>
            <wp:positionH relativeFrom="column">
              <wp:posOffset>0</wp:posOffset>
            </wp:positionH>
            <wp:positionV relativeFrom="paragraph">
              <wp:posOffset>24130</wp:posOffset>
            </wp:positionV>
            <wp:extent cx="7166610" cy="5715"/>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01" w:lineRule="exact"/>
        <w:rPr>
          <w:color w:val="auto"/>
          <w:sz w:val="20"/>
          <w:szCs w:val="20"/>
        </w:rPr>
      </w:pPr>
    </w:p>
    <w:p>
      <w:pPr>
        <w:spacing w:after="0" w:line="234" w:lineRule="auto"/>
        <w:ind w:left="8" w:right="640" w:firstLine="297"/>
        <w:rPr>
          <w:color w:val="auto"/>
          <w:sz w:val="20"/>
          <w:szCs w:val="20"/>
        </w:rPr>
      </w:pPr>
      <w:r>
        <w:rPr>
          <w:rFonts w:ascii="Calibri" w:eastAsia="Calibri" w:hAnsi="Calibri" w:cs="Calibri"/>
          <w:color w:val="auto"/>
          <w:sz w:val="12"/>
          <w:szCs w:val="12"/>
        </w:rPr>
        <w:t>The material to be included in the 2025 AbbVie Inc. Proxy Statement under the headings "Audit Fees and Non-Audit Fees" and "Policy on Audit Commitee Pre-Approval of Audit and Permissible Non-Audit Services of the Independent Registered Public Accountng Firm" is incorporated herein by reference. The 2025 Defnitve Proxy Statement will be fled on or about March 24, 2025.</w:t>
      </w:r>
    </w:p>
    <w:p>
      <w:pPr>
        <w:spacing w:after="0" w:line="20" w:lineRule="exact"/>
        <w:rPr>
          <w:color w:val="auto"/>
          <w:sz w:val="20"/>
          <w:szCs w:val="20"/>
        </w:rPr>
      </w:pPr>
      <w:r>
        <w:rPr>
          <w:color w:val="auto"/>
          <w:sz w:val="20"/>
          <w:szCs w:val="20"/>
        </w:rPr>
        <w:drawing>
          <wp:anchor simplePos="0" relativeHeight="251940864" behindDoc="1" locked="0" layoutInCell="0" allowOverlap="1">
            <wp:simplePos x="0" y="0"/>
            <wp:positionH relativeFrom="column">
              <wp:posOffset>6480810</wp:posOffset>
            </wp:positionH>
            <wp:positionV relativeFrom="paragraph">
              <wp:posOffset>250825</wp:posOffset>
            </wp:positionV>
            <wp:extent cx="400050" cy="74295"/>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pacing w:after="0" w:line="201" w:lineRule="exact"/>
        <w:rPr>
          <w:color w:val="auto"/>
          <w:sz w:val="20"/>
          <w:szCs w:val="20"/>
        </w:rPr>
      </w:pPr>
    </w:p>
    <w:tbl>
      <w:tblPr>
        <w:tblInd w:w="8" w:type="dxa"/>
        <w:tblLayout w:type="fixed"/>
        <w:tblCellMar>
          <w:top w:w="0" w:type="dxa"/>
          <w:left w:w="0" w:type="dxa"/>
          <w:bottom w:w="0" w:type="dxa"/>
          <w:right w:w="0" w:type="dxa"/>
        </w:tblCellMar>
      </w:tblPr>
      <w:tblGrid>
        <w:gridCol w:w="10640"/>
        <w:gridCol w:w="660"/>
      </w:tblGrid>
      <w:tr>
        <w:tblPrEx>
          <w:tblInd w:w="8" w:type="dxa"/>
          <w:tblLayout w:type="fixed"/>
        </w:tblPrEx>
        <w:trPr>
          <w:trHeight w:val="155"/>
        </w:trPr>
        <w:tc>
          <w:tcPr>
            <w:tcW w:w="1064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60" w:type="dxa"/>
            <w:vAlign w:val="bottom"/>
          </w:tcPr>
          <w:p>
            <w:pPr>
              <w:spacing w:after="0"/>
              <w:jc w:val="right"/>
              <w:rPr>
                <w:color w:val="auto"/>
                <w:sz w:val="20"/>
                <w:szCs w:val="20"/>
              </w:rPr>
            </w:pPr>
            <w:r>
              <w:rPr>
                <w:rFonts w:ascii="Calibri" w:eastAsia="Calibri" w:hAnsi="Calibri" w:cs="Calibri"/>
                <w:b/>
                <w:bCs/>
                <w:i/>
                <w:iCs/>
                <w:color w:val="auto"/>
                <w:sz w:val="12"/>
                <w:szCs w:val="12"/>
              </w:rPr>
              <w:t>108</w:t>
            </w:r>
          </w:p>
        </w:tc>
      </w:tr>
      <w:tr>
        <w:tblPrEx>
          <w:tblInd w:w="8" w:type="dxa"/>
          <w:tblLayout w:type="fixed"/>
        </w:tblPrEx>
        <w:trPr>
          <w:trHeight w:val="143"/>
        </w:trPr>
        <w:tc>
          <w:tcPr>
            <w:tcW w:w="10640" w:type="dxa"/>
            <w:tcBorders>
              <w:bottom w:val="single" w:sz="8" w:space="0" w:color="9A9A9A"/>
            </w:tcBorders>
            <w:vAlign w:val="bottom"/>
          </w:tcPr>
          <w:p>
            <w:pPr>
              <w:spacing w:after="0"/>
              <w:rPr>
                <w:color w:val="auto"/>
                <w:sz w:val="12"/>
                <w:szCs w:val="12"/>
              </w:rPr>
            </w:pPr>
          </w:p>
        </w:tc>
        <w:tc>
          <w:tcPr>
            <w:tcW w:w="66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941888" behindDoc="1" locked="0" layoutInCell="0" allowOverlap="1">
            <wp:simplePos x="0" y="0"/>
            <wp:positionH relativeFrom="column">
              <wp:posOffset>7159625</wp:posOffset>
            </wp:positionH>
            <wp:positionV relativeFrom="paragraph">
              <wp:posOffset>-23495</wp:posOffset>
            </wp:positionV>
            <wp:extent cx="31115" cy="3683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42912" behindDoc="1" locked="0" layoutInCell="0" allowOverlap="1">
            <wp:simplePos x="0" y="0"/>
            <wp:positionH relativeFrom="column">
              <wp:posOffset>-12065</wp:posOffset>
            </wp:positionH>
            <wp:positionV relativeFrom="paragraph">
              <wp:posOffset>-23495</wp:posOffset>
            </wp:positionV>
            <wp:extent cx="31115" cy="3683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pgSz w:w="11900" w:h="16838" w:orient="portrait"/>
          <w:pgMar w:top="660" w:right="299" w:bottom="1440" w:left="292" w:header="0" w:footer="0" w:gutter="0"/>
          <w:cols w:num="1" w:space="720" w:equalWidth="0">
            <w:col w:w="11308" w:space="0"/>
          </w:cols>
        </w:sectPr>
      </w:pPr>
    </w:p>
    <w:bookmarkStart w:id="110" w:name="page111"/>
    <w:bookmarkEnd w:id="110"/>
    <w:p>
      <w:pPr>
        <w:spacing w:after="0"/>
        <w:jc w:val="center"/>
        <w:rPr>
          <w:color w:val="auto"/>
          <w:sz w:val="20"/>
          <w:szCs w:val="20"/>
        </w:rPr>
      </w:pPr>
      <w:r>
        <w:rPr>
          <w:rFonts w:ascii="Calibri" w:eastAsia="Calibri" w:hAnsi="Calibri" w:cs="Calibri"/>
          <w:b/>
          <w:bCs/>
          <w:color w:val="444867"/>
          <w:sz w:val="14"/>
          <w:szCs w:val="14"/>
        </w:rPr>
        <w:t>PART IV</w:t>
      </w:r>
    </w:p>
    <w:p>
      <w:pPr>
        <w:spacing w:after="0" w:line="144" w:lineRule="exact"/>
        <w:rPr>
          <w:color w:val="auto"/>
          <w:sz w:val="20"/>
          <w:szCs w:val="20"/>
        </w:rPr>
      </w:pPr>
    </w:p>
    <w:p>
      <w:pPr>
        <w:spacing w:after="0"/>
        <w:rPr>
          <w:color w:val="auto"/>
          <w:sz w:val="20"/>
          <w:szCs w:val="20"/>
        </w:rPr>
      </w:pPr>
      <w:r>
        <w:rPr>
          <w:rFonts w:ascii="Calibri" w:eastAsia="Calibri" w:hAnsi="Calibri" w:cs="Calibri"/>
          <w:b/>
          <w:bCs/>
          <w:color w:val="444867"/>
          <w:sz w:val="14"/>
          <w:szCs w:val="14"/>
        </w:rPr>
        <w:t>ITEM 15. EXHIBITS, FINANCIAL STATEMENT SCHEDULES</w:t>
      </w:r>
    </w:p>
    <w:p>
      <w:pPr>
        <w:spacing w:after="0" w:line="20" w:lineRule="exact"/>
        <w:rPr>
          <w:color w:val="auto"/>
          <w:sz w:val="20"/>
          <w:szCs w:val="20"/>
        </w:rPr>
      </w:pPr>
      <w:r>
        <w:rPr>
          <w:color w:val="auto"/>
          <w:sz w:val="20"/>
          <w:szCs w:val="20"/>
        </w:rPr>
        <w:drawing>
          <wp:anchor simplePos="0" relativeHeight="251943936" behindDoc="1" locked="0" layoutInCell="0" allowOverlap="1">
            <wp:simplePos x="0" y="0"/>
            <wp:positionH relativeFrom="column">
              <wp:posOffset>-4445</wp:posOffset>
            </wp:positionH>
            <wp:positionV relativeFrom="paragraph">
              <wp:posOffset>24130</wp:posOffset>
            </wp:positionV>
            <wp:extent cx="7166610" cy="5715"/>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pacing w:after="0" w:line="296" w:lineRule="exact"/>
        <w:rPr>
          <w:color w:val="auto"/>
          <w:sz w:val="20"/>
          <w:szCs w:val="20"/>
        </w:rPr>
      </w:pPr>
    </w:p>
    <w:p>
      <w:pPr>
        <w:numPr>
          <w:ilvl w:val="0"/>
          <w:numId w:val="35"/>
        </w:numPr>
        <w:tabs>
          <w:tab w:val="left" w:pos="420"/>
        </w:tabs>
        <w:spacing w:after="0"/>
        <w:ind w:left="420" w:hanging="212"/>
        <w:rPr>
          <w:rFonts w:ascii="Calibri" w:eastAsia="Calibri" w:hAnsi="Calibri" w:cs="Calibri"/>
          <w:color w:val="auto"/>
          <w:sz w:val="12"/>
          <w:szCs w:val="12"/>
        </w:rPr>
      </w:pPr>
      <w:r>
        <w:rPr>
          <w:rFonts w:ascii="Calibri" w:eastAsia="Calibri" w:hAnsi="Calibri" w:cs="Calibri"/>
          <w:i/>
          <w:iCs/>
          <w:color w:val="auto"/>
          <w:sz w:val="12"/>
          <w:szCs w:val="12"/>
        </w:rPr>
        <w:t>Documents fled as part of this Form 10-K.</w:t>
      </w:r>
    </w:p>
    <w:p>
      <w:pPr>
        <w:spacing w:after="0" w:line="105" w:lineRule="exact"/>
        <w:rPr>
          <w:rFonts w:ascii="Calibri" w:eastAsia="Calibri" w:hAnsi="Calibri" w:cs="Calibri"/>
          <w:color w:val="auto"/>
          <w:sz w:val="12"/>
          <w:szCs w:val="12"/>
        </w:rPr>
      </w:pPr>
    </w:p>
    <w:p>
      <w:pPr>
        <w:numPr>
          <w:ilvl w:val="1"/>
          <w:numId w:val="35"/>
        </w:numPr>
        <w:tabs>
          <w:tab w:val="left" w:pos="640"/>
        </w:tabs>
        <w:spacing w:after="0"/>
        <w:ind w:left="640" w:hanging="216"/>
        <w:rPr>
          <w:rFonts w:ascii="Calibri" w:eastAsia="Calibri" w:hAnsi="Calibri" w:cs="Calibri"/>
          <w:i/>
          <w:iCs/>
          <w:color w:val="auto"/>
          <w:sz w:val="12"/>
          <w:szCs w:val="12"/>
        </w:rPr>
      </w:pPr>
      <w:r>
        <w:rPr>
          <w:rFonts w:ascii="Calibri" w:eastAsia="Calibri" w:hAnsi="Calibri" w:cs="Calibri"/>
          <w:i/>
          <w:iCs/>
          <w:color w:val="auto"/>
          <w:sz w:val="12"/>
          <w:szCs w:val="12"/>
        </w:rPr>
        <w:t xml:space="preserve">Financial Statements:  </w:t>
      </w:r>
      <w:r>
        <w:rPr>
          <w:rFonts w:ascii="Calibri" w:eastAsia="Calibri" w:hAnsi="Calibri" w:cs="Calibri"/>
          <w:color w:val="auto"/>
          <w:sz w:val="12"/>
          <w:szCs w:val="12"/>
        </w:rPr>
        <w:t>See Item 8, "Financial Statements and Supplementary Data" for a list of fnancial statements.</w:t>
      </w:r>
    </w:p>
    <w:p>
      <w:pPr>
        <w:spacing w:after="0" w:line="105" w:lineRule="exact"/>
        <w:rPr>
          <w:rFonts w:ascii="Calibri" w:eastAsia="Calibri" w:hAnsi="Calibri" w:cs="Calibri"/>
          <w:i/>
          <w:iCs/>
          <w:color w:val="auto"/>
          <w:sz w:val="12"/>
          <w:szCs w:val="12"/>
        </w:rPr>
      </w:pPr>
    </w:p>
    <w:p>
      <w:pPr>
        <w:numPr>
          <w:ilvl w:val="1"/>
          <w:numId w:val="35"/>
        </w:numPr>
        <w:tabs>
          <w:tab w:val="left" w:pos="640"/>
        </w:tabs>
        <w:spacing w:after="0"/>
        <w:ind w:left="640" w:hanging="216"/>
        <w:rPr>
          <w:rFonts w:ascii="Calibri" w:eastAsia="Calibri" w:hAnsi="Calibri" w:cs="Calibri"/>
          <w:i/>
          <w:iCs/>
          <w:color w:val="auto"/>
          <w:sz w:val="12"/>
          <w:szCs w:val="12"/>
        </w:rPr>
      </w:pPr>
      <w:r>
        <w:rPr>
          <w:rFonts w:ascii="Calibri" w:eastAsia="Calibri" w:hAnsi="Calibri" w:cs="Calibri"/>
          <w:i/>
          <w:iCs/>
          <w:color w:val="auto"/>
          <w:sz w:val="12"/>
          <w:szCs w:val="12"/>
        </w:rPr>
        <w:t xml:space="preserve">Financial Statement Schedules:  </w:t>
      </w:r>
      <w:r>
        <w:rPr>
          <w:rFonts w:ascii="Calibri" w:eastAsia="Calibri" w:hAnsi="Calibri" w:cs="Calibri"/>
          <w:color w:val="auto"/>
          <w:sz w:val="12"/>
          <w:szCs w:val="12"/>
        </w:rPr>
        <w:t>All schedules omited are inapplicable or the informaton required is shown in the consolidated fnancial statements or notes thereto.</w:t>
      </w:r>
    </w:p>
    <w:p>
      <w:pPr>
        <w:spacing w:after="0" w:line="105" w:lineRule="exact"/>
        <w:rPr>
          <w:rFonts w:ascii="Calibri" w:eastAsia="Calibri" w:hAnsi="Calibri" w:cs="Calibri"/>
          <w:i/>
          <w:iCs/>
          <w:color w:val="auto"/>
          <w:sz w:val="12"/>
          <w:szCs w:val="12"/>
        </w:rPr>
      </w:pPr>
    </w:p>
    <w:p>
      <w:pPr>
        <w:numPr>
          <w:ilvl w:val="1"/>
          <w:numId w:val="35"/>
        </w:numPr>
        <w:tabs>
          <w:tab w:val="left" w:pos="640"/>
        </w:tabs>
        <w:spacing w:after="0"/>
        <w:ind w:left="640" w:hanging="216"/>
        <w:rPr>
          <w:rFonts w:ascii="Calibri" w:eastAsia="Calibri" w:hAnsi="Calibri" w:cs="Calibri"/>
          <w:i/>
          <w:iCs/>
          <w:color w:val="auto"/>
          <w:sz w:val="12"/>
          <w:szCs w:val="12"/>
        </w:rPr>
      </w:pPr>
      <w:r>
        <w:rPr>
          <w:rFonts w:ascii="Calibri" w:eastAsia="Calibri" w:hAnsi="Calibri" w:cs="Calibri"/>
          <w:i/>
          <w:iCs/>
          <w:color w:val="auto"/>
          <w:sz w:val="12"/>
          <w:szCs w:val="12"/>
        </w:rPr>
        <w:t xml:space="preserve">Exhibits Required by Item 601 of Regulaton S-K:  </w:t>
      </w:r>
      <w:r>
        <w:rPr>
          <w:rFonts w:ascii="Calibri" w:eastAsia="Calibri" w:hAnsi="Calibri" w:cs="Calibri"/>
          <w:color w:val="auto"/>
          <w:sz w:val="12"/>
          <w:szCs w:val="12"/>
        </w:rPr>
        <w:t>The informaton called for by this paragraph is set forth in Item 15(b) below.</w:t>
      </w:r>
    </w:p>
    <w:p>
      <w:pPr>
        <w:spacing w:after="0" w:line="159" w:lineRule="exact"/>
        <w:rPr>
          <w:rFonts w:ascii="Calibri" w:eastAsia="Calibri" w:hAnsi="Calibri" w:cs="Calibri"/>
          <w:i/>
          <w:iCs/>
          <w:color w:val="auto"/>
          <w:sz w:val="12"/>
          <w:szCs w:val="12"/>
        </w:rPr>
      </w:pPr>
    </w:p>
    <w:p>
      <w:pPr>
        <w:numPr>
          <w:ilvl w:val="0"/>
          <w:numId w:val="35"/>
        </w:numPr>
        <w:tabs>
          <w:tab w:val="left" w:pos="440"/>
        </w:tabs>
        <w:spacing w:after="0"/>
        <w:ind w:left="440" w:hanging="232"/>
        <w:rPr>
          <w:rFonts w:ascii="Calibri" w:eastAsia="Calibri" w:hAnsi="Calibri" w:cs="Calibri"/>
          <w:color w:val="auto"/>
          <w:sz w:val="12"/>
          <w:szCs w:val="12"/>
        </w:rPr>
      </w:pPr>
      <w:r>
        <w:rPr>
          <w:rFonts w:ascii="Calibri" w:eastAsia="Calibri" w:hAnsi="Calibri" w:cs="Calibri"/>
          <w:i/>
          <w:iCs/>
          <w:color w:val="auto"/>
          <w:sz w:val="12"/>
          <w:szCs w:val="12"/>
        </w:rPr>
        <w:t>Exhibits:</w:t>
      </w:r>
    </w:p>
    <w:tbl>
      <w:tblPr>
        <w:tblInd w:w="0" w:type="dxa"/>
        <w:tblLayout w:type="fixed"/>
        <w:tblCellMar>
          <w:top w:w="0" w:type="dxa"/>
          <w:left w:w="0" w:type="dxa"/>
          <w:bottom w:w="0" w:type="dxa"/>
          <w:right w:w="0" w:type="dxa"/>
        </w:tblCellMar>
      </w:tblPr>
      <w:tblGrid>
        <w:gridCol w:w="1080"/>
        <w:gridCol w:w="10220"/>
      </w:tblGrid>
      <w:tr>
        <w:tblPrEx>
          <w:tblInd w:w="0" w:type="dxa"/>
          <w:tblLayout w:type="fixed"/>
        </w:tblPrEx>
        <w:trPr>
          <w:trHeight w:val="116"/>
        </w:trPr>
        <w:tc>
          <w:tcPr>
            <w:tcW w:w="1080" w:type="dxa"/>
            <w:vAlign w:val="bottom"/>
          </w:tcPr>
          <w:p>
            <w:pPr>
              <w:spacing w:after="0" w:line="116" w:lineRule="exact"/>
              <w:ind w:right="362"/>
              <w:jc w:val="right"/>
              <w:rPr>
                <w:color w:val="auto"/>
                <w:sz w:val="20"/>
                <w:szCs w:val="20"/>
              </w:rPr>
            </w:pPr>
            <w:r>
              <w:rPr>
                <w:rFonts w:ascii="Calibri" w:eastAsia="Calibri" w:hAnsi="Calibri" w:cs="Calibri"/>
                <w:b/>
                <w:bCs/>
                <w:color w:val="auto"/>
                <w:sz w:val="10"/>
                <w:szCs w:val="10"/>
              </w:rPr>
              <w:t>Exhibit</w:t>
            </w:r>
          </w:p>
        </w:tc>
        <w:tc>
          <w:tcPr>
            <w:tcW w:w="10220" w:type="dxa"/>
            <w:vAlign w:val="bottom"/>
          </w:tcPr>
          <w:p>
            <w:pPr>
              <w:spacing w:after="0"/>
              <w:rPr>
                <w:color w:val="auto"/>
                <w:sz w:val="10"/>
                <w:szCs w:val="10"/>
              </w:rPr>
            </w:pPr>
          </w:p>
        </w:tc>
      </w:tr>
      <w:tr>
        <w:tblPrEx>
          <w:tblInd w:w="0" w:type="dxa"/>
          <w:tblLayout w:type="fixed"/>
        </w:tblPrEx>
        <w:trPr>
          <w:trHeight w:val="112"/>
        </w:trPr>
        <w:tc>
          <w:tcPr>
            <w:tcW w:w="1080" w:type="dxa"/>
            <w:vAlign w:val="bottom"/>
          </w:tcPr>
          <w:p>
            <w:pPr>
              <w:spacing w:after="0" w:line="112" w:lineRule="exact"/>
              <w:ind w:right="342"/>
              <w:jc w:val="right"/>
              <w:rPr>
                <w:color w:val="auto"/>
                <w:sz w:val="20"/>
                <w:szCs w:val="20"/>
              </w:rPr>
            </w:pPr>
            <w:r>
              <w:rPr>
                <w:rFonts w:ascii="Calibri" w:eastAsia="Calibri" w:hAnsi="Calibri" w:cs="Calibri"/>
                <w:b/>
                <w:bCs/>
                <w:color w:val="auto"/>
                <w:sz w:val="10"/>
                <w:szCs w:val="10"/>
              </w:rPr>
              <w:t>Number</w:t>
            </w:r>
          </w:p>
        </w:tc>
        <w:tc>
          <w:tcPr>
            <w:tcW w:w="10220" w:type="dxa"/>
            <w:vAlign w:val="bottom"/>
          </w:tcPr>
          <w:p>
            <w:pPr>
              <w:spacing w:after="0" w:line="112" w:lineRule="exact"/>
              <w:ind w:left="4040"/>
              <w:rPr>
                <w:color w:val="auto"/>
                <w:sz w:val="20"/>
                <w:szCs w:val="20"/>
              </w:rPr>
            </w:pPr>
            <w:r>
              <w:rPr>
                <w:rFonts w:ascii="Calibri" w:eastAsia="Calibri" w:hAnsi="Calibri" w:cs="Calibri"/>
                <w:b/>
                <w:bCs/>
                <w:color w:val="auto"/>
                <w:sz w:val="10"/>
                <w:szCs w:val="10"/>
              </w:rPr>
              <w:t>Exhibit Descripton</w:t>
            </w:r>
          </w:p>
        </w:tc>
      </w:tr>
      <w:tr>
        <w:tblPrEx>
          <w:tblInd w:w="0" w:type="dxa"/>
          <w:tblLayout w:type="fixed"/>
        </w:tblPrEx>
        <w:trPr>
          <w:trHeight w:val="143"/>
        </w:trPr>
        <w:tc>
          <w:tcPr>
            <w:tcW w:w="1080" w:type="dxa"/>
            <w:vAlign w:val="bottom"/>
          </w:tcPr>
          <w:p>
            <w:pPr>
              <w:spacing w:after="0" w:line="143" w:lineRule="exact"/>
              <w:jc w:val="right"/>
              <w:rPr>
                <w:rFonts w:ascii="Calibri" w:eastAsia="Calibri" w:hAnsi="Calibri" w:cs="Calibri"/>
                <w:color w:val="auto"/>
                <w:sz w:val="12"/>
                <w:szCs w:val="12"/>
              </w:rPr>
            </w:pPr>
            <w:hyperlink r:id="rId16">
              <w:r>
                <w:rPr>
                  <w:rFonts w:ascii="Calibri" w:eastAsia="Calibri" w:hAnsi="Calibri" w:cs="Calibri"/>
                  <w:color w:val="auto"/>
                  <w:sz w:val="12"/>
                  <w:szCs w:val="12"/>
                </w:rPr>
                <w:t>2.1</w:t>
              </w:r>
            </w:hyperlink>
          </w:p>
        </w:tc>
        <w:tc>
          <w:tcPr>
            <w:tcW w:w="10220" w:type="dxa"/>
            <w:vAlign w:val="bottom"/>
          </w:tcPr>
          <w:p>
            <w:pPr>
              <w:spacing w:after="0" w:line="143" w:lineRule="exact"/>
              <w:ind w:left="60"/>
              <w:rPr>
                <w:rFonts w:ascii="Calibri" w:eastAsia="Calibri" w:hAnsi="Calibri" w:cs="Calibri"/>
                <w:color w:val="auto"/>
                <w:sz w:val="12"/>
                <w:szCs w:val="12"/>
              </w:rPr>
            </w:pPr>
            <w:hyperlink r:id="rId17">
              <w:r>
                <w:rPr>
                  <w:rFonts w:ascii="Calibri" w:eastAsia="Calibri" w:hAnsi="Calibri" w:cs="Calibri"/>
                  <w:color w:val="auto"/>
                  <w:sz w:val="12"/>
                  <w:szCs w:val="12"/>
                </w:rPr>
                <w:t>*Transacton Agreement, dated as of June 25, 2019, between AbbVie Inc., Allergan plc and Venice Subsidiary, LLC (incorporated by reference to Exhibit 2.1 of the company’s Current</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18">
              <w:r>
                <w:rPr>
                  <w:rFonts w:ascii="Calibri" w:eastAsia="Calibri" w:hAnsi="Calibri" w:cs="Calibri"/>
                  <w:color w:val="auto"/>
                  <w:sz w:val="12"/>
                  <w:szCs w:val="12"/>
                </w:rPr>
                <w:t>Report on Form 8-K fled on June 25, 2019).</w:t>
              </w:r>
            </w:hyperlink>
          </w:p>
        </w:tc>
      </w:tr>
      <w:tr>
        <w:tblPrEx>
          <w:tblInd w:w="0" w:type="dxa"/>
          <w:tblLayout w:type="fixed"/>
        </w:tblPrEx>
        <w:trPr>
          <w:trHeight w:val="137"/>
        </w:trPr>
        <w:tc>
          <w:tcPr>
            <w:tcW w:w="1080" w:type="dxa"/>
            <w:vAlign w:val="bottom"/>
          </w:tcPr>
          <w:p>
            <w:pPr>
              <w:spacing w:after="0" w:line="137" w:lineRule="exact"/>
              <w:jc w:val="right"/>
              <w:rPr>
                <w:rFonts w:ascii="Calibri" w:eastAsia="Calibri" w:hAnsi="Calibri" w:cs="Calibri"/>
                <w:color w:val="auto"/>
                <w:sz w:val="12"/>
                <w:szCs w:val="12"/>
              </w:rPr>
            </w:pPr>
            <w:hyperlink r:id="rId19">
              <w:r>
                <w:rPr>
                  <w:rFonts w:ascii="Calibri" w:eastAsia="Calibri" w:hAnsi="Calibri" w:cs="Calibri"/>
                  <w:color w:val="auto"/>
                  <w:sz w:val="12"/>
                  <w:szCs w:val="12"/>
                </w:rPr>
                <w:t>2.2</w:t>
              </w:r>
            </w:hyperlink>
          </w:p>
        </w:tc>
        <w:tc>
          <w:tcPr>
            <w:tcW w:w="10220" w:type="dxa"/>
            <w:vAlign w:val="bottom"/>
          </w:tcPr>
          <w:p>
            <w:pPr>
              <w:spacing w:after="0" w:line="137" w:lineRule="exact"/>
              <w:ind w:left="60"/>
              <w:rPr>
                <w:rFonts w:ascii="Calibri" w:eastAsia="Calibri" w:hAnsi="Calibri" w:cs="Calibri"/>
                <w:color w:val="auto"/>
                <w:sz w:val="12"/>
                <w:szCs w:val="12"/>
              </w:rPr>
            </w:pPr>
            <w:hyperlink r:id="rId20">
              <w:r>
                <w:rPr>
                  <w:rFonts w:ascii="Calibri" w:eastAsia="Calibri" w:hAnsi="Calibri" w:cs="Calibri"/>
                  <w:color w:val="auto"/>
                  <w:sz w:val="12"/>
                  <w:szCs w:val="12"/>
                </w:rPr>
                <w:t>*Appendix III to the Rule 2.5 Announcement, dated as of June 25, 2019 (Conditons Appendix) (incorporated by reference to Exhibit 2.2 of the company’s Current Report on Form 8-K</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21">
              <w:r>
                <w:rPr>
                  <w:rFonts w:ascii="Calibri" w:eastAsia="Calibri" w:hAnsi="Calibri" w:cs="Calibri"/>
                  <w:color w:val="auto"/>
                  <w:sz w:val="12"/>
                  <w:szCs w:val="12"/>
                </w:rPr>
                <w:t>fled on June 25, 2019).</w:t>
              </w:r>
            </w:hyperlink>
          </w:p>
        </w:tc>
      </w:tr>
      <w:tr>
        <w:tblPrEx>
          <w:tblInd w:w="0" w:type="dxa"/>
          <w:tblLayout w:type="fixed"/>
        </w:tblPrEx>
        <w:trPr>
          <w:trHeight w:val="137"/>
        </w:trPr>
        <w:tc>
          <w:tcPr>
            <w:tcW w:w="1080" w:type="dxa"/>
            <w:vAlign w:val="bottom"/>
          </w:tcPr>
          <w:p>
            <w:pPr>
              <w:spacing w:after="0" w:line="137" w:lineRule="exact"/>
              <w:jc w:val="right"/>
              <w:rPr>
                <w:rFonts w:ascii="Calibri" w:eastAsia="Calibri" w:hAnsi="Calibri" w:cs="Calibri"/>
                <w:color w:val="auto"/>
                <w:sz w:val="12"/>
                <w:szCs w:val="12"/>
              </w:rPr>
            </w:pPr>
            <w:hyperlink r:id="rId22">
              <w:r>
                <w:rPr>
                  <w:rFonts w:ascii="Calibri" w:eastAsia="Calibri" w:hAnsi="Calibri" w:cs="Calibri"/>
                  <w:color w:val="auto"/>
                  <w:sz w:val="12"/>
                  <w:szCs w:val="12"/>
                </w:rPr>
                <w:t>2.3</w:t>
              </w:r>
            </w:hyperlink>
          </w:p>
        </w:tc>
        <w:tc>
          <w:tcPr>
            <w:tcW w:w="10220" w:type="dxa"/>
            <w:vAlign w:val="bottom"/>
          </w:tcPr>
          <w:p>
            <w:pPr>
              <w:spacing w:after="0" w:line="137" w:lineRule="exact"/>
              <w:ind w:left="60"/>
              <w:rPr>
                <w:rFonts w:ascii="Calibri" w:eastAsia="Calibri" w:hAnsi="Calibri" w:cs="Calibri"/>
                <w:color w:val="auto"/>
                <w:sz w:val="12"/>
                <w:szCs w:val="12"/>
              </w:rPr>
            </w:pPr>
            <w:hyperlink r:id="rId23">
              <w:r>
                <w:rPr>
                  <w:rFonts w:ascii="Calibri" w:eastAsia="Calibri" w:hAnsi="Calibri" w:cs="Calibri"/>
                  <w:color w:val="auto"/>
                  <w:sz w:val="12"/>
                  <w:szCs w:val="12"/>
                </w:rPr>
                <w:t>*Expenses Reimbursement Agreement, dated as of June 25, 2019, between AbbVie Inc. and Allergan plc (incorporated by reference to Exhibit 2.3 of the company’s Current Report on</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24">
              <w:r>
                <w:rPr>
                  <w:rFonts w:ascii="Calibri" w:eastAsia="Calibri" w:hAnsi="Calibri" w:cs="Calibri"/>
                  <w:color w:val="auto"/>
                  <w:sz w:val="12"/>
                  <w:szCs w:val="12"/>
                </w:rPr>
                <w:t>Form 8-K fled on June 25, 2019).</w:t>
              </w:r>
            </w:hyperlink>
          </w:p>
        </w:tc>
      </w:tr>
      <w:tr>
        <w:tblPrEx>
          <w:tblInd w:w="0" w:type="dxa"/>
          <w:tblLayout w:type="fixed"/>
        </w:tblPrEx>
        <w:trPr>
          <w:trHeight w:val="137"/>
        </w:trPr>
        <w:tc>
          <w:tcPr>
            <w:tcW w:w="1080" w:type="dxa"/>
            <w:vAlign w:val="bottom"/>
          </w:tcPr>
          <w:p>
            <w:pPr>
              <w:spacing w:after="0" w:line="137" w:lineRule="exact"/>
              <w:jc w:val="right"/>
              <w:rPr>
                <w:rFonts w:ascii="Calibri" w:eastAsia="Calibri" w:hAnsi="Calibri" w:cs="Calibri"/>
                <w:color w:val="auto"/>
                <w:sz w:val="12"/>
                <w:szCs w:val="12"/>
              </w:rPr>
            </w:pPr>
            <w:hyperlink r:id="rId25">
              <w:r>
                <w:rPr>
                  <w:rFonts w:ascii="Calibri" w:eastAsia="Calibri" w:hAnsi="Calibri" w:cs="Calibri"/>
                  <w:color w:val="auto"/>
                  <w:sz w:val="12"/>
                  <w:szCs w:val="12"/>
                </w:rPr>
                <w:t>2.4</w:t>
              </w:r>
            </w:hyperlink>
          </w:p>
        </w:tc>
        <w:tc>
          <w:tcPr>
            <w:tcW w:w="10220" w:type="dxa"/>
            <w:vAlign w:val="bottom"/>
          </w:tcPr>
          <w:p>
            <w:pPr>
              <w:spacing w:after="0" w:line="137" w:lineRule="exact"/>
              <w:ind w:left="60"/>
              <w:rPr>
                <w:rFonts w:ascii="Calibri" w:eastAsia="Calibri" w:hAnsi="Calibri" w:cs="Calibri"/>
                <w:color w:val="auto"/>
                <w:sz w:val="12"/>
                <w:szCs w:val="12"/>
              </w:rPr>
            </w:pPr>
            <w:hyperlink r:id="rId26">
              <w:r>
                <w:rPr>
                  <w:rFonts w:ascii="Calibri" w:eastAsia="Calibri" w:hAnsi="Calibri" w:cs="Calibri"/>
                  <w:color w:val="auto"/>
                  <w:sz w:val="12"/>
                  <w:szCs w:val="12"/>
                </w:rPr>
                <w:t>*Amendment to the Transacton Agreement, dated as of May 5, 2020, between AbbVie Inc., Allergan plc and Venice Subsidiary, LLC (incorporated by reference to Exhibit 2.1 of the</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27">
              <w:r>
                <w:rPr>
                  <w:rFonts w:ascii="Calibri" w:eastAsia="Calibri" w:hAnsi="Calibri" w:cs="Calibri"/>
                  <w:color w:val="auto"/>
                  <w:sz w:val="12"/>
                  <w:szCs w:val="12"/>
                </w:rPr>
                <w:t>company’s Quarterly Report on Form 10-Q for the quarterly period ended March 31, 2020).</w:t>
              </w:r>
            </w:hyperlink>
          </w:p>
        </w:tc>
      </w:tr>
      <w:tr>
        <w:tblPrEx>
          <w:tblInd w:w="0" w:type="dxa"/>
          <w:tblLayout w:type="fixed"/>
        </w:tblPrEx>
        <w:trPr>
          <w:trHeight w:val="162"/>
        </w:trPr>
        <w:tc>
          <w:tcPr>
            <w:tcW w:w="1080" w:type="dxa"/>
            <w:vAlign w:val="bottom"/>
          </w:tcPr>
          <w:p>
            <w:pPr>
              <w:spacing w:after="0"/>
              <w:jc w:val="right"/>
              <w:rPr>
                <w:rFonts w:ascii="Calibri" w:eastAsia="Calibri" w:hAnsi="Calibri" w:cs="Calibri"/>
                <w:color w:val="auto"/>
                <w:sz w:val="12"/>
                <w:szCs w:val="12"/>
              </w:rPr>
            </w:pPr>
            <w:hyperlink r:id="rId28">
              <w:r>
                <w:rPr>
                  <w:rFonts w:ascii="Calibri" w:eastAsia="Calibri" w:hAnsi="Calibri" w:cs="Calibri"/>
                  <w:color w:val="auto"/>
                  <w:sz w:val="12"/>
                  <w:szCs w:val="12"/>
                </w:rPr>
                <w:t>3.1</w:t>
              </w:r>
            </w:hyperlink>
          </w:p>
        </w:tc>
        <w:tc>
          <w:tcPr>
            <w:tcW w:w="10220" w:type="dxa"/>
            <w:vAlign w:val="bottom"/>
          </w:tcPr>
          <w:p>
            <w:pPr>
              <w:spacing w:after="0"/>
              <w:ind w:left="60"/>
              <w:rPr>
                <w:rFonts w:ascii="Calibri" w:eastAsia="Calibri" w:hAnsi="Calibri" w:cs="Calibri"/>
                <w:color w:val="auto"/>
                <w:sz w:val="12"/>
                <w:szCs w:val="12"/>
              </w:rPr>
            </w:pPr>
            <w:hyperlink r:id="rId29">
              <w:r>
                <w:rPr>
                  <w:rFonts w:ascii="Calibri" w:eastAsia="Calibri" w:hAnsi="Calibri" w:cs="Calibri"/>
                  <w:color w:val="auto"/>
                  <w:sz w:val="12"/>
                  <w:szCs w:val="12"/>
                </w:rPr>
                <w:t>*Amended and Restated Certfcate of Incorporaton of AbbVie Inc. (incorporated by reference to Exhibit 3.1 of the company's Current Report on Form 8-K fled on January 2, 2013).</w:t>
              </w:r>
            </w:hyperlink>
          </w:p>
        </w:tc>
      </w:tr>
      <w:tr>
        <w:tblPrEx>
          <w:tblInd w:w="0" w:type="dxa"/>
          <w:tblLayout w:type="fixed"/>
        </w:tblPrEx>
        <w:trPr>
          <w:trHeight w:val="153"/>
        </w:trPr>
        <w:tc>
          <w:tcPr>
            <w:tcW w:w="1080" w:type="dxa"/>
            <w:vAlign w:val="bottom"/>
          </w:tcPr>
          <w:p>
            <w:pPr>
              <w:spacing w:after="0"/>
              <w:jc w:val="right"/>
              <w:rPr>
                <w:rFonts w:ascii="Calibri" w:eastAsia="Calibri" w:hAnsi="Calibri" w:cs="Calibri"/>
                <w:color w:val="auto"/>
                <w:sz w:val="12"/>
                <w:szCs w:val="12"/>
              </w:rPr>
            </w:pPr>
            <w:hyperlink r:id="rId30">
              <w:r>
                <w:rPr>
                  <w:rFonts w:ascii="Calibri" w:eastAsia="Calibri" w:hAnsi="Calibri" w:cs="Calibri"/>
                  <w:color w:val="auto"/>
                  <w:sz w:val="12"/>
                  <w:szCs w:val="12"/>
                </w:rPr>
                <w:t>3.2</w:t>
              </w:r>
            </w:hyperlink>
          </w:p>
        </w:tc>
        <w:tc>
          <w:tcPr>
            <w:tcW w:w="10220" w:type="dxa"/>
            <w:vAlign w:val="bottom"/>
          </w:tcPr>
          <w:p>
            <w:pPr>
              <w:spacing w:after="0"/>
              <w:ind w:left="60"/>
              <w:rPr>
                <w:rFonts w:ascii="Calibri" w:eastAsia="Calibri" w:hAnsi="Calibri" w:cs="Calibri"/>
                <w:color w:val="auto"/>
                <w:sz w:val="12"/>
                <w:szCs w:val="12"/>
              </w:rPr>
            </w:pPr>
            <w:hyperlink r:id="rId31">
              <w:r>
                <w:rPr>
                  <w:rFonts w:ascii="Calibri" w:eastAsia="Calibri" w:hAnsi="Calibri" w:cs="Calibri"/>
                  <w:color w:val="auto"/>
                  <w:sz w:val="12"/>
                  <w:szCs w:val="12"/>
                </w:rPr>
                <w:t>*Second Amended and Restated By-Laws of AbbVie Inc. (incorporated by reference to Exhibit 3.1 of the company's Current Report on Form 8-K fled on October 14, 2022).</w:t>
              </w:r>
            </w:hyperlink>
          </w:p>
        </w:tc>
      </w:tr>
      <w:tr>
        <w:tblPrEx>
          <w:tblInd w:w="0" w:type="dxa"/>
          <w:tblLayout w:type="fixed"/>
        </w:tblPrEx>
        <w:trPr>
          <w:trHeight w:val="153"/>
        </w:trPr>
        <w:tc>
          <w:tcPr>
            <w:tcW w:w="1080" w:type="dxa"/>
            <w:vAlign w:val="bottom"/>
          </w:tcPr>
          <w:p>
            <w:pPr>
              <w:spacing w:after="0"/>
              <w:jc w:val="right"/>
              <w:rPr>
                <w:color w:val="auto"/>
                <w:sz w:val="20"/>
                <w:szCs w:val="20"/>
              </w:rPr>
            </w:pPr>
            <w:r>
              <w:rPr>
                <w:rFonts w:ascii="Calibri" w:eastAsia="Calibri" w:hAnsi="Calibri" w:cs="Calibri"/>
                <w:color w:val="auto"/>
                <w:sz w:val="12"/>
                <w:szCs w:val="12"/>
              </w:rPr>
              <w:t>4.1</w:t>
            </w:r>
          </w:p>
        </w:tc>
        <w:tc>
          <w:tcPr>
            <w:tcW w:w="10220" w:type="dxa"/>
            <w:vAlign w:val="bottom"/>
          </w:tcPr>
          <w:p>
            <w:pPr>
              <w:spacing w:after="0"/>
              <w:ind w:left="60"/>
              <w:rPr>
                <w:color w:val="auto"/>
                <w:sz w:val="20"/>
                <w:szCs w:val="20"/>
              </w:rPr>
            </w:pPr>
            <w:r>
              <w:rPr>
                <w:rFonts w:ascii="Calibri" w:eastAsia="Calibri" w:hAnsi="Calibri" w:cs="Calibri"/>
                <w:color w:val="auto"/>
                <w:sz w:val="12"/>
                <w:szCs w:val="12"/>
              </w:rPr>
              <w:t>Descripton of the company’s securites registered pursuant to Secton 12 of the Securites Exchange Act of 1934.</w:t>
            </w:r>
          </w:p>
        </w:tc>
      </w:tr>
      <w:tr>
        <w:tblPrEx>
          <w:tblInd w:w="0" w:type="dxa"/>
          <w:tblLayout w:type="fixed"/>
        </w:tblPrEx>
        <w:trPr>
          <w:trHeight w:val="128"/>
        </w:trPr>
        <w:tc>
          <w:tcPr>
            <w:tcW w:w="1080" w:type="dxa"/>
            <w:vAlign w:val="bottom"/>
          </w:tcPr>
          <w:p>
            <w:pPr>
              <w:spacing w:after="0" w:line="128" w:lineRule="exact"/>
              <w:jc w:val="right"/>
              <w:rPr>
                <w:rFonts w:ascii="Calibri" w:eastAsia="Calibri" w:hAnsi="Calibri" w:cs="Calibri"/>
                <w:color w:val="auto"/>
                <w:sz w:val="12"/>
                <w:szCs w:val="12"/>
              </w:rPr>
            </w:pPr>
            <w:hyperlink r:id="rId32">
              <w:r>
                <w:rPr>
                  <w:rFonts w:ascii="Calibri" w:eastAsia="Calibri" w:hAnsi="Calibri" w:cs="Calibri"/>
                  <w:color w:val="auto"/>
                  <w:sz w:val="12"/>
                  <w:szCs w:val="12"/>
                </w:rPr>
                <w:t>4.2</w:t>
              </w:r>
            </w:hyperlink>
          </w:p>
        </w:tc>
        <w:tc>
          <w:tcPr>
            <w:tcW w:w="10220" w:type="dxa"/>
            <w:vAlign w:val="bottom"/>
          </w:tcPr>
          <w:p>
            <w:pPr>
              <w:spacing w:after="0" w:line="128" w:lineRule="exact"/>
              <w:ind w:left="60"/>
              <w:rPr>
                <w:rFonts w:ascii="Calibri" w:eastAsia="Calibri" w:hAnsi="Calibri" w:cs="Calibri"/>
                <w:color w:val="auto"/>
                <w:sz w:val="12"/>
                <w:szCs w:val="12"/>
              </w:rPr>
            </w:pPr>
            <w:hyperlink r:id="rId33">
              <w:r>
                <w:rPr>
                  <w:rFonts w:ascii="Calibri" w:eastAsia="Calibri" w:hAnsi="Calibri" w:cs="Calibri"/>
                  <w:color w:val="auto"/>
                  <w:sz w:val="12"/>
                  <w:szCs w:val="12"/>
                </w:rPr>
                <w:t>*Indenture dated as of November 8, 2012 between AbbVie Inc. and U.S. Bank Natonal Associaton (incorporated by reference to Exhibit 4.1 of Amendment No. 5 to the company's</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34">
              <w:r>
                <w:rPr>
                  <w:rFonts w:ascii="Calibri" w:eastAsia="Calibri" w:hAnsi="Calibri" w:cs="Calibri"/>
                  <w:color w:val="auto"/>
                  <w:sz w:val="12"/>
                  <w:szCs w:val="12"/>
                </w:rPr>
                <w:t>Registraton Statement on Form 10 fled on November 16, 2012).</w:t>
              </w:r>
            </w:hyperlink>
          </w:p>
        </w:tc>
      </w:tr>
      <w:tr>
        <w:tblPrEx>
          <w:tblInd w:w="0" w:type="dxa"/>
          <w:tblLayout w:type="fixed"/>
        </w:tblPrEx>
        <w:trPr>
          <w:trHeight w:val="137"/>
        </w:trPr>
        <w:tc>
          <w:tcPr>
            <w:tcW w:w="1080" w:type="dxa"/>
            <w:vAlign w:val="bottom"/>
          </w:tcPr>
          <w:p>
            <w:pPr>
              <w:spacing w:after="0" w:line="137" w:lineRule="exact"/>
              <w:jc w:val="right"/>
              <w:rPr>
                <w:rFonts w:ascii="Calibri" w:eastAsia="Calibri" w:hAnsi="Calibri" w:cs="Calibri"/>
                <w:color w:val="auto"/>
                <w:sz w:val="12"/>
                <w:szCs w:val="12"/>
              </w:rPr>
            </w:pPr>
            <w:hyperlink r:id="rId35">
              <w:r>
                <w:rPr>
                  <w:rFonts w:ascii="Calibri" w:eastAsia="Calibri" w:hAnsi="Calibri" w:cs="Calibri"/>
                  <w:color w:val="auto"/>
                  <w:sz w:val="12"/>
                  <w:szCs w:val="12"/>
                </w:rPr>
                <w:t>4.3</w:t>
              </w:r>
            </w:hyperlink>
          </w:p>
        </w:tc>
        <w:tc>
          <w:tcPr>
            <w:tcW w:w="10220" w:type="dxa"/>
            <w:vAlign w:val="bottom"/>
          </w:tcPr>
          <w:p>
            <w:pPr>
              <w:spacing w:after="0" w:line="137" w:lineRule="exact"/>
              <w:ind w:left="60"/>
              <w:rPr>
                <w:rFonts w:ascii="Calibri" w:eastAsia="Calibri" w:hAnsi="Calibri" w:cs="Calibri"/>
                <w:color w:val="auto"/>
                <w:sz w:val="12"/>
                <w:szCs w:val="12"/>
              </w:rPr>
            </w:pPr>
            <w:hyperlink r:id="rId36">
              <w:r>
                <w:rPr>
                  <w:rFonts w:ascii="Calibri" w:eastAsia="Calibri" w:hAnsi="Calibri" w:cs="Calibri"/>
                  <w:color w:val="auto"/>
                  <w:sz w:val="12"/>
                  <w:szCs w:val="12"/>
                </w:rPr>
                <w:t>*Supplemental Indenture No. 1 dated as of November 8, 2012 among AbbVie Inc. and U.S. Bank Natonal Associaton, including forms of notes (incorporated by reference to Exhibit 4.2</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37">
              <w:r>
                <w:rPr>
                  <w:rFonts w:ascii="Calibri" w:eastAsia="Calibri" w:hAnsi="Calibri" w:cs="Calibri"/>
                  <w:color w:val="auto"/>
                  <w:sz w:val="12"/>
                  <w:szCs w:val="12"/>
                </w:rPr>
                <w:t>of Amendment No. 5 to the company's Registraton Statement on Form 10 fled on November 16, 2012).</w:t>
              </w:r>
            </w:hyperlink>
          </w:p>
        </w:tc>
      </w:tr>
      <w:tr>
        <w:tblPrEx>
          <w:tblInd w:w="0" w:type="dxa"/>
          <w:tblLayout w:type="fixed"/>
        </w:tblPrEx>
        <w:trPr>
          <w:trHeight w:val="137"/>
        </w:trPr>
        <w:tc>
          <w:tcPr>
            <w:tcW w:w="1080" w:type="dxa"/>
            <w:vAlign w:val="bottom"/>
          </w:tcPr>
          <w:p>
            <w:pPr>
              <w:spacing w:after="0" w:line="137" w:lineRule="exact"/>
              <w:jc w:val="right"/>
              <w:rPr>
                <w:rFonts w:ascii="Calibri" w:eastAsia="Calibri" w:hAnsi="Calibri" w:cs="Calibri"/>
                <w:color w:val="auto"/>
                <w:sz w:val="12"/>
                <w:szCs w:val="12"/>
              </w:rPr>
            </w:pPr>
            <w:hyperlink r:id="rId38">
              <w:r>
                <w:rPr>
                  <w:rFonts w:ascii="Calibri" w:eastAsia="Calibri" w:hAnsi="Calibri" w:cs="Calibri"/>
                  <w:color w:val="auto"/>
                  <w:sz w:val="12"/>
                  <w:szCs w:val="12"/>
                </w:rPr>
                <w:t>4.4</w:t>
              </w:r>
            </w:hyperlink>
          </w:p>
        </w:tc>
        <w:tc>
          <w:tcPr>
            <w:tcW w:w="10220" w:type="dxa"/>
            <w:vAlign w:val="bottom"/>
          </w:tcPr>
          <w:p>
            <w:pPr>
              <w:spacing w:after="0" w:line="137" w:lineRule="exact"/>
              <w:ind w:left="60"/>
              <w:rPr>
                <w:rFonts w:ascii="Calibri" w:eastAsia="Calibri" w:hAnsi="Calibri" w:cs="Calibri"/>
                <w:color w:val="auto"/>
                <w:sz w:val="12"/>
                <w:szCs w:val="12"/>
              </w:rPr>
            </w:pPr>
            <w:hyperlink r:id="rId39">
              <w:r>
                <w:rPr>
                  <w:rFonts w:ascii="Calibri" w:eastAsia="Calibri" w:hAnsi="Calibri" w:cs="Calibri"/>
                  <w:color w:val="auto"/>
                  <w:sz w:val="12"/>
                  <w:szCs w:val="12"/>
                </w:rPr>
                <w:t>*Supplemental Indenture No. 2 dated May 14, 2015, between AbbVie Inc. and U.S. Bank Natonal Associaton, as trustee, including forms of notes (incorporated by reference to Exhibit</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40">
              <w:r>
                <w:rPr>
                  <w:rFonts w:ascii="Calibri" w:eastAsia="Calibri" w:hAnsi="Calibri" w:cs="Calibri"/>
                  <w:color w:val="auto"/>
                  <w:sz w:val="12"/>
                  <w:szCs w:val="12"/>
                </w:rPr>
                <w:t>4.1 of the company's Current Report on Form 8-K fled on May 14, 2015).</w:t>
              </w:r>
            </w:hyperlink>
          </w:p>
        </w:tc>
      </w:tr>
      <w:tr>
        <w:tblPrEx>
          <w:tblInd w:w="0" w:type="dxa"/>
          <w:tblLayout w:type="fixed"/>
        </w:tblPrEx>
        <w:trPr>
          <w:trHeight w:val="137"/>
        </w:trPr>
        <w:tc>
          <w:tcPr>
            <w:tcW w:w="1080" w:type="dxa"/>
            <w:vAlign w:val="bottom"/>
          </w:tcPr>
          <w:p>
            <w:pPr>
              <w:spacing w:after="0" w:line="137" w:lineRule="exact"/>
              <w:jc w:val="right"/>
              <w:rPr>
                <w:rFonts w:ascii="Calibri" w:eastAsia="Calibri" w:hAnsi="Calibri" w:cs="Calibri"/>
                <w:color w:val="auto"/>
                <w:sz w:val="12"/>
                <w:szCs w:val="12"/>
              </w:rPr>
            </w:pPr>
            <w:hyperlink r:id="rId41">
              <w:r>
                <w:rPr>
                  <w:rFonts w:ascii="Calibri" w:eastAsia="Calibri" w:hAnsi="Calibri" w:cs="Calibri"/>
                  <w:color w:val="auto"/>
                  <w:sz w:val="12"/>
                  <w:szCs w:val="12"/>
                </w:rPr>
                <w:t>4.5</w:t>
              </w:r>
            </w:hyperlink>
          </w:p>
        </w:tc>
        <w:tc>
          <w:tcPr>
            <w:tcW w:w="10220" w:type="dxa"/>
            <w:vAlign w:val="bottom"/>
          </w:tcPr>
          <w:p>
            <w:pPr>
              <w:spacing w:after="0" w:line="137" w:lineRule="exact"/>
              <w:ind w:left="60"/>
              <w:rPr>
                <w:rFonts w:ascii="Calibri" w:eastAsia="Calibri" w:hAnsi="Calibri" w:cs="Calibri"/>
                <w:color w:val="auto"/>
                <w:sz w:val="12"/>
                <w:szCs w:val="12"/>
              </w:rPr>
            </w:pPr>
            <w:hyperlink r:id="rId42">
              <w:r>
                <w:rPr>
                  <w:rFonts w:ascii="Calibri" w:eastAsia="Calibri" w:hAnsi="Calibri" w:cs="Calibri"/>
                  <w:color w:val="auto"/>
                  <w:sz w:val="12"/>
                  <w:szCs w:val="12"/>
                </w:rPr>
                <w:t>*Supplemental Indenture No. 3 dated May 12, 2016, between AbbVie Inc. and U.S. Bank Natonal Associaton, as trustee, including forms of notes (incorporated by reference to Exhibit</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43">
              <w:r>
                <w:rPr>
                  <w:rFonts w:ascii="Calibri" w:eastAsia="Calibri" w:hAnsi="Calibri" w:cs="Calibri"/>
                  <w:color w:val="auto"/>
                  <w:sz w:val="12"/>
                  <w:szCs w:val="12"/>
                </w:rPr>
                <w:t>4.1 of the company’s Current Report on Form 8-K fled on May 12, 2016).</w:t>
              </w:r>
            </w:hyperlink>
          </w:p>
        </w:tc>
      </w:tr>
      <w:tr>
        <w:tblPrEx>
          <w:tblInd w:w="0" w:type="dxa"/>
          <w:tblLayout w:type="fixed"/>
        </w:tblPrEx>
        <w:trPr>
          <w:trHeight w:val="137"/>
        </w:trPr>
        <w:tc>
          <w:tcPr>
            <w:tcW w:w="1080" w:type="dxa"/>
            <w:vAlign w:val="bottom"/>
          </w:tcPr>
          <w:p>
            <w:pPr>
              <w:spacing w:after="0" w:line="137" w:lineRule="exact"/>
              <w:jc w:val="right"/>
              <w:rPr>
                <w:rFonts w:ascii="Calibri" w:eastAsia="Calibri" w:hAnsi="Calibri" w:cs="Calibri"/>
                <w:color w:val="auto"/>
                <w:sz w:val="12"/>
                <w:szCs w:val="12"/>
              </w:rPr>
            </w:pPr>
            <w:hyperlink r:id="rId44">
              <w:r>
                <w:rPr>
                  <w:rFonts w:ascii="Calibri" w:eastAsia="Calibri" w:hAnsi="Calibri" w:cs="Calibri"/>
                  <w:color w:val="auto"/>
                  <w:sz w:val="12"/>
                  <w:szCs w:val="12"/>
                </w:rPr>
                <w:t>4.6</w:t>
              </w:r>
            </w:hyperlink>
          </w:p>
        </w:tc>
        <w:tc>
          <w:tcPr>
            <w:tcW w:w="10220" w:type="dxa"/>
            <w:vAlign w:val="bottom"/>
          </w:tcPr>
          <w:p>
            <w:pPr>
              <w:spacing w:after="0" w:line="137" w:lineRule="exact"/>
              <w:ind w:left="60"/>
              <w:rPr>
                <w:rFonts w:ascii="Calibri" w:eastAsia="Calibri" w:hAnsi="Calibri" w:cs="Calibri"/>
                <w:color w:val="auto"/>
                <w:sz w:val="12"/>
                <w:szCs w:val="12"/>
              </w:rPr>
            </w:pPr>
            <w:hyperlink r:id="rId45">
              <w:r>
                <w:rPr>
                  <w:rFonts w:ascii="Calibri" w:eastAsia="Calibri" w:hAnsi="Calibri" w:cs="Calibri"/>
                  <w:color w:val="auto"/>
                  <w:sz w:val="12"/>
                  <w:szCs w:val="12"/>
                </w:rPr>
                <w:t>*Supplemental Indenture No. 4, dated as of November 17, 2016, among AbbVie Inc., U.S. Bank Natonal Associaton, as trustee, Elavon Financial Services DAC, U.K. Branch, as paying</w:t>
              </w:r>
            </w:hyperlink>
          </w:p>
        </w:tc>
      </w:tr>
      <w:tr>
        <w:tblPrEx>
          <w:tblInd w:w="0" w:type="dxa"/>
          <w:tblLayout w:type="fixed"/>
        </w:tblPrEx>
        <w:trPr>
          <w:trHeight w:val="117"/>
        </w:trPr>
        <w:tc>
          <w:tcPr>
            <w:tcW w:w="1080" w:type="dxa"/>
            <w:vAlign w:val="bottom"/>
          </w:tcPr>
          <w:p>
            <w:pPr>
              <w:spacing w:after="0"/>
              <w:rPr>
                <w:color w:val="auto"/>
                <w:sz w:val="10"/>
                <w:szCs w:val="10"/>
              </w:rPr>
            </w:pPr>
          </w:p>
        </w:tc>
        <w:tc>
          <w:tcPr>
            <w:tcW w:w="10220" w:type="dxa"/>
            <w:vAlign w:val="bottom"/>
          </w:tcPr>
          <w:p>
            <w:pPr>
              <w:spacing w:after="0" w:line="117" w:lineRule="exact"/>
              <w:ind w:left="60"/>
              <w:rPr>
                <w:rFonts w:ascii="Calibri" w:eastAsia="Calibri" w:hAnsi="Calibri" w:cs="Calibri"/>
                <w:color w:val="auto"/>
                <w:sz w:val="12"/>
                <w:szCs w:val="12"/>
              </w:rPr>
            </w:pPr>
            <w:hyperlink r:id="rId46">
              <w:r>
                <w:rPr>
                  <w:rFonts w:ascii="Calibri" w:eastAsia="Calibri" w:hAnsi="Calibri" w:cs="Calibri"/>
                  <w:color w:val="auto"/>
                  <w:sz w:val="12"/>
                  <w:szCs w:val="12"/>
                </w:rPr>
                <w:t>agent and Elavon Financial Services DAC, as transfer agent and registrar, including forms of notes (incorporated by reference to Exhibit 4.1 of the company's Current Report on Form 8-K</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47">
              <w:r>
                <w:rPr>
                  <w:rFonts w:ascii="Calibri" w:eastAsia="Calibri" w:hAnsi="Calibri" w:cs="Calibri"/>
                  <w:color w:val="auto"/>
                  <w:sz w:val="12"/>
                  <w:szCs w:val="12"/>
                </w:rPr>
                <w:t>fled on November 17, 2016).</w:t>
              </w:r>
            </w:hyperlink>
          </w:p>
        </w:tc>
      </w:tr>
      <w:tr>
        <w:tblPrEx>
          <w:tblInd w:w="0" w:type="dxa"/>
          <w:tblLayout w:type="fixed"/>
        </w:tblPrEx>
        <w:trPr>
          <w:trHeight w:val="137"/>
        </w:trPr>
        <w:tc>
          <w:tcPr>
            <w:tcW w:w="1080" w:type="dxa"/>
            <w:vAlign w:val="bottom"/>
          </w:tcPr>
          <w:p>
            <w:pPr>
              <w:spacing w:after="0" w:line="137" w:lineRule="exact"/>
              <w:jc w:val="right"/>
              <w:rPr>
                <w:rFonts w:ascii="Calibri" w:eastAsia="Calibri" w:hAnsi="Calibri" w:cs="Calibri"/>
                <w:color w:val="auto"/>
                <w:sz w:val="12"/>
                <w:szCs w:val="12"/>
              </w:rPr>
            </w:pPr>
            <w:hyperlink r:id="rId48">
              <w:r>
                <w:rPr>
                  <w:rFonts w:ascii="Calibri" w:eastAsia="Calibri" w:hAnsi="Calibri" w:cs="Calibri"/>
                  <w:color w:val="auto"/>
                  <w:sz w:val="12"/>
                  <w:szCs w:val="12"/>
                </w:rPr>
                <w:t>4.7</w:t>
              </w:r>
            </w:hyperlink>
          </w:p>
        </w:tc>
        <w:tc>
          <w:tcPr>
            <w:tcW w:w="10220" w:type="dxa"/>
            <w:vAlign w:val="bottom"/>
          </w:tcPr>
          <w:p>
            <w:pPr>
              <w:spacing w:after="0" w:line="137" w:lineRule="exact"/>
              <w:ind w:left="60"/>
              <w:rPr>
                <w:rFonts w:ascii="Calibri" w:eastAsia="Calibri" w:hAnsi="Calibri" w:cs="Calibri"/>
                <w:color w:val="auto"/>
                <w:sz w:val="12"/>
                <w:szCs w:val="12"/>
              </w:rPr>
            </w:pPr>
            <w:hyperlink r:id="rId49">
              <w:r>
                <w:rPr>
                  <w:rFonts w:ascii="Calibri" w:eastAsia="Calibri" w:hAnsi="Calibri" w:cs="Calibri"/>
                  <w:color w:val="auto"/>
                  <w:sz w:val="12"/>
                  <w:szCs w:val="12"/>
                </w:rPr>
                <w:t>*Supplemental Indenture No. 5, dated September 18, 2018, between AbbVie Inc. and U.S. Bank Natonal Associaton, as trustee, including forms of notes (incorporated by reference to</w:t>
              </w:r>
            </w:hyperlink>
          </w:p>
        </w:tc>
      </w:tr>
      <w:tr>
        <w:tblPrEx>
          <w:tblInd w:w="0" w:type="dxa"/>
          <w:tblLayout w:type="fixed"/>
        </w:tblPrEx>
        <w:trPr>
          <w:trHeight w:val="142"/>
        </w:trPr>
        <w:tc>
          <w:tcPr>
            <w:tcW w:w="1080" w:type="dxa"/>
            <w:vAlign w:val="bottom"/>
          </w:tcPr>
          <w:p>
            <w:pPr>
              <w:spacing w:after="0"/>
              <w:rPr>
                <w:color w:val="auto"/>
                <w:sz w:val="12"/>
                <w:szCs w:val="12"/>
              </w:rPr>
            </w:pPr>
          </w:p>
        </w:tc>
        <w:tc>
          <w:tcPr>
            <w:tcW w:w="10220" w:type="dxa"/>
            <w:vAlign w:val="bottom"/>
          </w:tcPr>
          <w:p>
            <w:pPr>
              <w:spacing w:after="0" w:line="142" w:lineRule="exact"/>
              <w:ind w:left="60"/>
              <w:rPr>
                <w:rFonts w:ascii="Calibri" w:eastAsia="Calibri" w:hAnsi="Calibri" w:cs="Calibri"/>
                <w:color w:val="auto"/>
                <w:sz w:val="12"/>
                <w:szCs w:val="12"/>
              </w:rPr>
            </w:pPr>
            <w:hyperlink r:id="rId50">
              <w:r>
                <w:rPr>
                  <w:rFonts w:ascii="Calibri" w:eastAsia="Calibri" w:hAnsi="Calibri" w:cs="Calibri"/>
                  <w:color w:val="auto"/>
                  <w:sz w:val="12"/>
                  <w:szCs w:val="12"/>
                </w:rPr>
                <w:t>Exhibit 4.2 of the company’s Current Report on Form 8-K fled on September 18, 2018).</w:t>
              </w:r>
            </w:hyperlink>
          </w:p>
        </w:tc>
      </w:tr>
      <w:tr>
        <w:tblPrEx>
          <w:tblInd w:w="0" w:type="dxa"/>
          <w:tblLayout w:type="fixed"/>
        </w:tblPrEx>
        <w:trPr>
          <w:trHeight w:val="549"/>
        </w:trPr>
        <w:tc>
          <w:tcPr>
            <w:tcW w:w="1080" w:type="dxa"/>
            <w:vAlign w:val="bottom"/>
          </w:tcPr>
          <w:p>
            <w:pPr>
              <w:spacing w:after="0"/>
              <w:ind w:right="842"/>
              <w:jc w:val="right"/>
              <w:rPr>
                <w:color w:val="auto"/>
                <w:sz w:val="20"/>
                <w:szCs w:val="20"/>
              </w:rPr>
            </w:pPr>
            <w:r>
              <w:rPr>
                <w:rFonts w:ascii="Calibri" w:eastAsia="Calibri" w:hAnsi="Calibri" w:cs="Calibri"/>
                <w:b/>
                <w:bCs/>
                <w:i/>
                <w:iCs/>
                <w:color w:val="auto"/>
                <w:w w:val="87"/>
                <w:sz w:val="12"/>
                <w:szCs w:val="12"/>
              </w:rPr>
              <w:t>109</w:t>
            </w:r>
          </w:p>
        </w:tc>
        <w:tc>
          <w:tcPr>
            <w:tcW w:w="10220" w:type="dxa"/>
            <w:vAlign w:val="bottom"/>
          </w:tcPr>
          <w:p>
            <w:pPr>
              <w:spacing w:after="0"/>
              <w:ind w:left="40"/>
              <w:rPr>
                <w:color w:val="auto"/>
                <w:sz w:val="20"/>
                <w:szCs w:val="20"/>
              </w:rPr>
            </w:pP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tc>
      </w:tr>
      <w:tr>
        <w:tblPrEx>
          <w:tblInd w:w="0" w:type="dxa"/>
          <w:tblLayout w:type="fixed"/>
        </w:tblPrEx>
        <w:trPr>
          <w:trHeight w:val="143"/>
        </w:trPr>
        <w:tc>
          <w:tcPr>
            <w:tcW w:w="1080" w:type="dxa"/>
            <w:tcBorders>
              <w:bottom w:val="single" w:sz="8" w:space="0" w:color="9A9A9A"/>
            </w:tcBorders>
            <w:vAlign w:val="bottom"/>
          </w:tcPr>
          <w:p>
            <w:pPr>
              <w:spacing w:after="0"/>
              <w:rPr>
                <w:color w:val="auto"/>
                <w:sz w:val="12"/>
                <w:szCs w:val="12"/>
              </w:rPr>
            </w:pPr>
          </w:p>
        </w:tc>
        <w:tc>
          <w:tcPr>
            <w:tcW w:w="10220" w:type="dxa"/>
            <w:tcBorders>
              <w:bottom w:val="single" w:sz="8" w:space="0" w:color="9A9A9A"/>
            </w:tcBorders>
            <w:vAlign w:val="bottom"/>
          </w:tcPr>
          <w:p>
            <w:pPr>
              <w:spacing w:after="0"/>
              <w:rPr>
                <w:color w:val="auto"/>
                <w:sz w:val="12"/>
                <w:szCs w:val="12"/>
              </w:rPr>
            </w:pPr>
          </w:p>
        </w:tc>
      </w:tr>
    </w:tbl>
    <w:p>
      <w:pPr>
        <w:spacing w:after="0" w:line="20" w:lineRule="exact"/>
        <w:rPr>
          <w:color w:val="auto"/>
          <w:sz w:val="20"/>
          <w:szCs w:val="20"/>
        </w:rPr>
      </w:pPr>
      <w:r>
        <w:rPr>
          <w:color w:val="auto"/>
          <w:sz w:val="20"/>
          <w:szCs w:val="20"/>
        </w:rPr>
        <w:drawing>
          <wp:anchor simplePos="0" relativeHeight="251944960" behindDoc="1" locked="0" layoutInCell="0" allowOverlap="1">
            <wp:simplePos x="0" y="0"/>
            <wp:positionH relativeFrom="column">
              <wp:posOffset>7154545</wp:posOffset>
            </wp:positionH>
            <wp:positionV relativeFrom="paragraph">
              <wp:posOffset>-23495</wp:posOffset>
            </wp:positionV>
            <wp:extent cx="31115" cy="3683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45984" behindDoc="1" locked="0" layoutInCell="0" allowOverlap="1">
            <wp:simplePos x="0" y="0"/>
            <wp:positionH relativeFrom="column">
              <wp:posOffset>-17145</wp:posOffset>
            </wp:positionH>
            <wp:positionV relativeFrom="paragraph">
              <wp:posOffset>-23495</wp:posOffset>
            </wp:positionV>
            <wp:extent cx="31115" cy="3683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color w:val="auto"/>
          <w:sz w:val="20"/>
          <w:szCs w:val="20"/>
        </w:rPr>
        <w:drawing>
          <wp:anchor simplePos="0" relativeHeight="251947008" behindDoc="1" locked="0" layoutInCell="0" allowOverlap="1">
            <wp:simplePos x="0" y="0"/>
            <wp:positionH relativeFrom="column">
              <wp:posOffset>292100</wp:posOffset>
            </wp:positionH>
            <wp:positionV relativeFrom="paragraph">
              <wp:posOffset>-227965</wp:posOffset>
            </wp:positionV>
            <wp:extent cx="400050" cy="74295"/>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pgSz w:w="11900" w:h="16838" w:orient="portrait"/>
          <w:pgMar w:top="759" w:right="299" w:bottom="1440" w:left="300" w:header="0" w:footer="0" w:gutter="0"/>
          <w:cols w:num="1" w:space="720" w:equalWidth="0">
            <w:col w:w="11300" w:space="0"/>
          </w:cols>
        </w:sectPr>
      </w:pPr>
    </w:p>
    <w:bookmarkStart w:id="111" w:name="page112"/>
    <w:bookmarkEnd w:id="111"/>
    <w:p>
      <w:pPr>
        <w:spacing w:after="0"/>
        <w:ind w:left="380"/>
        <w:rPr>
          <w:color w:val="auto"/>
          <w:sz w:val="20"/>
          <w:szCs w:val="20"/>
        </w:rPr>
      </w:pPr>
      <w:r>
        <w:rPr>
          <w:rFonts w:ascii="Calibri" w:eastAsia="Calibri" w:hAnsi="Calibri" w:cs="Calibri"/>
          <w:b/>
          <w:bCs/>
          <w:color w:val="auto"/>
          <w:sz w:val="10"/>
          <w:szCs w:val="10"/>
        </w:rPr>
        <w:t>Exhibit</w:t>
      </w:r>
    </w:p>
    <w:p>
      <w:pPr>
        <w:spacing w:after="0"/>
        <w:ind w:left="360"/>
        <w:rPr>
          <w:color w:val="auto"/>
          <w:sz w:val="20"/>
          <w:szCs w:val="20"/>
        </w:rPr>
      </w:pPr>
      <w:r>
        <w:rPr>
          <w:rFonts w:ascii="Calibri" w:eastAsia="Calibri" w:hAnsi="Calibri" w:cs="Calibri"/>
          <w:b/>
          <w:bCs/>
          <w:color w:val="auto"/>
          <w:sz w:val="8"/>
          <w:szCs w:val="8"/>
        </w:rPr>
        <w:t>Number</w:t>
      </w:r>
    </w:p>
    <w:p>
      <w:pPr>
        <w:spacing w:after="0" w:line="20" w:lineRule="exact"/>
        <w:rPr>
          <w:color w:val="auto"/>
          <w:sz w:val="20"/>
          <w:szCs w:val="20"/>
        </w:rPr>
      </w:pPr>
      <w:r>
        <w:rPr>
          <w:color w:val="auto"/>
          <w:sz w:val="20"/>
          <w:szCs w:val="20"/>
        </w:rPr>
        <w:br w:type="column"/>
      </w:r>
    </w:p>
    <w:p>
      <w:pPr>
        <w:spacing w:after="0" w:line="70" w:lineRule="exact"/>
        <w:rPr>
          <w:color w:val="auto"/>
          <w:sz w:val="20"/>
          <w:szCs w:val="20"/>
        </w:rPr>
      </w:pPr>
    </w:p>
    <w:p>
      <w:pPr>
        <w:spacing w:after="0"/>
        <w:ind w:right="1120"/>
        <w:jc w:val="center"/>
        <w:rPr>
          <w:color w:val="auto"/>
          <w:sz w:val="20"/>
          <w:szCs w:val="20"/>
        </w:rPr>
      </w:pPr>
      <w:r>
        <w:rPr>
          <w:rFonts w:ascii="Calibri" w:eastAsia="Calibri" w:hAnsi="Calibri" w:cs="Calibri"/>
          <w:b/>
          <w:bCs/>
          <w:color w:val="auto"/>
          <w:sz w:val="10"/>
          <w:szCs w:val="10"/>
        </w:rPr>
        <w:t>Exhibit Descripton</w:t>
      </w:r>
    </w:p>
    <w:p>
      <w:pPr>
        <w:spacing w:after="0" w:line="26" w:lineRule="exact"/>
        <w:rPr>
          <w:color w:val="auto"/>
          <w:sz w:val="20"/>
          <w:szCs w:val="20"/>
        </w:rPr>
      </w:pPr>
    </w:p>
    <w:p>
      <w:pPr>
        <w:spacing w:after="0" w:line="231" w:lineRule="auto"/>
        <w:ind w:left="60" w:right="1560"/>
        <w:jc w:val="center"/>
        <w:rPr>
          <w:rFonts w:ascii="Calibri" w:eastAsia="Calibri" w:hAnsi="Calibri" w:cs="Calibri"/>
          <w:color w:val="auto"/>
          <w:sz w:val="11"/>
          <w:szCs w:val="11"/>
        </w:rPr>
      </w:pPr>
      <w:hyperlink r:id="rId51">
        <w:r>
          <w:rPr>
            <w:rFonts w:ascii="Calibri" w:eastAsia="Calibri" w:hAnsi="Calibri" w:cs="Calibri"/>
            <w:color w:val="auto"/>
            <w:sz w:val="11"/>
            <w:szCs w:val="11"/>
          </w:rPr>
          <w:t>4.8  *Supplemental Indenture No. 6, dated September 26, 2019, among AbbVie Inc., U.S. Bank Natonal Associaton, as trustee, transfer agent and registrar, and Elavon Financial Services</w:t>
        </w:r>
      </w:hyperlink>
      <w:r>
        <w:rPr>
          <w:rFonts w:ascii="Calibri" w:eastAsia="Calibri" w:hAnsi="Calibri" w:cs="Calibri"/>
          <w:color w:val="auto"/>
          <w:sz w:val="11"/>
          <w:szCs w:val="11"/>
        </w:rPr>
        <w:t xml:space="preserve"> </w:t>
      </w:r>
      <w:hyperlink r:id="rId52">
        <w:r>
          <w:rPr>
            <w:rFonts w:ascii="Calibri" w:eastAsia="Calibri" w:hAnsi="Calibri" w:cs="Calibri"/>
            <w:color w:val="auto"/>
            <w:sz w:val="11"/>
            <w:szCs w:val="11"/>
          </w:rPr>
          <w:t>DAC, UK Branch, as paying agent, including forms of notes (incorporated by reference to Exhibit 4.2 of the company’s Current Report on Form 8-K fled on September 26, 2019).</w:t>
        </w:r>
      </w:hyperlink>
    </w:p>
    <w:p>
      <w:pPr>
        <w:spacing w:after="0" w:line="21" w:lineRule="exact"/>
        <w:rPr>
          <w:color w:val="auto"/>
          <w:sz w:val="20"/>
          <w:szCs w:val="20"/>
        </w:rPr>
      </w:pPr>
    </w:p>
    <w:p>
      <w:pPr>
        <w:tabs>
          <w:tab w:val="left" w:pos="300"/>
        </w:tabs>
        <w:spacing w:after="0" w:line="212" w:lineRule="auto"/>
        <w:ind w:left="320" w:right="1780" w:hanging="252"/>
        <w:rPr>
          <w:rFonts w:ascii="Calibri" w:eastAsia="Calibri" w:hAnsi="Calibri" w:cs="Calibri"/>
          <w:color w:val="auto"/>
          <w:sz w:val="12"/>
          <w:szCs w:val="12"/>
        </w:rPr>
      </w:pPr>
      <w:hyperlink r:id="rId53">
        <w:r>
          <w:rPr>
            <w:rFonts w:ascii="Calibri" w:eastAsia="Calibri" w:hAnsi="Calibri" w:cs="Calibri"/>
            <w:color w:val="auto"/>
            <w:sz w:val="12"/>
            <w:szCs w:val="12"/>
          </w:rPr>
          <w:t>4.9</w:t>
        </w:r>
      </w:hyperlink>
      <w:r>
        <w:rPr>
          <w:rFonts w:ascii="Calibri" w:eastAsia="Calibri" w:hAnsi="Calibri" w:cs="Calibri"/>
          <w:color w:val="auto"/>
          <w:sz w:val="12"/>
          <w:szCs w:val="12"/>
        </w:rPr>
        <w:tab/>
      </w:r>
      <w:hyperlink r:id="rId54">
        <w:r>
          <w:rPr>
            <w:rFonts w:ascii="Calibri" w:eastAsia="Calibri" w:hAnsi="Calibri" w:cs="Calibri"/>
            <w:color w:val="auto"/>
            <w:sz w:val="12"/>
            <w:szCs w:val="12"/>
          </w:rPr>
          <w:t>*Supplemental Indenture No. 7, dated November 21, 2019, by and between AbbVie Inc. and U.S. Bank Natonal Associaton, as trustee, including forms of notes (incorporated by</w:t>
        </w:r>
      </w:hyperlink>
      <w:r>
        <w:rPr>
          <w:rFonts w:ascii="Calibri" w:eastAsia="Calibri" w:hAnsi="Calibri" w:cs="Calibri"/>
          <w:color w:val="auto"/>
          <w:sz w:val="12"/>
          <w:szCs w:val="12"/>
        </w:rPr>
        <w:t xml:space="preserve"> </w:t>
      </w:r>
      <w:hyperlink r:id="rId55">
        <w:r>
          <w:rPr>
            <w:rFonts w:ascii="Calibri" w:eastAsia="Calibri" w:hAnsi="Calibri" w:cs="Calibri"/>
            <w:color w:val="auto"/>
            <w:sz w:val="12"/>
            <w:szCs w:val="12"/>
          </w:rPr>
          <w:t>reference to Exhibit 4.2 of the company’s Current Report on Form 8-K fled on November 26, 2019).</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840" w:hanging="311"/>
        <w:rPr>
          <w:rFonts w:ascii="Calibri" w:eastAsia="Calibri" w:hAnsi="Calibri" w:cs="Calibri"/>
          <w:color w:val="auto"/>
          <w:sz w:val="12"/>
          <w:szCs w:val="12"/>
        </w:rPr>
      </w:pPr>
      <w:hyperlink r:id="rId56">
        <w:r>
          <w:rPr>
            <w:rFonts w:ascii="Calibri" w:eastAsia="Calibri" w:hAnsi="Calibri" w:cs="Calibri"/>
            <w:color w:val="auto"/>
            <w:sz w:val="12"/>
            <w:szCs w:val="12"/>
          </w:rPr>
          <w:t>4.10</w:t>
        </w:r>
      </w:hyperlink>
      <w:r>
        <w:rPr>
          <w:rFonts w:ascii="Calibri" w:eastAsia="Calibri" w:hAnsi="Calibri" w:cs="Calibri"/>
          <w:color w:val="auto"/>
          <w:sz w:val="12"/>
          <w:szCs w:val="12"/>
        </w:rPr>
        <w:tab/>
      </w:r>
      <w:hyperlink r:id="rId57">
        <w:r>
          <w:rPr>
            <w:rFonts w:ascii="Calibri" w:eastAsia="Calibri" w:hAnsi="Calibri" w:cs="Calibri"/>
            <w:color w:val="auto"/>
            <w:sz w:val="12"/>
            <w:szCs w:val="12"/>
          </w:rPr>
          <w:t>*Supplemental Indenture No. 8, dated May 14, 2020, by and between AbbVie Inc. and U.S. Bank Natonal Associaton, as trustee (incorporated by reference to Exhibit 4.2 of the</w:t>
        </w:r>
      </w:hyperlink>
      <w:r>
        <w:rPr>
          <w:rFonts w:ascii="Calibri" w:eastAsia="Calibri" w:hAnsi="Calibri" w:cs="Calibri"/>
          <w:color w:val="auto"/>
          <w:sz w:val="12"/>
          <w:szCs w:val="12"/>
        </w:rPr>
        <w:t xml:space="preserve"> </w:t>
      </w:r>
      <w:hyperlink r:id="rId58">
        <w:r>
          <w:rPr>
            <w:rFonts w:ascii="Calibri" w:eastAsia="Calibri" w:hAnsi="Calibri" w:cs="Calibri"/>
            <w:color w:val="auto"/>
            <w:sz w:val="12"/>
            <w:szCs w:val="12"/>
          </w:rPr>
          <w:t>company's Current Report on Form 8-K fled on May 14, 2020).</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460" w:hanging="311"/>
        <w:rPr>
          <w:rFonts w:ascii="Calibri" w:eastAsia="Calibri" w:hAnsi="Calibri" w:cs="Calibri"/>
          <w:color w:val="auto"/>
          <w:sz w:val="12"/>
          <w:szCs w:val="12"/>
        </w:rPr>
      </w:pPr>
      <w:hyperlink r:id="rId59">
        <w:r>
          <w:rPr>
            <w:rFonts w:ascii="Calibri" w:eastAsia="Calibri" w:hAnsi="Calibri" w:cs="Calibri"/>
            <w:color w:val="auto"/>
            <w:sz w:val="12"/>
            <w:szCs w:val="12"/>
          </w:rPr>
          <w:t>4.11</w:t>
        </w:r>
      </w:hyperlink>
      <w:r>
        <w:rPr>
          <w:rFonts w:ascii="Calibri" w:eastAsia="Calibri" w:hAnsi="Calibri" w:cs="Calibri"/>
          <w:color w:val="auto"/>
          <w:sz w:val="12"/>
          <w:szCs w:val="12"/>
        </w:rPr>
        <w:tab/>
      </w:r>
      <w:hyperlink r:id="rId60">
        <w:r>
          <w:rPr>
            <w:rFonts w:ascii="Calibri" w:eastAsia="Calibri" w:hAnsi="Calibri" w:cs="Calibri"/>
            <w:color w:val="auto"/>
            <w:sz w:val="12"/>
            <w:szCs w:val="12"/>
          </w:rPr>
          <w:t>*Supplemental Indenture No. 9, dated May 14, 2020, among AbbVie Inc., U.S. Bank and Natonal Associaton, as trustee, transfer agent and registrar, and Elavon Financial Services DAC,</w:t>
        </w:r>
      </w:hyperlink>
      <w:r>
        <w:rPr>
          <w:rFonts w:ascii="Calibri" w:eastAsia="Calibri" w:hAnsi="Calibri" w:cs="Calibri"/>
          <w:color w:val="auto"/>
          <w:sz w:val="12"/>
          <w:szCs w:val="12"/>
        </w:rPr>
        <w:t xml:space="preserve"> </w:t>
      </w:r>
      <w:hyperlink r:id="rId61">
        <w:r>
          <w:rPr>
            <w:rFonts w:ascii="Calibri" w:eastAsia="Calibri" w:hAnsi="Calibri" w:cs="Calibri"/>
            <w:color w:val="auto"/>
            <w:sz w:val="12"/>
            <w:szCs w:val="12"/>
          </w:rPr>
          <w:t>U.K. Branch, as paying agent (incorporated by reference to Exhibit 4.15 of the company's Current Report on Form 8-K fled on May 14, 2020).</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640" w:hanging="311"/>
        <w:rPr>
          <w:rFonts w:ascii="Calibri" w:eastAsia="Calibri" w:hAnsi="Calibri" w:cs="Calibri"/>
          <w:color w:val="auto"/>
          <w:sz w:val="12"/>
          <w:szCs w:val="12"/>
        </w:rPr>
      </w:pPr>
      <w:hyperlink r:id="rId62">
        <w:r>
          <w:rPr>
            <w:rFonts w:ascii="Calibri" w:eastAsia="Calibri" w:hAnsi="Calibri" w:cs="Calibri"/>
            <w:color w:val="auto"/>
            <w:sz w:val="12"/>
            <w:szCs w:val="12"/>
          </w:rPr>
          <w:t>4.12</w:t>
        </w:r>
      </w:hyperlink>
      <w:r>
        <w:rPr>
          <w:rFonts w:ascii="Calibri" w:eastAsia="Calibri" w:hAnsi="Calibri" w:cs="Calibri"/>
          <w:color w:val="auto"/>
          <w:sz w:val="12"/>
          <w:szCs w:val="12"/>
        </w:rPr>
        <w:tab/>
      </w:r>
      <w:hyperlink r:id="rId63">
        <w:r>
          <w:rPr>
            <w:rFonts w:ascii="Calibri" w:eastAsia="Calibri" w:hAnsi="Calibri" w:cs="Calibri"/>
            <w:color w:val="auto"/>
            <w:sz w:val="12"/>
            <w:szCs w:val="12"/>
          </w:rPr>
          <w:t>*Supplemental Indenture No. 10, dated February 26, 2024, by and between AbbVie Inc. and U.S. Bank Trust Company, Natonal Associaton, as trustee (incorporated by reference to</w:t>
        </w:r>
      </w:hyperlink>
      <w:r>
        <w:rPr>
          <w:rFonts w:ascii="Calibri" w:eastAsia="Calibri" w:hAnsi="Calibri" w:cs="Calibri"/>
          <w:color w:val="auto"/>
          <w:sz w:val="12"/>
          <w:szCs w:val="12"/>
        </w:rPr>
        <w:t xml:space="preserve"> </w:t>
      </w:r>
      <w:hyperlink r:id="rId64">
        <w:r>
          <w:rPr>
            <w:rFonts w:ascii="Calibri" w:eastAsia="Calibri" w:hAnsi="Calibri" w:cs="Calibri"/>
            <w:color w:val="auto"/>
            <w:sz w:val="12"/>
            <w:szCs w:val="12"/>
          </w:rPr>
          <w:t>Exhibit 4.2 of the company's Current Report on Form 8-K fled on February 26, 2024).</w:t>
        </w:r>
      </w:hyperlink>
    </w:p>
    <w:p>
      <w:pPr>
        <w:spacing w:after="0" w:line="20" w:lineRule="exact"/>
        <w:rPr>
          <w:rFonts w:ascii="Calibri" w:eastAsia="Calibri" w:hAnsi="Calibri" w:cs="Calibri"/>
          <w:color w:val="auto"/>
          <w:sz w:val="12"/>
          <w:szCs w:val="12"/>
        </w:rPr>
      </w:pPr>
    </w:p>
    <w:p>
      <w:pPr>
        <w:tabs>
          <w:tab w:val="left" w:pos="300"/>
        </w:tabs>
        <w:spacing w:after="0" w:line="231" w:lineRule="auto"/>
        <w:ind w:left="320" w:right="1640" w:hanging="311"/>
        <w:rPr>
          <w:rFonts w:ascii="Calibri" w:eastAsia="Calibri" w:hAnsi="Calibri" w:cs="Calibri"/>
          <w:color w:val="auto"/>
          <w:sz w:val="11"/>
          <w:szCs w:val="11"/>
        </w:rPr>
      </w:pPr>
      <w:hyperlink r:id="rId65">
        <w:r>
          <w:rPr>
            <w:rFonts w:ascii="Calibri" w:eastAsia="Calibri" w:hAnsi="Calibri" w:cs="Calibri"/>
            <w:color w:val="auto"/>
            <w:sz w:val="12"/>
            <w:szCs w:val="12"/>
          </w:rPr>
          <w:t>4.13</w:t>
        </w:r>
      </w:hyperlink>
      <w:r>
        <w:rPr>
          <w:rFonts w:ascii="Calibri" w:eastAsia="Calibri" w:hAnsi="Calibri" w:cs="Calibri"/>
          <w:color w:val="auto"/>
          <w:sz w:val="12"/>
          <w:szCs w:val="12"/>
        </w:rPr>
        <w:tab/>
      </w:r>
      <w:hyperlink r:id="rId66">
        <w:r>
          <w:rPr>
            <w:rFonts w:ascii="Calibri" w:eastAsia="Calibri" w:hAnsi="Calibri" w:cs="Calibri"/>
            <w:color w:val="auto"/>
            <w:sz w:val="11"/>
            <w:szCs w:val="11"/>
          </w:rPr>
          <w:t>*Agency Agreement, dated as of November 17, 2016, among AbbVie Inc., U.S. Bank Natonal Associaton, as trustee, Elavon Financial Services DAC, U.K. Branch, as paying agent and</w:t>
        </w:r>
      </w:hyperlink>
      <w:r>
        <w:rPr>
          <w:rFonts w:ascii="Calibri" w:eastAsia="Calibri" w:hAnsi="Calibri" w:cs="Calibri"/>
          <w:color w:val="auto"/>
          <w:sz w:val="11"/>
          <w:szCs w:val="11"/>
        </w:rPr>
        <w:t xml:space="preserve"> </w:t>
      </w:r>
      <w:hyperlink r:id="rId67">
        <w:r>
          <w:rPr>
            <w:rFonts w:ascii="Calibri" w:eastAsia="Calibri" w:hAnsi="Calibri" w:cs="Calibri"/>
            <w:color w:val="auto"/>
            <w:sz w:val="11"/>
            <w:szCs w:val="11"/>
          </w:rPr>
          <w:t>Elavon Financial Services DAC, as transfer agent and registrar (incorporated by reference to Exhibit 4.2 of the company's Current Report on Form 8-K fled on November 17, 2016).</w:t>
        </w:r>
      </w:hyperlink>
    </w:p>
    <w:p>
      <w:pPr>
        <w:spacing w:after="0" w:line="15" w:lineRule="exact"/>
        <w:rPr>
          <w:rFonts w:ascii="Calibri" w:eastAsia="Calibri" w:hAnsi="Calibri" w:cs="Calibri"/>
          <w:color w:val="auto"/>
          <w:sz w:val="12"/>
          <w:szCs w:val="12"/>
        </w:rPr>
      </w:pPr>
    </w:p>
    <w:p>
      <w:pPr>
        <w:tabs>
          <w:tab w:val="left" w:pos="300"/>
        </w:tabs>
        <w:spacing w:after="0"/>
        <w:rPr>
          <w:rFonts w:ascii="Calibri" w:eastAsia="Calibri" w:hAnsi="Calibri" w:cs="Calibri"/>
          <w:color w:val="auto"/>
          <w:sz w:val="11"/>
          <w:szCs w:val="11"/>
        </w:rPr>
      </w:pPr>
      <w:hyperlink r:id="rId68">
        <w:r>
          <w:rPr>
            <w:rFonts w:ascii="Calibri" w:eastAsia="Calibri" w:hAnsi="Calibri" w:cs="Calibri"/>
            <w:color w:val="auto"/>
            <w:sz w:val="12"/>
            <w:szCs w:val="12"/>
          </w:rPr>
          <w:t>4.14</w:t>
        </w:r>
      </w:hyperlink>
      <w:r>
        <w:rPr>
          <w:rFonts w:ascii="Calibri" w:eastAsia="Calibri" w:hAnsi="Calibri" w:cs="Calibri"/>
          <w:color w:val="auto"/>
          <w:sz w:val="12"/>
          <w:szCs w:val="12"/>
        </w:rPr>
        <w:tab/>
      </w:r>
      <w:hyperlink r:id="rId69">
        <w:r>
          <w:rPr>
            <w:rFonts w:ascii="Calibri" w:eastAsia="Calibri" w:hAnsi="Calibri" w:cs="Calibri"/>
            <w:color w:val="auto"/>
            <w:sz w:val="11"/>
            <w:szCs w:val="11"/>
          </w:rPr>
          <w:t>*Agency Agreement, dated September 26, 2019, among AbbVie Inc., U.S. Bank Natonal Associaton, as trustee, transfer agent and registrar, and Elavon Financial Services DAC, U.K.</w:t>
        </w:r>
      </w:hyperlink>
    </w:p>
    <w:p>
      <w:pPr>
        <w:spacing w:after="0" w:line="193" w:lineRule="auto"/>
        <w:ind w:left="320"/>
        <w:rPr>
          <w:rFonts w:ascii="Calibri" w:eastAsia="Calibri" w:hAnsi="Calibri" w:cs="Calibri"/>
          <w:color w:val="auto"/>
          <w:sz w:val="12"/>
          <w:szCs w:val="12"/>
        </w:rPr>
      </w:pPr>
      <w:hyperlink r:id="rId70">
        <w:r>
          <w:rPr>
            <w:rFonts w:ascii="Calibri" w:eastAsia="Calibri" w:hAnsi="Calibri" w:cs="Calibri"/>
            <w:color w:val="auto"/>
            <w:sz w:val="12"/>
            <w:szCs w:val="12"/>
          </w:rPr>
          <w:t>Branch, as paying agent (incorporated by reference to Exhibit 4.3 of the company’s Current Report on Form 8-K fled on September 26, 2019).</w:t>
        </w:r>
      </w:hyperlink>
    </w:p>
    <w:p>
      <w:pPr>
        <w:spacing w:after="0" w:line="20" w:lineRule="exact"/>
        <w:rPr>
          <w:color w:val="auto"/>
          <w:sz w:val="20"/>
          <w:szCs w:val="20"/>
        </w:rPr>
      </w:pPr>
    </w:p>
    <w:p>
      <w:pPr>
        <w:tabs>
          <w:tab w:val="left" w:pos="300"/>
        </w:tabs>
        <w:spacing w:after="0" w:line="212" w:lineRule="auto"/>
        <w:ind w:left="320" w:right="1520" w:hanging="311"/>
        <w:rPr>
          <w:rFonts w:ascii="Calibri" w:eastAsia="Calibri" w:hAnsi="Calibri" w:cs="Calibri"/>
          <w:color w:val="auto"/>
          <w:sz w:val="12"/>
          <w:szCs w:val="12"/>
        </w:rPr>
      </w:pPr>
      <w:hyperlink r:id="rId71">
        <w:r>
          <w:rPr>
            <w:rFonts w:ascii="Calibri" w:eastAsia="Calibri" w:hAnsi="Calibri" w:cs="Calibri"/>
            <w:color w:val="auto"/>
            <w:sz w:val="12"/>
            <w:szCs w:val="12"/>
          </w:rPr>
          <w:t>4.15</w:t>
        </w:r>
      </w:hyperlink>
      <w:r>
        <w:rPr>
          <w:rFonts w:ascii="Calibri" w:eastAsia="Calibri" w:hAnsi="Calibri" w:cs="Calibri"/>
          <w:color w:val="auto"/>
          <w:sz w:val="12"/>
          <w:szCs w:val="12"/>
        </w:rPr>
        <w:tab/>
      </w:r>
      <w:hyperlink r:id="rId72">
        <w:r>
          <w:rPr>
            <w:rFonts w:ascii="Calibri" w:eastAsia="Calibri" w:hAnsi="Calibri" w:cs="Calibri"/>
            <w:color w:val="auto"/>
            <w:sz w:val="12"/>
            <w:szCs w:val="12"/>
          </w:rPr>
          <w:t>*Registraton Rights Agreement, dated November 21, 2019, among AbbVie Inc. and Morgan Stanley &amp; Co. LLC, BofA Securites, Inc. and Barclays Capital Inc. (actng for themselves and</w:t>
        </w:r>
      </w:hyperlink>
      <w:r>
        <w:rPr>
          <w:rFonts w:ascii="Calibri" w:eastAsia="Calibri" w:hAnsi="Calibri" w:cs="Calibri"/>
          <w:color w:val="auto"/>
          <w:sz w:val="12"/>
          <w:szCs w:val="12"/>
        </w:rPr>
        <w:t xml:space="preserve"> </w:t>
      </w:r>
      <w:hyperlink r:id="rId73">
        <w:r>
          <w:rPr>
            <w:rFonts w:ascii="Calibri" w:eastAsia="Calibri" w:hAnsi="Calibri" w:cs="Calibri"/>
            <w:color w:val="auto"/>
            <w:sz w:val="12"/>
            <w:szCs w:val="12"/>
          </w:rPr>
          <w:t>as representatves of the several inital purchasers) (incorporated by reference to Exhibit 4.13 of the company’s Current Report on Form 8-K fled on November 26, 2019).</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480" w:hanging="311"/>
        <w:rPr>
          <w:rFonts w:ascii="Calibri" w:eastAsia="Calibri" w:hAnsi="Calibri" w:cs="Calibri"/>
          <w:color w:val="auto"/>
          <w:sz w:val="12"/>
          <w:szCs w:val="12"/>
        </w:rPr>
      </w:pPr>
      <w:hyperlink r:id="rId74">
        <w:r>
          <w:rPr>
            <w:rFonts w:ascii="Calibri" w:eastAsia="Calibri" w:hAnsi="Calibri" w:cs="Calibri"/>
            <w:color w:val="auto"/>
            <w:sz w:val="12"/>
            <w:szCs w:val="12"/>
          </w:rPr>
          <w:t>4.16</w:t>
        </w:r>
      </w:hyperlink>
      <w:r>
        <w:rPr>
          <w:rFonts w:ascii="Calibri" w:eastAsia="Calibri" w:hAnsi="Calibri" w:cs="Calibri"/>
          <w:color w:val="auto"/>
          <w:sz w:val="12"/>
          <w:szCs w:val="12"/>
        </w:rPr>
        <w:tab/>
      </w:r>
      <w:hyperlink r:id="rId75">
        <w:r>
          <w:rPr>
            <w:rFonts w:ascii="Calibri" w:eastAsia="Calibri" w:hAnsi="Calibri" w:cs="Calibri"/>
            <w:color w:val="auto"/>
            <w:sz w:val="12"/>
            <w:szCs w:val="12"/>
          </w:rPr>
          <w:t>*Agency Agreement, dated May 14, 2020, among AbbVie Inc., U.S. Bank Natonal Associaton, as trustee, transfer agent and registrar, and Elavon Financial Services DAC, U.K. Branch, as</w:t>
        </w:r>
      </w:hyperlink>
      <w:r>
        <w:rPr>
          <w:rFonts w:ascii="Calibri" w:eastAsia="Calibri" w:hAnsi="Calibri" w:cs="Calibri"/>
          <w:color w:val="auto"/>
          <w:sz w:val="12"/>
          <w:szCs w:val="12"/>
        </w:rPr>
        <w:t xml:space="preserve"> </w:t>
      </w:r>
      <w:hyperlink r:id="rId76">
        <w:r>
          <w:rPr>
            <w:rFonts w:ascii="Calibri" w:eastAsia="Calibri" w:hAnsi="Calibri" w:cs="Calibri"/>
            <w:color w:val="auto"/>
            <w:sz w:val="12"/>
            <w:szCs w:val="12"/>
          </w:rPr>
          <w:t>paying agent and calculaton agent (incorporated by reference to Exhibit 4.16 of the company’s Current Report on Form 8-K fled on May 14, 2020).</w:t>
        </w:r>
      </w:hyperlink>
    </w:p>
    <w:p>
      <w:pPr>
        <w:spacing w:after="0" w:line="20" w:lineRule="exact"/>
        <w:rPr>
          <w:rFonts w:ascii="Calibri" w:eastAsia="Calibri" w:hAnsi="Calibri" w:cs="Calibri"/>
          <w:color w:val="auto"/>
          <w:sz w:val="12"/>
          <w:szCs w:val="12"/>
        </w:rPr>
      </w:pPr>
    </w:p>
    <w:p>
      <w:pPr>
        <w:tabs>
          <w:tab w:val="left" w:pos="300"/>
        </w:tabs>
        <w:spacing w:after="0" w:line="210" w:lineRule="auto"/>
        <w:ind w:left="320" w:right="1640" w:hanging="311"/>
        <w:rPr>
          <w:rFonts w:ascii="Calibri" w:eastAsia="Calibri" w:hAnsi="Calibri" w:cs="Calibri"/>
          <w:color w:val="auto"/>
          <w:sz w:val="12"/>
          <w:szCs w:val="12"/>
        </w:rPr>
      </w:pPr>
      <w:hyperlink r:id="rId77">
        <w:r>
          <w:rPr>
            <w:rFonts w:ascii="Calibri" w:eastAsia="Calibri" w:hAnsi="Calibri" w:cs="Calibri"/>
            <w:color w:val="auto"/>
            <w:sz w:val="12"/>
            <w:szCs w:val="12"/>
          </w:rPr>
          <w:t>4.17</w:t>
        </w:r>
      </w:hyperlink>
      <w:r>
        <w:rPr>
          <w:rFonts w:ascii="Calibri" w:eastAsia="Calibri" w:hAnsi="Calibri" w:cs="Calibri"/>
          <w:color w:val="auto"/>
          <w:sz w:val="12"/>
          <w:szCs w:val="12"/>
        </w:rPr>
        <w:tab/>
      </w:r>
      <w:hyperlink r:id="rId78">
        <w:r>
          <w:rPr>
            <w:rFonts w:ascii="Calibri" w:eastAsia="Calibri" w:hAnsi="Calibri" w:cs="Calibri"/>
            <w:color w:val="auto"/>
            <w:sz w:val="12"/>
            <w:szCs w:val="12"/>
          </w:rPr>
          <w:t>*Registraton Rights Agreement, dated May 14, 2020, among AbbVie Inc. and Morgan Stanley &amp; Co. LLC, BofA Securites, Inc., Citgroup Global Markets Inc., BNP Paribas Securites</w:t>
        </w:r>
      </w:hyperlink>
      <w:r>
        <w:rPr>
          <w:rFonts w:ascii="Calibri" w:eastAsia="Calibri" w:hAnsi="Calibri" w:cs="Calibri"/>
          <w:color w:val="auto"/>
          <w:sz w:val="12"/>
          <w:szCs w:val="12"/>
        </w:rPr>
        <w:t xml:space="preserve"> </w:t>
      </w:r>
      <w:hyperlink r:id="rId79">
        <w:r>
          <w:rPr>
            <w:rFonts w:ascii="Calibri" w:eastAsia="Calibri" w:hAnsi="Calibri" w:cs="Calibri"/>
            <w:color w:val="auto"/>
            <w:sz w:val="12"/>
            <w:szCs w:val="12"/>
          </w:rPr>
          <w:t>Corp., HSBC Securites (USA) Inc., Mizuho Securites USA LLC and Wells Fargo Securites, LLC (incorporated by reference to Exhibit 4.23 of the company’s Current Report on Form 8-K</w:t>
        </w:r>
      </w:hyperlink>
      <w:r>
        <w:rPr>
          <w:rFonts w:ascii="Calibri" w:eastAsia="Calibri" w:hAnsi="Calibri" w:cs="Calibri"/>
          <w:color w:val="auto"/>
          <w:sz w:val="12"/>
          <w:szCs w:val="12"/>
        </w:rPr>
        <w:t xml:space="preserve"> </w:t>
      </w:r>
      <w:hyperlink r:id="rId80">
        <w:r>
          <w:rPr>
            <w:rFonts w:ascii="Calibri" w:eastAsia="Calibri" w:hAnsi="Calibri" w:cs="Calibri"/>
            <w:color w:val="auto"/>
            <w:sz w:val="12"/>
            <w:szCs w:val="12"/>
          </w:rPr>
          <w:t>fled on May 14, 2020).</w:t>
        </w:r>
      </w:hyperlink>
    </w:p>
    <w:p>
      <w:pPr>
        <w:spacing w:after="0" w:line="11" w:lineRule="exact"/>
        <w:rPr>
          <w:rFonts w:ascii="Calibri" w:eastAsia="Calibri" w:hAnsi="Calibri" w:cs="Calibri"/>
          <w:color w:val="auto"/>
          <w:sz w:val="12"/>
          <w:szCs w:val="12"/>
        </w:rPr>
      </w:pPr>
    </w:p>
    <w:p>
      <w:pPr>
        <w:tabs>
          <w:tab w:val="left" w:pos="300"/>
        </w:tabs>
        <w:spacing w:after="0" w:line="212" w:lineRule="auto"/>
        <w:ind w:left="320" w:right="1920" w:hanging="311"/>
        <w:rPr>
          <w:rFonts w:ascii="Calibri" w:eastAsia="Calibri" w:hAnsi="Calibri" w:cs="Calibri"/>
          <w:color w:val="auto"/>
          <w:sz w:val="12"/>
          <w:szCs w:val="12"/>
        </w:rPr>
      </w:pPr>
      <w:hyperlink r:id="rId81">
        <w:r>
          <w:rPr>
            <w:rFonts w:ascii="Calibri" w:eastAsia="Calibri" w:hAnsi="Calibri" w:cs="Calibri"/>
            <w:color w:val="auto"/>
            <w:sz w:val="12"/>
            <w:szCs w:val="12"/>
          </w:rPr>
          <w:t>10.</w:t>
        </w:r>
      </w:hyperlink>
      <w:r>
        <w:rPr>
          <w:rFonts w:ascii="Calibri" w:eastAsia="Calibri" w:hAnsi="Calibri" w:cs="Calibri"/>
          <w:color w:val="auto"/>
          <w:sz w:val="12"/>
          <w:szCs w:val="12"/>
        </w:rPr>
        <w:t>1</w:t>
        <w:tab/>
      </w:r>
      <w:hyperlink r:id="rId82">
        <w:r>
          <w:rPr>
            <w:rFonts w:ascii="Calibri" w:eastAsia="Calibri" w:hAnsi="Calibri" w:cs="Calibri"/>
            <w:color w:val="auto"/>
            <w:sz w:val="12"/>
            <w:szCs w:val="12"/>
          </w:rPr>
          <w:t>*AbbVie 2013 Amended and Restated Incentve Stock Program (incorporated by reference to Appendix C to the AbbVie Inc. Defnitve Proxy Statement on Schedule 14A dated</w:t>
        </w:r>
      </w:hyperlink>
      <w:r>
        <w:rPr>
          <w:rFonts w:ascii="Calibri" w:eastAsia="Calibri" w:hAnsi="Calibri" w:cs="Calibri"/>
          <w:color w:val="auto"/>
          <w:sz w:val="12"/>
          <w:szCs w:val="12"/>
        </w:rPr>
        <w:t xml:space="preserve"> </w:t>
      </w:r>
      <w:hyperlink r:id="rId83">
        <w:r>
          <w:rPr>
            <w:rFonts w:ascii="Calibri" w:eastAsia="Calibri" w:hAnsi="Calibri" w:cs="Calibri"/>
            <w:color w:val="auto"/>
            <w:sz w:val="12"/>
            <w:szCs w:val="12"/>
          </w:rPr>
          <w:t>March 22, 2021).**</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720" w:hanging="311"/>
        <w:rPr>
          <w:rFonts w:ascii="Calibri" w:eastAsia="Calibri" w:hAnsi="Calibri" w:cs="Calibri"/>
          <w:color w:val="auto"/>
          <w:sz w:val="12"/>
          <w:szCs w:val="12"/>
        </w:rPr>
      </w:pPr>
      <w:hyperlink r:id="rId84">
        <w:r>
          <w:rPr>
            <w:rFonts w:ascii="Calibri" w:eastAsia="Calibri" w:hAnsi="Calibri" w:cs="Calibri"/>
            <w:color w:val="auto"/>
            <w:sz w:val="12"/>
            <w:szCs w:val="12"/>
          </w:rPr>
          <w:t>10.2</w:t>
        </w:r>
      </w:hyperlink>
      <w:r>
        <w:rPr>
          <w:rFonts w:ascii="Calibri" w:eastAsia="Calibri" w:hAnsi="Calibri" w:cs="Calibri"/>
          <w:color w:val="auto"/>
          <w:sz w:val="12"/>
          <w:szCs w:val="12"/>
        </w:rPr>
        <w:tab/>
      </w:r>
      <w:hyperlink r:id="rId85">
        <w:r>
          <w:rPr>
            <w:rFonts w:ascii="Calibri" w:eastAsia="Calibri" w:hAnsi="Calibri" w:cs="Calibri"/>
            <w:color w:val="auto"/>
            <w:sz w:val="12"/>
            <w:szCs w:val="12"/>
          </w:rPr>
          <w:t>*AbbVie Deferred Compensaton Plan, as amended and restated (incorporated by reference to Exhibit 10.5 of the company's Annual Report on Form 10-K for the fscal year ended</w:t>
        </w:r>
      </w:hyperlink>
      <w:r>
        <w:rPr>
          <w:rFonts w:ascii="Calibri" w:eastAsia="Calibri" w:hAnsi="Calibri" w:cs="Calibri"/>
          <w:color w:val="auto"/>
          <w:sz w:val="12"/>
          <w:szCs w:val="12"/>
        </w:rPr>
        <w:t xml:space="preserve"> </w:t>
      </w:r>
      <w:hyperlink r:id="rId86">
        <w:r>
          <w:rPr>
            <w:rFonts w:ascii="Calibri" w:eastAsia="Calibri" w:hAnsi="Calibri" w:cs="Calibri"/>
            <w:color w:val="auto"/>
            <w:sz w:val="12"/>
            <w:szCs w:val="12"/>
          </w:rPr>
          <w:t>December 31, 2016).**</w:t>
        </w:r>
      </w:hyperlink>
    </w:p>
    <w:p>
      <w:pPr>
        <w:spacing w:after="0" w:line="15" w:lineRule="exact"/>
        <w:rPr>
          <w:rFonts w:ascii="Calibri" w:eastAsia="Calibri" w:hAnsi="Calibri" w:cs="Calibri"/>
          <w:color w:val="auto"/>
          <w:sz w:val="12"/>
          <w:szCs w:val="12"/>
        </w:rPr>
      </w:pPr>
    </w:p>
    <w:p>
      <w:pPr>
        <w:tabs>
          <w:tab w:val="left" w:pos="300"/>
        </w:tabs>
        <w:spacing w:after="0"/>
        <w:rPr>
          <w:rFonts w:ascii="Calibri" w:eastAsia="Calibri" w:hAnsi="Calibri" w:cs="Calibri"/>
          <w:color w:val="auto"/>
          <w:sz w:val="11"/>
          <w:szCs w:val="11"/>
        </w:rPr>
      </w:pPr>
      <w:hyperlink r:id="rId87">
        <w:r>
          <w:rPr>
            <w:rFonts w:ascii="Calibri" w:eastAsia="Calibri" w:hAnsi="Calibri" w:cs="Calibri"/>
            <w:color w:val="auto"/>
            <w:sz w:val="12"/>
            <w:szCs w:val="12"/>
          </w:rPr>
          <w:t>10.3</w:t>
        </w:r>
      </w:hyperlink>
      <w:r>
        <w:rPr>
          <w:rFonts w:ascii="Calibri" w:eastAsia="Calibri" w:hAnsi="Calibri" w:cs="Calibri"/>
          <w:color w:val="auto"/>
          <w:sz w:val="12"/>
          <w:szCs w:val="12"/>
        </w:rPr>
        <w:tab/>
      </w:r>
      <w:hyperlink r:id="rId88">
        <w:r>
          <w:rPr>
            <w:rFonts w:ascii="Calibri" w:eastAsia="Calibri" w:hAnsi="Calibri" w:cs="Calibri"/>
            <w:color w:val="auto"/>
            <w:sz w:val="11"/>
            <w:szCs w:val="11"/>
          </w:rPr>
          <w:t>*AbbVie Deferred Compensaton Plan Plus (incorporated by reference to Exhibit 10.2 of the company's Quarterly Report on Form 10-Q for the quarterly period ended September 30,</w:t>
        </w:r>
      </w:hyperlink>
    </w:p>
    <w:p>
      <w:pPr>
        <w:spacing w:after="0" w:line="193" w:lineRule="auto"/>
        <w:ind w:left="320"/>
        <w:rPr>
          <w:rFonts w:ascii="Calibri" w:eastAsia="Calibri" w:hAnsi="Calibri" w:cs="Calibri"/>
          <w:color w:val="auto"/>
          <w:sz w:val="12"/>
          <w:szCs w:val="12"/>
        </w:rPr>
      </w:pPr>
      <w:hyperlink r:id="rId89">
        <w:r>
          <w:rPr>
            <w:rFonts w:ascii="Calibri" w:eastAsia="Calibri" w:hAnsi="Calibri" w:cs="Calibri"/>
            <w:color w:val="auto"/>
            <w:sz w:val="12"/>
            <w:szCs w:val="12"/>
          </w:rPr>
          <w:t>2022).**</w:t>
        </w:r>
      </w:hyperlink>
    </w:p>
    <w:p>
      <w:pPr>
        <w:spacing w:after="0" w:line="20" w:lineRule="exact"/>
        <w:rPr>
          <w:color w:val="auto"/>
          <w:sz w:val="20"/>
          <w:szCs w:val="20"/>
        </w:rPr>
      </w:pPr>
    </w:p>
    <w:p>
      <w:pPr>
        <w:tabs>
          <w:tab w:val="left" w:pos="300"/>
        </w:tabs>
        <w:spacing w:after="0" w:line="212" w:lineRule="auto"/>
        <w:ind w:left="320" w:right="1540" w:hanging="311"/>
        <w:rPr>
          <w:rFonts w:ascii="Calibri" w:eastAsia="Calibri" w:hAnsi="Calibri" w:cs="Calibri"/>
          <w:color w:val="auto"/>
          <w:sz w:val="12"/>
          <w:szCs w:val="12"/>
        </w:rPr>
      </w:pPr>
      <w:hyperlink r:id="rId90">
        <w:r>
          <w:rPr>
            <w:rFonts w:ascii="Calibri" w:eastAsia="Calibri" w:hAnsi="Calibri" w:cs="Calibri"/>
            <w:color w:val="auto"/>
            <w:sz w:val="12"/>
            <w:szCs w:val="12"/>
          </w:rPr>
          <w:t>10.4</w:t>
        </w:r>
      </w:hyperlink>
      <w:r>
        <w:rPr>
          <w:rFonts w:ascii="Calibri" w:eastAsia="Calibri" w:hAnsi="Calibri" w:cs="Calibri"/>
          <w:color w:val="auto"/>
          <w:sz w:val="12"/>
          <w:szCs w:val="12"/>
        </w:rPr>
        <w:tab/>
      </w:r>
      <w:hyperlink r:id="rId91">
        <w:r>
          <w:rPr>
            <w:rFonts w:ascii="Calibri" w:eastAsia="Calibri" w:hAnsi="Calibri" w:cs="Calibri"/>
            <w:color w:val="auto"/>
            <w:sz w:val="12"/>
            <w:szCs w:val="12"/>
          </w:rPr>
          <w:t>*Form of AbbVie Inc. Non-Employee Director Restricted Stock Unit ("RSU") Agreement (incorporated by reference to Exhibit 10.1 of the company's Quarterly Report on Form 10-Q for</w:t>
        </w:r>
      </w:hyperlink>
      <w:r>
        <w:rPr>
          <w:rFonts w:ascii="Calibri" w:eastAsia="Calibri" w:hAnsi="Calibri" w:cs="Calibri"/>
          <w:color w:val="auto"/>
          <w:sz w:val="12"/>
          <w:szCs w:val="12"/>
        </w:rPr>
        <w:t xml:space="preserve"> </w:t>
      </w:r>
      <w:hyperlink r:id="rId92">
        <w:r>
          <w:rPr>
            <w:rFonts w:ascii="Calibri" w:eastAsia="Calibri" w:hAnsi="Calibri" w:cs="Calibri"/>
            <w:color w:val="auto"/>
            <w:sz w:val="12"/>
            <w:szCs w:val="12"/>
          </w:rPr>
          <w:t>the quarterly period ended March 31, 2016).**</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780" w:hanging="311"/>
        <w:rPr>
          <w:rFonts w:ascii="Calibri" w:eastAsia="Calibri" w:hAnsi="Calibri" w:cs="Calibri"/>
          <w:color w:val="auto"/>
          <w:sz w:val="12"/>
          <w:szCs w:val="12"/>
        </w:rPr>
      </w:pPr>
      <w:hyperlink r:id="rId93">
        <w:r>
          <w:rPr>
            <w:rFonts w:ascii="Calibri" w:eastAsia="Calibri" w:hAnsi="Calibri" w:cs="Calibri"/>
            <w:color w:val="auto"/>
            <w:sz w:val="12"/>
            <w:szCs w:val="12"/>
          </w:rPr>
          <w:t>10.5</w:t>
        </w:r>
      </w:hyperlink>
      <w:r>
        <w:rPr>
          <w:rFonts w:ascii="Calibri" w:eastAsia="Calibri" w:hAnsi="Calibri" w:cs="Calibri"/>
          <w:color w:val="auto"/>
          <w:sz w:val="12"/>
          <w:szCs w:val="12"/>
        </w:rPr>
        <w:tab/>
      </w:r>
      <w:hyperlink r:id="rId94">
        <w:r>
          <w:rPr>
            <w:rFonts w:ascii="Calibri" w:eastAsia="Calibri" w:hAnsi="Calibri" w:cs="Calibri"/>
            <w:color w:val="auto"/>
            <w:sz w:val="12"/>
            <w:szCs w:val="12"/>
          </w:rPr>
          <w:t>*Form of AbbVie Inc. Non-Qualifed Stock Opton Agreement (incorporated by reference to Exhibit 10.2 of the company's Quarterly Report on Form 10-Q for the quarterly period</w:t>
        </w:r>
      </w:hyperlink>
      <w:r>
        <w:rPr>
          <w:rFonts w:ascii="Calibri" w:eastAsia="Calibri" w:hAnsi="Calibri" w:cs="Calibri"/>
          <w:color w:val="auto"/>
          <w:sz w:val="12"/>
          <w:szCs w:val="12"/>
        </w:rPr>
        <w:t xml:space="preserve"> </w:t>
      </w:r>
      <w:hyperlink r:id="rId95">
        <w:r>
          <w:rPr>
            <w:rFonts w:ascii="Calibri" w:eastAsia="Calibri" w:hAnsi="Calibri" w:cs="Calibri"/>
            <w:color w:val="auto"/>
            <w:sz w:val="12"/>
            <w:szCs w:val="12"/>
          </w:rPr>
          <w:t>ended March 31, 2016).**</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740" w:hanging="311"/>
        <w:rPr>
          <w:rFonts w:ascii="Calibri" w:eastAsia="Calibri" w:hAnsi="Calibri" w:cs="Calibri"/>
          <w:color w:val="auto"/>
          <w:sz w:val="12"/>
          <w:szCs w:val="12"/>
        </w:rPr>
      </w:pPr>
      <w:hyperlink r:id="rId96">
        <w:r>
          <w:rPr>
            <w:rFonts w:ascii="Calibri" w:eastAsia="Calibri" w:hAnsi="Calibri" w:cs="Calibri"/>
            <w:color w:val="auto"/>
            <w:sz w:val="12"/>
            <w:szCs w:val="12"/>
          </w:rPr>
          <w:t>10.6</w:t>
        </w:r>
      </w:hyperlink>
      <w:r>
        <w:rPr>
          <w:rFonts w:ascii="Calibri" w:eastAsia="Calibri" w:hAnsi="Calibri" w:cs="Calibri"/>
          <w:color w:val="auto"/>
          <w:sz w:val="12"/>
          <w:szCs w:val="12"/>
        </w:rPr>
        <w:tab/>
      </w:r>
      <w:hyperlink r:id="rId97">
        <w:r>
          <w:rPr>
            <w:rFonts w:ascii="Calibri" w:eastAsia="Calibri" w:hAnsi="Calibri" w:cs="Calibri"/>
            <w:color w:val="auto"/>
            <w:sz w:val="12"/>
            <w:szCs w:val="12"/>
          </w:rPr>
          <w:t>*Form of AbbVie Inc. Non-Employee Director RSU Agreement (incorporated by reference to Exhibit 10.1 of the company's Quarterly Report on Form 10-Q for the quarterly period</w:t>
        </w:r>
      </w:hyperlink>
      <w:r>
        <w:rPr>
          <w:rFonts w:ascii="Calibri" w:eastAsia="Calibri" w:hAnsi="Calibri" w:cs="Calibri"/>
          <w:color w:val="auto"/>
          <w:sz w:val="12"/>
          <w:szCs w:val="12"/>
        </w:rPr>
        <w:t xml:space="preserve"> </w:t>
      </w:r>
      <w:hyperlink r:id="rId98">
        <w:r>
          <w:rPr>
            <w:rFonts w:ascii="Calibri" w:eastAsia="Calibri" w:hAnsi="Calibri" w:cs="Calibri"/>
            <w:color w:val="auto"/>
            <w:sz w:val="12"/>
            <w:szCs w:val="12"/>
          </w:rPr>
          <w:t>ended March 31, 2017).**</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780" w:hanging="311"/>
        <w:rPr>
          <w:rFonts w:ascii="Calibri" w:eastAsia="Calibri" w:hAnsi="Calibri" w:cs="Calibri"/>
          <w:color w:val="auto"/>
          <w:sz w:val="12"/>
          <w:szCs w:val="12"/>
        </w:rPr>
      </w:pPr>
      <w:hyperlink r:id="rId99">
        <w:r>
          <w:rPr>
            <w:rFonts w:ascii="Calibri" w:eastAsia="Calibri" w:hAnsi="Calibri" w:cs="Calibri"/>
            <w:color w:val="auto"/>
            <w:sz w:val="12"/>
            <w:szCs w:val="12"/>
          </w:rPr>
          <w:t>10.7</w:t>
        </w:r>
      </w:hyperlink>
      <w:r>
        <w:rPr>
          <w:rFonts w:ascii="Calibri" w:eastAsia="Calibri" w:hAnsi="Calibri" w:cs="Calibri"/>
          <w:color w:val="auto"/>
          <w:sz w:val="12"/>
          <w:szCs w:val="12"/>
        </w:rPr>
        <w:tab/>
      </w:r>
      <w:hyperlink r:id="rId100">
        <w:r>
          <w:rPr>
            <w:rFonts w:ascii="Calibri" w:eastAsia="Calibri" w:hAnsi="Calibri" w:cs="Calibri"/>
            <w:color w:val="auto"/>
            <w:sz w:val="12"/>
            <w:szCs w:val="12"/>
          </w:rPr>
          <w:t>*Form of AbbVie Inc. Non-Qualifed Stock Opton Agreement (incorporated by reference to Exhibit 10.2 of the company's Quarterly Report on Form 10-Q for the quarterly period</w:t>
        </w:r>
      </w:hyperlink>
      <w:r>
        <w:rPr>
          <w:rFonts w:ascii="Calibri" w:eastAsia="Calibri" w:hAnsi="Calibri" w:cs="Calibri"/>
          <w:color w:val="auto"/>
          <w:sz w:val="12"/>
          <w:szCs w:val="12"/>
        </w:rPr>
        <w:t xml:space="preserve"> </w:t>
      </w:r>
      <w:hyperlink r:id="rId101">
        <w:r>
          <w:rPr>
            <w:rFonts w:ascii="Calibri" w:eastAsia="Calibri" w:hAnsi="Calibri" w:cs="Calibri"/>
            <w:color w:val="auto"/>
            <w:sz w:val="12"/>
            <w:szCs w:val="12"/>
          </w:rPr>
          <w:t>ended March 31, 2017).**</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740" w:hanging="311"/>
        <w:rPr>
          <w:rFonts w:ascii="Calibri" w:eastAsia="Calibri" w:hAnsi="Calibri" w:cs="Calibri"/>
          <w:color w:val="auto"/>
          <w:sz w:val="12"/>
          <w:szCs w:val="12"/>
        </w:rPr>
      </w:pPr>
      <w:hyperlink r:id="rId102">
        <w:r>
          <w:rPr>
            <w:rFonts w:ascii="Calibri" w:eastAsia="Calibri" w:hAnsi="Calibri" w:cs="Calibri"/>
            <w:color w:val="auto"/>
            <w:sz w:val="12"/>
            <w:szCs w:val="12"/>
          </w:rPr>
          <w:t>10.8</w:t>
        </w:r>
      </w:hyperlink>
      <w:r>
        <w:rPr>
          <w:rFonts w:ascii="Calibri" w:eastAsia="Calibri" w:hAnsi="Calibri" w:cs="Calibri"/>
          <w:color w:val="auto"/>
          <w:sz w:val="12"/>
          <w:szCs w:val="12"/>
        </w:rPr>
        <w:tab/>
      </w:r>
      <w:hyperlink r:id="rId103">
        <w:r>
          <w:rPr>
            <w:rFonts w:ascii="Calibri" w:eastAsia="Calibri" w:hAnsi="Calibri" w:cs="Calibri"/>
            <w:color w:val="auto"/>
            <w:sz w:val="12"/>
            <w:szCs w:val="12"/>
          </w:rPr>
          <w:t>*Form of AbbVie Inc. Non-Employee Director RSU Agreement (incorporated by reference to Exhibit 10.3 of the company’s Quarterly Report on Form 10-Q for the quarterly period</w:t>
        </w:r>
      </w:hyperlink>
      <w:r>
        <w:rPr>
          <w:rFonts w:ascii="Calibri" w:eastAsia="Calibri" w:hAnsi="Calibri" w:cs="Calibri"/>
          <w:color w:val="auto"/>
          <w:sz w:val="12"/>
          <w:szCs w:val="12"/>
        </w:rPr>
        <w:t xml:space="preserve"> </w:t>
      </w:r>
      <w:hyperlink r:id="rId104">
        <w:r>
          <w:rPr>
            <w:rFonts w:ascii="Calibri" w:eastAsia="Calibri" w:hAnsi="Calibri" w:cs="Calibri"/>
            <w:color w:val="auto"/>
            <w:sz w:val="12"/>
            <w:szCs w:val="12"/>
          </w:rPr>
          <w:t>ended March 31, 2018).**</w:t>
        </w:r>
      </w:hyperlink>
    </w:p>
    <w:p>
      <w:pPr>
        <w:spacing w:after="0" w:line="20" w:lineRule="exact"/>
        <w:rPr>
          <w:rFonts w:ascii="Calibri" w:eastAsia="Calibri" w:hAnsi="Calibri" w:cs="Calibri"/>
          <w:color w:val="auto"/>
          <w:sz w:val="12"/>
          <w:szCs w:val="12"/>
        </w:rPr>
      </w:pPr>
    </w:p>
    <w:p>
      <w:pPr>
        <w:tabs>
          <w:tab w:val="left" w:pos="300"/>
        </w:tabs>
        <w:spacing w:after="0" w:line="212" w:lineRule="auto"/>
        <w:ind w:left="320" w:right="1780" w:hanging="311"/>
        <w:rPr>
          <w:rFonts w:ascii="Calibri" w:eastAsia="Calibri" w:hAnsi="Calibri" w:cs="Calibri"/>
          <w:color w:val="auto"/>
          <w:sz w:val="12"/>
          <w:szCs w:val="12"/>
        </w:rPr>
      </w:pPr>
      <w:hyperlink r:id="rId105">
        <w:r>
          <w:rPr>
            <w:rFonts w:ascii="Calibri" w:eastAsia="Calibri" w:hAnsi="Calibri" w:cs="Calibri"/>
            <w:color w:val="auto"/>
            <w:sz w:val="12"/>
            <w:szCs w:val="12"/>
          </w:rPr>
          <w:t>10.9</w:t>
        </w:r>
      </w:hyperlink>
      <w:r>
        <w:rPr>
          <w:rFonts w:ascii="Calibri" w:eastAsia="Calibri" w:hAnsi="Calibri" w:cs="Calibri"/>
          <w:color w:val="auto"/>
          <w:sz w:val="12"/>
          <w:szCs w:val="12"/>
        </w:rPr>
        <w:tab/>
      </w:r>
      <w:hyperlink r:id="rId106">
        <w:r>
          <w:rPr>
            <w:rFonts w:ascii="Calibri" w:eastAsia="Calibri" w:hAnsi="Calibri" w:cs="Calibri"/>
            <w:color w:val="auto"/>
            <w:sz w:val="12"/>
            <w:szCs w:val="12"/>
          </w:rPr>
          <w:t>*Form of AbbVie Inc. Non-Qualifed Stock Opton Agreement (incorporated by reference to Exhibit 10.4 of the company’s Quarterly Report on Form 10-Q for the quarterly period</w:t>
        </w:r>
      </w:hyperlink>
      <w:r>
        <w:rPr>
          <w:rFonts w:ascii="Calibri" w:eastAsia="Calibri" w:hAnsi="Calibri" w:cs="Calibri"/>
          <w:color w:val="auto"/>
          <w:sz w:val="12"/>
          <w:szCs w:val="12"/>
        </w:rPr>
        <w:t xml:space="preserve"> </w:t>
      </w:r>
      <w:hyperlink r:id="rId107">
        <w:r>
          <w:rPr>
            <w:rFonts w:ascii="Calibri" w:eastAsia="Calibri" w:hAnsi="Calibri" w:cs="Calibri"/>
            <w:color w:val="auto"/>
            <w:sz w:val="12"/>
            <w:szCs w:val="12"/>
          </w:rPr>
          <w:t>ended March 31, 2018).**</w:t>
        </w:r>
      </w:hyperlink>
    </w:p>
    <w:p>
      <w:pPr>
        <w:spacing w:after="0" w:line="20" w:lineRule="exact"/>
        <w:rPr>
          <w:rFonts w:ascii="Calibri" w:eastAsia="Calibri" w:hAnsi="Calibri" w:cs="Calibri"/>
          <w:color w:val="auto"/>
          <w:sz w:val="12"/>
          <w:szCs w:val="12"/>
        </w:rPr>
      </w:pPr>
      <w:r>
        <w:rPr>
          <w:rFonts w:ascii="Calibri" w:eastAsia="Calibri" w:hAnsi="Calibri" w:cs="Calibri"/>
          <w:color w:val="auto"/>
          <w:sz w:val="12"/>
          <w:szCs w:val="12"/>
        </w:rPr>
        <w:drawing>
          <wp:anchor simplePos="0" relativeHeight="251948032" behindDoc="1" locked="0" layoutInCell="0" allowOverlap="1">
            <wp:simplePos x="0" y="0"/>
            <wp:positionH relativeFrom="column">
              <wp:posOffset>5955030</wp:posOffset>
            </wp:positionH>
            <wp:positionV relativeFrom="paragraph">
              <wp:posOffset>233680</wp:posOffset>
            </wp:positionV>
            <wp:extent cx="400050" cy="74295"/>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rFonts w:ascii="Calibri" w:eastAsia="Calibri" w:hAnsi="Calibri" w:cs="Calibri"/>
          <w:color w:val="auto"/>
          <w:sz w:val="12"/>
          <w:szCs w:val="12"/>
        </w:rPr>
      </w:pPr>
    </w:p>
    <w:p>
      <w:pPr>
        <w:sectPr>
          <w:pgSz w:w="11900" w:h="16838" w:orient="portrait"/>
          <w:pgMar w:top="678" w:right="299" w:bottom="1440" w:left="300" w:header="0" w:footer="0" w:gutter="0"/>
          <w:cols w:num="2" w:space="720" w:equalWidth="0">
            <w:col w:w="680" w:space="140"/>
            <w:col w:w="10480" w:space="0"/>
          </w:cols>
        </w:sectPr>
      </w:pPr>
    </w:p>
    <w:p>
      <w:pPr>
        <w:spacing w:after="0" w:line="203" w:lineRule="exact"/>
        <w:rPr>
          <w:rFonts w:ascii="Calibri" w:eastAsia="Calibri" w:hAnsi="Calibri" w:cs="Calibri"/>
          <w:color w:val="auto"/>
          <w:sz w:val="12"/>
          <w:szCs w:val="12"/>
        </w:rPr>
      </w:pPr>
    </w:p>
    <w:tbl>
      <w:tblPr>
        <w:tblInd w:w="0" w:type="dxa"/>
        <w:tblLayout w:type="fixed"/>
        <w:tblCellMar>
          <w:top w:w="0" w:type="dxa"/>
          <w:left w:w="0" w:type="dxa"/>
          <w:bottom w:w="0" w:type="dxa"/>
          <w:right w:w="0" w:type="dxa"/>
        </w:tblCellMar>
      </w:tblPr>
      <w:tblGrid>
        <w:gridCol w:w="10640"/>
        <w:gridCol w:w="660"/>
      </w:tblGrid>
      <w:tr>
        <w:tblPrEx>
          <w:tblInd w:w="0" w:type="dxa"/>
          <w:tblLayout w:type="fixed"/>
        </w:tblPrEx>
        <w:trPr>
          <w:trHeight w:val="146"/>
        </w:trPr>
        <w:tc>
          <w:tcPr>
            <w:tcW w:w="1064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60" w:type="dxa"/>
            <w:vAlign w:val="bottom"/>
          </w:tcPr>
          <w:p>
            <w:pPr>
              <w:spacing w:after="0"/>
              <w:jc w:val="right"/>
              <w:rPr>
                <w:color w:val="auto"/>
                <w:sz w:val="20"/>
                <w:szCs w:val="20"/>
              </w:rPr>
            </w:pPr>
            <w:r>
              <w:rPr>
                <w:rFonts w:ascii="Calibri" w:eastAsia="Calibri" w:hAnsi="Calibri" w:cs="Calibri"/>
                <w:b/>
                <w:bCs/>
                <w:i/>
                <w:iCs/>
                <w:color w:val="auto"/>
                <w:sz w:val="12"/>
                <w:szCs w:val="12"/>
              </w:rPr>
              <w:t>110</w:t>
            </w:r>
          </w:p>
        </w:tc>
      </w:tr>
      <w:tr>
        <w:tblPrEx>
          <w:tblInd w:w="0" w:type="dxa"/>
          <w:tblLayout w:type="fixed"/>
        </w:tblPrEx>
        <w:trPr>
          <w:trHeight w:val="152"/>
        </w:trPr>
        <w:tc>
          <w:tcPr>
            <w:tcW w:w="10640" w:type="dxa"/>
            <w:tcBorders>
              <w:bottom w:val="single" w:sz="8" w:space="0" w:color="9A9A9A"/>
            </w:tcBorders>
            <w:vAlign w:val="bottom"/>
          </w:tcPr>
          <w:p>
            <w:pPr>
              <w:spacing w:after="0"/>
              <w:rPr>
                <w:color w:val="auto"/>
                <w:sz w:val="13"/>
                <w:szCs w:val="13"/>
              </w:rPr>
            </w:pPr>
          </w:p>
        </w:tc>
        <w:tc>
          <w:tcPr>
            <w:tcW w:w="660" w:type="dxa"/>
            <w:tcBorders>
              <w:bottom w:val="single" w:sz="8" w:space="0" w:color="9A9A9A"/>
            </w:tcBorders>
            <w:vAlign w:val="bottom"/>
          </w:tcPr>
          <w:p>
            <w:pPr>
              <w:spacing w:after="0"/>
              <w:rPr>
                <w:color w:val="auto"/>
                <w:sz w:val="13"/>
                <w:szCs w:val="13"/>
              </w:rPr>
            </w:pPr>
          </w:p>
        </w:tc>
      </w:tr>
    </w:tbl>
    <w:p>
      <w:pPr>
        <w:spacing w:after="0" w:line="20" w:lineRule="exact"/>
        <w:rPr>
          <w:rFonts w:ascii="Calibri" w:eastAsia="Calibri" w:hAnsi="Calibri" w:cs="Calibri"/>
          <w:color w:val="auto"/>
          <w:sz w:val="12"/>
          <w:szCs w:val="12"/>
        </w:rPr>
      </w:pPr>
      <w:r>
        <w:rPr>
          <w:rFonts w:ascii="Calibri" w:eastAsia="Calibri" w:hAnsi="Calibri" w:cs="Calibri"/>
          <w:color w:val="auto"/>
          <w:sz w:val="12"/>
          <w:szCs w:val="12"/>
        </w:rPr>
        <w:drawing>
          <wp:anchor simplePos="0" relativeHeight="251949056" behindDoc="1" locked="0" layoutInCell="0" allowOverlap="1">
            <wp:simplePos x="0" y="0"/>
            <wp:positionH relativeFrom="column">
              <wp:posOffset>7154545</wp:posOffset>
            </wp:positionH>
            <wp:positionV relativeFrom="paragraph">
              <wp:posOffset>-23495</wp:posOffset>
            </wp:positionV>
            <wp:extent cx="31115" cy="3683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rFonts w:ascii="Calibri" w:eastAsia="Calibri" w:hAnsi="Calibri" w:cs="Calibri"/>
          <w:color w:val="auto"/>
          <w:sz w:val="12"/>
          <w:szCs w:val="12"/>
        </w:rPr>
        <w:drawing>
          <wp:anchor simplePos="0" relativeHeight="251950080" behindDoc="1" locked="0" layoutInCell="0" allowOverlap="1">
            <wp:simplePos x="0" y="0"/>
            <wp:positionH relativeFrom="column">
              <wp:posOffset>-17145</wp:posOffset>
            </wp:positionH>
            <wp:positionV relativeFrom="paragraph">
              <wp:posOffset>-23495</wp:posOffset>
            </wp:positionV>
            <wp:extent cx="31115" cy="3683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type w:val="continuous"/>
          <w:pgSz w:w="11900" w:h="16838" w:orient="portrait"/>
          <w:pgMar w:top="678" w:right="299" w:bottom="1440" w:left="300" w:header="0" w:footer="0" w:gutter="0"/>
          <w:cols w:num="1" w:space="720" w:equalWidth="0">
            <w:col w:w="11300" w:space="0"/>
          </w:cols>
        </w:sectPr>
      </w:pPr>
    </w:p>
    <w:bookmarkStart w:id="112" w:name="page113"/>
    <w:bookmarkEnd w:id="112"/>
    <w:p>
      <w:pPr>
        <w:spacing w:after="0"/>
        <w:ind w:left="380"/>
        <w:rPr>
          <w:color w:val="auto"/>
          <w:sz w:val="20"/>
          <w:szCs w:val="20"/>
        </w:rPr>
      </w:pPr>
      <w:r>
        <w:rPr>
          <w:rFonts w:ascii="Calibri" w:eastAsia="Calibri" w:hAnsi="Calibri" w:cs="Calibri"/>
          <w:b/>
          <w:bCs/>
          <w:color w:val="auto"/>
          <w:sz w:val="10"/>
          <w:szCs w:val="10"/>
        </w:rPr>
        <w:t>Exhibit</w:t>
      </w:r>
    </w:p>
    <w:p>
      <w:pPr>
        <w:spacing w:after="0"/>
        <w:ind w:left="360"/>
        <w:rPr>
          <w:color w:val="auto"/>
          <w:sz w:val="20"/>
          <w:szCs w:val="20"/>
        </w:rPr>
      </w:pPr>
      <w:r>
        <w:rPr>
          <w:rFonts w:ascii="Calibri" w:eastAsia="Calibri" w:hAnsi="Calibri" w:cs="Calibri"/>
          <w:b/>
          <w:bCs/>
          <w:color w:val="auto"/>
          <w:sz w:val="8"/>
          <w:szCs w:val="8"/>
        </w:rPr>
        <w:t>Number</w:t>
      </w:r>
    </w:p>
    <w:p>
      <w:pPr>
        <w:spacing w:after="0" w:line="20" w:lineRule="exact"/>
        <w:rPr>
          <w:color w:val="auto"/>
          <w:sz w:val="20"/>
          <w:szCs w:val="20"/>
        </w:rPr>
      </w:pPr>
      <w:r>
        <w:rPr>
          <w:color w:val="auto"/>
          <w:sz w:val="20"/>
          <w:szCs w:val="20"/>
        </w:rPr>
        <w:br w:type="column"/>
      </w:r>
    </w:p>
    <w:p>
      <w:pPr>
        <w:spacing w:after="0" w:line="70" w:lineRule="exact"/>
        <w:rPr>
          <w:color w:val="auto"/>
          <w:sz w:val="20"/>
          <w:szCs w:val="20"/>
        </w:rPr>
      </w:pPr>
    </w:p>
    <w:p>
      <w:pPr>
        <w:spacing w:after="0"/>
        <w:ind w:right="-80"/>
        <w:jc w:val="center"/>
        <w:rPr>
          <w:color w:val="auto"/>
          <w:sz w:val="20"/>
          <w:szCs w:val="20"/>
        </w:rPr>
      </w:pPr>
      <w:r>
        <w:rPr>
          <w:rFonts w:ascii="Calibri" w:eastAsia="Calibri" w:hAnsi="Calibri" w:cs="Calibri"/>
          <w:b/>
          <w:bCs/>
          <w:color w:val="auto"/>
          <w:sz w:val="10"/>
          <w:szCs w:val="10"/>
        </w:rPr>
        <w:t>Exhibit Descripton</w:t>
      </w:r>
    </w:p>
    <w:p>
      <w:pPr>
        <w:spacing w:after="0" w:line="26" w:lineRule="exact"/>
        <w:rPr>
          <w:color w:val="auto"/>
          <w:sz w:val="20"/>
          <w:szCs w:val="20"/>
        </w:rPr>
      </w:pPr>
    </w:p>
    <w:p>
      <w:pPr>
        <w:tabs>
          <w:tab w:val="left" w:pos="360"/>
        </w:tabs>
        <w:spacing w:after="0" w:line="212" w:lineRule="auto"/>
        <w:ind w:left="380" w:right="599" w:hanging="371"/>
        <w:rPr>
          <w:rFonts w:ascii="Calibri" w:eastAsia="Calibri" w:hAnsi="Calibri" w:cs="Calibri"/>
          <w:color w:val="auto"/>
          <w:sz w:val="12"/>
          <w:szCs w:val="12"/>
        </w:rPr>
      </w:pPr>
      <w:hyperlink r:id="rId108">
        <w:r>
          <w:rPr>
            <w:rFonts w:ascii="Calibri" w:eastAsia="Calibri" w:hAnsi="Calibri" w:cs="Calibri"/>
            <w:color w:val="auto"/>
            <w:sz w:val="12"/>
            <w:szCs w:val="12"/>
          </w:rPr>
          <w:t>10.10</w:t>
        </w:r>
      </w:hyperlink>
      <w:r>
        <w:rPr>
          <w:rFonts w:ascii="Calibri" w:eastAsia="Calibri" w:hAnsi="Calibri" w:cs="Calibri"/>
          <w:color w:val="auto"/>
          <w:sz w:val="12"/>
          <w:szCs w:val="12"/>
        </w:rPr>
        <w:tab/>
      </w:r>
      <w:hyperlink r:id="rId109">
        <w:r>
          <w:rPr>
            <w:rFonts w:ascii="Calibri" w:eastAsia="Calibri" w:hAnsi="Calibri" w:cs="Calibri"/>
            <w:color w:val="auto"/>
            <w:sz w:val="12"/>
            <w:szCs w:val="12"/>
          </w:rPr>
          <w:t>*Form of AbbVie Inc. Non-Employee Director RSU Agreement (incorporated by reference to Exhibit 10.3 of the company’s Quarterly Report on Form 10-Q for the quarterly period</w:t>
        </w:r>
      </w:hyperlink>
      <w:r>
        <w:rPr>
          <w:rFonts w:ascii="Calibri" w:eastAsia="Calibri" w:hAnsi="Calibri" w:cs="Calibri"/>
          <w:color w:val="auto"/>
          <w:sz w:val="12"/>
          <w:szCs w:val="12"/>
        </w:rPr>
        <w:t xml:space="preserve"> </w:t>
      </w:r>
      <w:hyperlink r:id="rId110">
        <w:r>
          <w:rPr>
            <w:rFonts w:ascii="Calibri" w:eastAsia="Calibri" w:hAnsi="Calibri" w:cs="Calibri"/>
            <w:color w:val="auto"/>
            <w:sz w:val="12"/>
            <w:szCs w:val="12"/>
          </w:rPr>
          <w:t>ended March 31, 2019).**</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639" w:hanging="371"/>
        <w:rPr>
          <w:rFonts w:ascii="Calibri" w:eastAsia="Calibri" w:hAnsi="Calibri" w:cs="Calibri"/>
          <w:color w:val="auto"/>
          <w:sz w:val="12"/>
          <w:szCs w:val="12"/>
        </w:rPr>
      </w:pPr>
      <w:hyperlink r:id="rId111">
        <w:r>
          <w:rPr>
            <w:rFonts w:ascii="Calibri" w:eastAsia="Calibri" w:hAnsi="Calibri" w:cs="Calibri"/>
            <w:color w:val="auto"/>
            <w:sz w:val="12"/>
            <w:szCs w:val="12"/>
          </w:rPr>
          <w:t>10.11</w:t>
        </w:r>
      </w:hyperlink>
      <w:r>
        <w:rPr>
          <w:rFonts w:ascii="Calibri" w:eastAsia="Calibri" w:hAnsi="Calibri" w:cs="Calibri"/>
          <w:color w:val="auto"/>
          <w:sz w:val="12"/>
          <w:szCs w:val="12"/>
        </w:rPr>
        <w:tab/>
      </w:r>
      <w:hyperlink r:id="rId112">
        <w:r>
          <w:rPr>
            <w:rFonts w:ascii="Calibri" w:eastAsia="Calibri" w:hAnsi="Calibri" w:cs="Calibri"/>
            <w:color w:val="auto"/>
            <w:sz w:val="12"/>
            <w:szCs w:val="12"/>
          </w:rPr>
          <w:t>*Form of AbbVie Inc. Non-Qualifed Stock Opton Agreement (incorporated by reference to Exhibit 10.4 of the company’s Quarterly Report on Form 10-Q for the quarterly period</w:t>
        </w:r>
      </w:hyperlink>
      <w:r>
        <w:rPr>
          <w:rFonts w:ascii="Calibri" w:eastAsia="Calibri" w:hAnsi="Calibri" w:cs="Calibri"/>
          <w:color w:val="auto"/>
          <w:sz w:val="12"/>
          <w:szCs w:val="12"/>
        </w:rPr>
        <w:t xml:space="preserve"> </w:t>
      </w:r>
      <w:hyperlink r:id="rId113">
        <w:r>
          <w:rPr>
            <w:rFonts w:ascii="Calibri" w:eastAsia="Calibri" w:hAnsi="Calibri" w:cs="Calibri"/>
            <w:color w:val="auto"/>
            <w:sz w:val="12"/>
            <w:szCs w:val="12"/>
          </w:rPr>
          <w:t>ended March 31, 2019).**</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599" w:hanging="371"/>
        <w:rPr>
          <w:rFonts w:ascii="Calibri" w:eastAsia="Calibri" w:hAnsi="Calibri" w:cs="Calibri"/>
          <w:color w:val="auto"/>
          <w:sz w:val="12"/>
          <w:szCs w:val="12"/>
        </w:rPr>
      </w:pPr>
      <w:hyperlink r:id="rId114">
        <w:r>
          <w:rPr>
            <w:rFonts w:ascii="Calibri" w:eastAsia="Calibri" w:hAnsi="Calibri" w:cs="Calibri"/>
            <w:color w:val="auto"/>
            <w:sz w:val="12"/>
            <w:szCs w:val="12"/>
          </w:rPr>
          <w:t>10.12</w:t>
        </w:r>
      </w:hyperlink>
      <w:r>
        <w:rPr>
          <w:rFonts w:ascii="Calibri" w:eastAsia="Calibri" w:hAnsi="Calibri" w:cs="Calibri"/>
          <w:color w:val="auto"/>
          <w:sz w:val="12"/>
          <w:szCs w:val="12"/>
        </w:rPr>
        <w:tab/>
      </w:r>
      <w:hyperlink r:id="rId115">
        <w:r>
          <w:rPr>
            <w:rFonts w:ascii="Calibri" w:eastAsia="Calibri" w:hAnsi="Calibri" w:cs="Calibri"/>
            <w:color w:val="auto"/>
            <w:sz w:val="12"/>
            <w:szCs w:val="12"/>
          </w:rPr>
          <w:t>*Form of AbbVie Inc. Non-Employee Director RSU Agreement (incorporated by reference to Exhibit 10.3 of the company’s Quarterly Report on Form 10-Q for the quarterly period</w:t>
        </w:r>
      </w:hyperlink>
      <w:r>
        <w:rPr>
          <w:rFonts w:ascii="Calibri" w:eastAsia="Calibri" w:hAnsi="Calibri" w:cs="Calibri"/>
          <w:color w:val="auto"/>
          <w:sz w:val="12"/>
          <w:szCs w:val="12"/>
        </w:rPr>
        <w:t xml:space="preserve"> </w:t>
      </w:r>
      <w:hyperlink r:id="rId116">
        <w:r>
          <w:rPr>
            <w:rFonts w:ascii="Calibri" w:eastAsia="Calibri" w:hAnsi="Calibri" w:cs="Calibri"/>
            <w:color w:val="auto"/>
            <w:sz w:val="12"/>
            <w:szCs w:val="12"/>
          </w:rPr>
          <w:t>ended March 31, 2020).**</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639" w:hanging="371"/>
        <w:rPr>
          <w:rFonts w:ascii="Calibri" w:eastAsia="Calibri" w:hAnsi="Calibri" w:cs="Calibri"/>
          <w:color w:val="auto"/>
          <w:sz w:val="12"/>
          <w:szCs w:val="12"/>
        </w:rPr>
      </w:pPr>
      <w:hyperlink r:id="rId117">
        <w:r>
          <w:rPr>
            <w:rFonts w:ascii="Calibri" w:eastAsia="Calibri" w:hAnsi="Calibri" w:cs="Calibri"/>
            <w:color w:val="auto"/>
            <w:sz w:val="12"/>
            <w:szCs w:val="12"/>
          </w:rPr>
          <w:t>10.13</w:t>
        </w:r>
      </w:hyperlink>
      <w:r>
        <w:rPr>
          <w:rFonts w:ascii="Calibri" w:eastAsia="Calibri" w:hAnsi="Calibri" w:cs="Calibri"/>
          <w:color w:val="auto"/>
          <w:sz w:val="12"/>
          <w:szCs w:val="12"/>
        </w:rPr>
        <w:tab/>
      </w:r>
      <w:hyperlink r:id="rId118">
        <w:r>
          <w:rPr>
            <w:rFonts w:ascii="Calibri" w:eastAsia="Calibri" w:hAnsi="Calibri" w:cs="Calibri"/>
            <w:color w:val="auto"/>
            <w:sz w:val="12"/>
            <w:szCs w:val="12"/>
          </w:rPr>
          <w:t>*Form of AbbVie Inc. Non-Qualifed Stock Opton Agreement (incorporated by reference to Exhibit 10.4 of the company’s Quarterly Report on Form 10-Q for the quarterly period</w:t>
        </w:r>
      </w:hyperlink>
      <w:r>
        <w:rPr>
          <w:rFonts w:ascii="Calibri" w:eastAsia="Calibri" w:hAnsi="Calibri" w:cs="Calibri"/>
          <w:color w:val="auto"/>
          <w:sz w:val="12"/>
          <w:szCs w:val="12"/>
        </w:rPr>
        <w:t xml:space="preserve"> </w:t>
      </w:r>
      <w:hyperlink r:id="rId119">
        <w:r>
          <w:rPr>
            <w:rFonts w:ascii="Calibri" w:eastAsia="Calibri" w:hAnsi="Calibri" w:cs="Calibri"/>
            <w:color w:val="auto"/>
            <w:sz w:val="12"/>
            <w:szCs w:val="12"/>
          </w:rPr>
          <w:t>ended March 31, 2020).**</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399" w:hanging="371"/>
        <w:rPr>
          <w:rFonts w:ascii="Calibri" w:eastAsia="Calibri" w:hAnsi="Calibri" w:cs="Calibri"/>
          <w:color w:val="auto"/>
          <w:sz w:val="12"/>
          <w:szCs w:val="12"/>
        </w:rPr>
      </w:pPr>
      <w:hyperlink r:id="rId120">
        <w:r>
          <w:rPr>
            <w:rFonts w:ascii="Calibri" w:eastAsia="Calibri" w:hAnsi="Calibri" w:cs="Calibri"/>
            <w:color w:val="auto"/>
            <w:sz w:val="12"/>
            <w:szCs w:val="12"/>
          </w:rPr>
          <w:t>10.14</w:t>
        </w:r>
      </w:hyperlink>
      <w:r>
        <w:rPr>
          <w:rFonts w:ascii="Calibri" w:eastAsia="Calibri" w:hAnsi="Calibri" w:cs="Calibri"/>
          <w:color w:val="auto"/>
          <w:sz w:val="12"/>
          <w:szCs w:val="12"/>
        </w:rPr>
        <w:tab/>
      </w:r>
      <w:hyperlink r:id="rId121">
        <w:r>
          <w:rPr>
            <w:rFonts w:ascii="Calibri" w:eastAsia="Calibri" w:hAnsi="Calibri" w:cs="Calibri"/>
            <w:color w:val="auto"/>
            <w:sz w:val="12"/>
            <w:szCs w:val="12"/>
          </w:rPr>
          <w:t>*Amended and Restated Revolving Credit Agreement, dated as of August 27, 2019, among AbbVie Inc., the lenders and other partes party thereto and JPMorgan Chase Bank, N.A., as</w:t>
        </w:r>
      </w:hyperlink>
      <w:r>
        <w:rPr>
          <w:rFonts w:ascii="Calibri" w:eastAsia="Calibri" w:hAnsi="Calibri" w:cs="Calibri"/>
          <w:color w:val="auto"/>
          <w:sz w:val="12"/>
          <w:szCs w:val="12"/>
        </w:rPr>
        <w:t xml:space="preserve"> </w:t>
      </w:r>
      <w:hyperlink r:id="rId122">
        <w:r>
          <w:rPr>
            <w:rFonts w:ascii="Calibri" w:eastAsia="Calibri" w:hAnsi="Calibri" w:cs="Calibri"/>
            <w:color w:val="auto"/>
            <w:sz w:val="12"/>
            <w:szCs w:val="12"/>
          </w:rPr>
          <w:t>administratve agent (incorporated by reference to Exhibit 10.1 of the company’s Current Report on Form 8-K fled on August 30, 2019).</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539" w:hanging="371"/>
        <w:rPr>
          <w:rFonts w:ascii="Calibri" w:eastAsia="Calibri" w:hAnsi="Calibri" w:cs="Calibri"/>
          <w:color w:val="auto"/>
          <w:sz w:val="12"/>
          <w:szCs w:val="12"/>
        </w:rPr>
      </w:pPr>
      <w:hyperlink r:id="rId123">
        <w:r>
          <w:rPr>
            <w:rFonts w:ascii="Calibri" w:eastAsia="Calibri" w:hAnsi="Calibri" w:cs="Calibri"/>
            <w:color w:val="auto"/>
            <w:sz w:val="12"/>
            <w:szCs w:val="12"/>
          </w:rPr>
          <w:t>10.15</w:t>
        </w:r>
      </w:hyperlink>
      <w:r>
        <w:rPr>
          <w:rFonts w:ascii="Calibri" w:eastAsia="Calibri" w:hAnsi="Calibri" w:cs="Calibri"/>
          <w:color w:val="auto"/>
          <w:sz w:val="12"/>
          <w:szCs w:val="12"/>
        </w:rPr>
        <w:tab/>
      </w:r>
      <w:hyperlink r:id="rId124">
        <w:r>
          <w:rPr>
            <w:rFonts w:ascii="Calibri" w:eastAsia="Calibri" w:hAnsi="Calibri" w:cs="Calibri"/>
            <w:color w:val="auto"/>
            <w:sz w:val="12"/>
            <w:szCs w:val="12"/>
          </w:rPr>
          <w:t>*364-Day Bridge Credit Agreement, dated as of June 25, 2019, among AbbVie Inc., Morgan Stanley Senior Funding, Inc. and the lenders party thereto (incorporated by reference to</w:t>
        </w:r>
      </w:hyperlink>
      <w:r>
        <w:rPr>
          <w:rFonts w:ascii="Calibri" w:eastAsia="Calibri" w:hAnsi="Calibri" w:cs="Calibri"/>
          <w:color w:val="auto"/>
          <w:sz w:val="12"/>
          <w:szCs w:val="12"/>
        </w:rPr>
        <w:t xml:space="preserve"> </w:t>
      </w:r>
      <w:hyperlink r:id="rId125">
        <w:r>
          <w:rPr>
            <w:rFonts w:ascii="Calibri" w:eastAsia="Calibri" w:hAnsi="Calibri" w:cs="Calibri"/>
            <w:color w:val="auto"/>
            <w:sz w:val="12"/>
            <w:szCs w:val="12"/>
          </w:rPr>
          <w:t>Exhibit 10.1 of the company’s Current Report on Form 8-K fled on June 25, 2019).</w:t>
        </w:r>
      </w:hyperlink>
    </w:p>
    <w:p>
      <w:pPr>
        <w:spacing w:after="0" w:line="20" w:lineRule="exact"/>
        <w:rPr>
          <w:rFonts w:ascii="Calibri" w:eastAsia="Calibri" w:hAnsi="Calibri" w:cs="Calibri"/>
          <w:color w:val="auto"/>
          <w:sz w:val="12"/>
          <w:szCs w:val="12"/>
        </w:rPr>
      </w:pPr>
    </w:p>
    <w:p>
      <w:pPr>
        <w:tabs>
          <w:tab w:val="left" w:pos="360"/>
        </w:tabs>
        <w:spacing w:after="0" w:line="210" w:lineRule="auto"/>
        <w:ind w:left="380" w:right="699" w:hanging="371"/>
        <w:rPr>
          <w:rFonts w:ascii="Calibri" w:eastAsia="Calibri" w:hAnsi="Calibri" w:cs="Calibri"/>
          <w:color w:val="auto"/>
          <w:sz w:val="12"/>
          <w:szCs w:val="12"/>
        </w:rPr>
      </w:pPr>
      <w:hyperlink r:id="rId126">
        <w:r>
          <w:rPr>
            <w:rFonts w:ascii="Calibri" w:eastAsia="Calibri" w:hAnsi="Calibri" w:cs="Calibri"/>
            <w:color w:val="auto"/>
            <w:sz w:val="12"/>
            <w:szCs w:val="12"/>
          </w:rPr>
          <w:t>10.16</w:t>
        </w:r>
      </w:hyperlink>
      <w:r>
        <w:rPr>
          <w:rFonts w:ascii="Calibri" w:eastAsia="Calibri" w:hAnsi="Calibri" w:cs="Calibri"/>
          <w:color w:val="auto"/>
          <w:sz w:val="12"/>
          <w:szCs w:val="12"/>
        </w:rPr>
        <w:tab/>
      </w:r>
      <w:hyperlink r:id="rId127">
        <w:r>
          <w:rPr>
            <w:rFonts w:ascii="Calibri" w:eastAsia="Calibri" w:hAnsi="Calibri" w:cs="Calibri"/>
            <w:color w:val="auto"/>
            <w:sz w:val="12"/>
            <w:szCs w:val="12"/>
          </w:rPr>
          <w:t>*Underwritng Agreement, dated September 17, 2019, among AbbVie Inc. and Morgan Stanley &amp; Co. Internatonal plc, HSBC Bank plc and Merrill Lynch Internatonal (actng for</w:t>
        </w:r>
      </w:hyperlink>
      <w:r>
        <w:rPr>
          <w:rFonts w:ascii="Calibri" w:eastAsia="Calibri" w:hAnsi="Calibri" w:cs="Calibri"/>
          <w:color w:val="auto"/>
          <w:sz w:val="12"/>
          <w:szCs w:val="12"/>
        </w:rPr>
        <w:t xml:space="preserve"> </w:t>
      </w:r>
      <w:hyperlink r:id="rId128">
        <w:r>
          <w:rPr>
            <w:rFonts w:ascii="Calibri" w:eastAsia="Calibri" w:hAnsi="Calibri" w:cs="Calibri"/>
            <w:color w:val="auto"/>
            <w:sz w:val="12"/>
            <w:szCs w:val="12"/>
          </w:rPr>
          <w:t>themselves and as representatves of the several underwriters named therein) (incorporated by reference to Exhibit 1.1 of the company’s Current Report on Form 8-K fled on</w:t>
        </w:r>
      </w:hyperlink>
      <w:r>
        <w:rPr>
          <w:rFonts w:ascii="Calibri" w:eastAsia="Calibri" w:hAnsi="Calibri" w:cs="Calibri"/>
          <w:color w:val="auto"/>
          <w:sz w:val="12"/>
          <w:szCs w:val="12"/>
        </w:rPr>
        <w:t xml:space="preserve"> </w:t>
      </w:r>
      <w:hyperlink r:id="rId129">
        <w:r>
          <w:rPr>
            <w:rFonts w:ascii="Calibri" w:eastAsia="Calibri" w:hAnsi="Calibri" w:cs="Calibri"/>
            <w:color w:val="auto"/>
            <w:sz w:val="12"/>
            <w:szCs w:val="12"/>
          </w:rPr>
          <w:t>September 23, 2019).</w:t>
        </w:r>
      </w:hyperlink>
    </w:p>
    <w:p>
      <w:pPr>
        <w:spacing w:after="0" w:line="11" w:lineRule="exact"/>
        <w:rPr>
          <w:rFonts w:ascii="Calibri" w:eastAsia="Calibri" w:hAnsi="Calibri" w:cs="Calibri"/>
          <w:color w:val="auto"/>
          <w:sz w:val="12"/>
          <w:szCs w:val="12"/>
        </w:rPr>
      </w:pPr>
    </w:p>
    <w:p>
      <w:pPr>
        <w:tabs>
          <w:tab w:val="left" w:pos="360"/>
        </w:tabs>
        <w:spacing w:after="0" w:line="231" w:lineRule="auto"/>
        <w:ind w:left="380" w:right="479" w:hanging="371"/>
        <w:rPr>
          <w:rFonts w:ascii="Calibri" w:eastAsia="Calibri" w:hAnsi="Calibri" w:cs="Calibri"/>
          <w:color w:val="auto"/>
          <w:sz w:val="11"/>
          <w:szCs w:val="11"/>
        </w:rPr>
      </w:pPr>
      <w:hyperlink r:id="rId130">
        <w:r>
          <w:rPr>
            <w:rFonts w:ascii="Calibri" w:eastAsia="Calibri" w:hAnsi="Calibri" w:cs="Calibri"/>
            <w:color w:val="auto"/>
            <w:sz w:val="12"/>
            <w:szCs w:val="12"/>
          </w:rPr>
          <w:t>10.17</w:t>
        </w:r>
      </w:hyperlink>
      <w:r>
        <w:rPr>
          <w:rFonts w:ascii="Calibri" w:eastAsia="Calibri" w:hAnsi="Calibri" w:cs="Calibri"/>
          <w:color w:val="auto"/>
          <w:sz w:val="12"/>
          <w:szCs w:val="12"/>
        </w:rPr>
        <w:tab/>
      </w:r>
      <w:hyperlink r:id="rId131">
        <w:r>
          <w:rPr>
            <w:rFonts w:ascii="Calibri" w:eastAsia="Calibri" w:hAnsi="Calibri" w:cs="Calibri"/>
            <w:color w:val="auto"/>
            <w:sz w:val="11"/>
            <w:szCs w:val="11"/>
          </w:rPr>
          <w:t>*Purchase Agreement, dated November 12, 2019, among AbbVie Inc. and Morgan Stanley &amp; Co. LLC, BofA Securites, Inc. and Barclays Capital Inc. (actng for themselves and as</w:t>
        </w:r>
      </w:hyperlink>
      <w:r>
        <w:rPr>
          <w:rFonts w:ascii="Calibri" w:eastAsia="Calibri" w:hAnsi="Calibri" w:cs="Calibri"/>
          <w:color w:val="auto"/>
          <w:sz w:val="11"/>
          <w:szCs w:val="11"/>
        </w:rPr>
        <w:t xml:space="preserve"> </w:t>
      </w:r>
      <w:hyperlink r:id="rId132">
        <w:r>
          <w:rPr>
            <w:rFonts w:ascii="Calibri" w:eastAsia="Calibri" w:hAnsi="Calibri" w:cs="Calibri"/>
            <w:color w:val="auto"/>
            <w:sz w:val="11"/>
            <w:szCs w:val="11"/>
          </w:rPr>
          <w:t>representatves of the several inital purchasers named therein) (incorporated by reference to Exhibit 1.1 of the company’s Current Report on Form 8-K fled on November 13, 2019).</w:t>
        </w:r>
      </w:hyperlink>
    </w:p>
    <w:p>
      <w:pPr>
        <w:spacing w:after="0" w:line="21" w:lineRule="exact"/>
        <w:rPr>
          <w:rFonts w:ascii="Calibri" w:eastAsia="Calibri" w:hAnsi="Calibri" w:cs="Calibri"/>
          <w:color w:val="auto"/>
          <w:sz w:val="12"/>
          <w:szCs w:val="12"/>
        </w:rPr>
      </w:pPr>
    </w:p>
    <w:p>
      <w:pPr>
        <w:tabs>
          <w:tab w:val="left" w:pos="360"/>
        </w:tabs>
        <w:spacing w:after="0" w:line="212" w:lineRule="auto"/>
        <w:ind w:left="380" w:right="599" w:hanging="370"/>
        <w:rPr>
          <w:rFonts w:ascii="Calibri" w:eastAsia="Calibri" w:hAnsi="Calibri" w:cs="Calibri"/>
          <w:color w:val="auto"/>
          <w:sz w:val="12"/>
          <w:szCs w:val="12"/>
        </w:rPr>
      </w:pPr>
      <w:hyperlink r:id="rId133">
        <w:r>
          <w:rPr>
            <w:rFonts w:ascii="Calibri" w:eastAsia="Calibri" w:hAnsi="Calibri" w:cs="Calibri"/>
            <w:color w:val="auto"/>
            <w:sz w:val="12"/>
            <w:szCs w:val="12"/>
          </w:rPr>
          <w:t>10.18</w:t>
        </w:r>
      </w:hyperlink>
      <w:r>
        <w:rPr>
          <w:rFonts w:ascii="Calibri" w:eastAsia="Calibri" w:hAnsi="Calibri" w:cs="Calibri"/>
          <w:color w:val="auto"/>
          <w:sz w:val="12"/>
          <w:szCs w:val="12"/>
        </w:rPr>
        <w:tab/>
      </w:r>
      <w:hyperlink r:id="rId134">
        <w:r>
          <w:rPr>
            <w:rFonts w:ascii="Calibri" w:eastAsia="Calibri" w:hAnsi="Calibri" w:cs="Calibri"/>
            <w:color w:val="auto"/>
            <w:sz w:val="12"/>
            <w:szCs w:val="12"/>
          </w:rPr>
          <w:t>*Form of AbbVie Inc. Non-Employee Director RSU Agreement (incorporated by reference to Exhibit 10.3 of the company’s Quarterly Report on Form 10-Q for the quarterly period</w:t>
        </w:r>
      </w:hyperlink>
      <w:r>
        <w:rPr>
          <w:rFonts w:ascii="Calibri" w:eastAsia="Calibri" w:hAnsi="Calibri" w:cs="Calibri"/>
          <w:color w:val="auto"/>
          <w:sz w:val="12"/>
          <w:szCs w:val="12"/>
        </w:rPr>
        <w:t xml:space="preserve"> </w:t>
      </w:r>
      <w:hyperlink r:id="rId135">
        <w:r>
          <w:rPr>
            <w:rFonts w:ascii="Calibri" w:eastAsia="Calibri" w:hAnsi="Calibri" w:cs="Calibri"/>
            <w:color w:val="auto"/>
            <w:sz w:val="12"/>
            <w:szCs w:val="12"/>
          </w:rPr>
          <w:t>ended March 31, 2021).**</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639" w:hanging="370"/>
        <w:rPr>
          <w:rFonts w:ascii="Calibri" w:eastAsia="Calibri" w:hAnsi="Calibri" w:cs="Calibri"/>
          <w:color w:val="auto"/>
          <w:sz w:val="12"/>
          <w:szCs w:val="12"/>
        </w:rPr>
      </w:pPr>
      <w:hyperlink r:id="rId136">
        <w:r>
          <w:rPr>
            <w:rFonts w:ascii="Calibri" w:eastAsia="Calibri" w:hAnsi="Calibri" w:cs="Calibri"/>
            <w:color w:val="auto"/>
            <w:sz w:val="12"/>
            <w:szCs w:val="12"/>
          </w:rPr>
          <w:t>10.19</w:t>
        </w:r>
      </w:hyperlink>
      <w:r>
        <w:rPr>
          <w:rFonts w:ascii="Calibri" w:eastAsia="Calibri" w:hAnsi="Calibri" w:cs="Calibri"/>
          <w:color w:val="auto"/>
          <w:sz w:val="12"/>
          <w:szCs w:val="12"/>
        </w:rPr>
        <w:tab/>
      </w:r>
      <w:hyperlink r:id="rId137">
        <w:r>
          <w:rPr>
            <w:rFonts w:ascii="Calibri" w:eastAsia="Calibri" w:hAnsi="Calibri" w:cs="Calibri"/>
            <w:color w:val="auto"/>
            <w:sz w:val="12"/>
            <w:szCs w:val="12"/>
          </w:rPr>
          <w:t>*Form of AbbVie Inc. Non-Qualifed Stock Opton Agreement (incorporated by reference to Exhibit 10.4 of the company’s Quarterly Report on Form 10-Q for the quarterly period</w:t>
        </w:r>
      </w:hyperlink>
      <w:r>
        <w:rPr>
          <w:rFonts w:ascii="Calibri" w:eastAsia="Calibri" w:hAnsi="Calibri" w:cs="Calibri"/>
          <w:color w:val="auto"/>
          <w:sz w:val="12"/>
          <w:szCs w:val="12"/>
        </w:rPr>
        <w:t xml:space="preserve"> </w:t>
      </w:r>
      <w:hyperlink r:id="rId138">
        <w:r>
          <w:rPr>
            <w:rFonts w:ascii="Calibri" w:eastAsia="Calibri" w:hAnsi="Calibri" w:cs="Calibri"/>
            <w:color w:val="auto"/>
            <w:sz w:val="12"/>
            <w:szCs w:val="12"/>
          </w:rPr>
          <w:t>ended March 31, 2021).**</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639" w:hanging="371"/>
        <w:rPr>
          <w:rFonts w:ascii="Calibri" w:eastAsia="Calibri" w:hAnsi="Calibri" w:cs="Calibri"/>
          <w:color w:val="auto"/>
          <w:sz w:val="12"/>
          <w:szCs w:val="12"/>
        </w:rPr>
      </w:pPr>
      <w:hyperlink r:id="rId139">
        <w:r>
          <w:rPr>
            <w:rFonts w:ascii="Calibri" w:eastAsia="Calibri" w:hAnsi="Calibri" w:cs="Calibri"/>
            <w:color w:val="auto"/>
            <w:sz w:val="12"/>
            <w:szCs w:val="12"/>
          </w:rPr>
          <w:t>10.20</w:t>
        </w:r>
      </w:hyperlink>
      <w:r>
        <w:rPr>
          <w:rFonts w:ascii="Calibri" w:eastAsia="Calibri" w:hAnsi="Calibri" w:cs="Calibri"/>
          <w:color w:val="auto"/>
          <w:sz w:val="12"/>
          <w:szCs w:val="12"/>
        </w:rPr>
        <w:tab/>
      </w:r>
      <w:hyperlink r:id="rId140">
        <w:r>
          <w:rPr>
            <w:rFonts w:ascii="Calibri" w:eastAsia="Calibri" w:hAnsi="Calibri" w:cs="Calibri"/>
            <w:color w:val="auto"/>
            <w:sz w:val="12"/>
            <w:szCs w:val="12"/>
          </w:rPr>
          <w:t>*AbbVie Performance Incentve Plan, as amended and restated (incorporated by reference to Exhibit 10.3 of the company's Annual Report on Form 10-K for the fscal year ended</w:t>
        </w:r>
      </w:hyperlink>
      <w:r>
        <w:rPr>
          <w:rFonts w:ascii="Calibri" w:eastAsia="Calibri" w:hAnsi="Calibri" w:cs="Calibri"/>
          <w:color w:val="auto"/>
          <w:sz w:val="12"/>
          <w:szCs w:val="12"/>
        </w:rPr>
        <w:t xml:space="preserve"> </w:t>
      </w:r>
      <w:hyperlink r:id="rId141">
        <w:r>
          <w:rPr>
            <w:rFonts w:ascii="Calibri" w:eastAsia="Calibri" w:hAnsi="Calibri" w:cs="Calibri"/>
            <w:color w:val="auto"/>
            <w:sz w:val="12"/>
            <w:szCs w:val="12"/>
          </w:rPr>
          <w:t>December 31, 2021).**</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399" w:hanging="371"/>
        <w:rPr>
          <w:rFonts w:ascii="Calibri" w:eastAsia="Calibri" w:hAnsi="Calibri" w:cs="Calibri"/>
          <w:color w:val="auto"/>
          <w:sz w:val="12"/>
          <w:szCs w:val="12"/>
        </w:rPr>
      </w:pPr>
      <w:hyperlink r:id="rId142">
        <w:r>
          <w:rPr>
            <w:rFonts w:ascii="Calibri" w:eastAsia="Calibri" w:hAnsi="Calibri" w:cs="Calibri"/>
            <w:color w:val="auto"/>
            <w:sz w:val="12"/>
            <w:szCs w:val="12"/>
          </w:rPr>
          <w:t>10.21</w:t>
        </w:r>
      </w:hyperlink>
      <w:r>
        <w:rPr>
          <w:rFonts w:ascii="Calibri" w:eastAsia="Calibri" w:hAnsi="Calibri" w:cs="Calibri"/>
          <w:color w:val="auto"/>
          <w:sz w:val="12"/>
          <w:szCs w:val="12"/>
        </w:rPr>
        <w:tab/>
      </w:r>
      <w:hyperlink r:id="rId143">
        <w:r>
          <w:rPr>
            <w:rFonts w:ascii="Calibri" w:eastAsia="Calibri" w:hAnsi="Calibri" w:cs="Calibri"/>
            <w:color w:val="auto"/>
            <w:sz w:val="12"/>
            <w:szCs w:val="12"/>
          </w:rPr>
          <w:t>*Amendment to the AbbVie Performance Incentve Plan, as amended and restated (incorporated by reference to Exhibit 10.1 of the company’s Quarterly Report on Form 10-Q for the</w:t>
        </w:r>
      </w:hyperlink>
      <w:r>
        <w:rPr>
          <w:rFonts w:ascii="Calibri" w:eastAsia="Calibri" w:hAnsi="Calibri" w:cs="Calibri"/>
          <w:color w:val="auto"/>
          <w:sz w:val="12"/>
          <w:szCs w:val="12"/>
        </w:rPr>
        <w:t xml:space="preserve"> </w:t>
      </w:r>
      <w:hyperlink r:id="rId144">
        <w:r>
          <w:rPr>
            <w:rFonts w:ascii="Calibri" w:eastAsia="Calibri" w:hAnsi="Calibri" w:cs="Calibri"/>
            <w:color w:val="auto"/>
            <w:sz w:val="12"/>
            <w:szCs w:val="12"/>
          </w:rPr>
          <w:t>quarterly period ended September 30, 2023).**</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659" w:hanging="371"/>
        <w:rPr>
          <w:rFonts w:ascii="Calibri" w:eastAsia="Calibri" w:hAnsi="Calibri" w:cs="Calibri"/>
          <w:color w:val="auto"/>
          <w:sz w:val="12"/>
          <w:szCs w:val="12"/>
        </w:rPr>
      </w:pPr>
      <w:hyperlink r:id="rId145">
        <w:r>
          <w:rPr>
            <w:rFonts w:ascii="Calibri" w:eastAsia="Calibri" w:hAnsi="Calibri" w:cs="Calibri"/>
            <w:color w:val="auto"/>
            <w:sz w:val="12"/>
            <w:szCs w:val="12"/>
          </w:rPr>
          <w:t>10.22</w:t>
        </w:r>
      </w:hyperlink>
      <w:r>
        <w:rPr>
          <w:rFonts w:ascii="Calibri" w:eastAsia="Calibri" w:hAnsi="Calibri" w:cs="Calibri"/>
          <w:color w:val="auto"/>
          <w:sz w:val="12"/>
          <w:szCs w:val="12"/>
        </w:rPr>
        <w:tab/>
      </w:r>
      <w:hyperlink r:id="rId146">
        <w:r>
          <w:rPr>
            <w:rFonts w:ascii="Calibri" w:eastAsia="Calibri" w:hAnsi="Calibri" w:cs="Calibri"/>
            <w:color w:val="auto"/>
            <w:sz w:val="12"/>
            <w:szCs w:val="12"/>
          </w:rPr>
          <w:t>*AbbVie Supplemental Pension Plan, as amended and restated (incorporated by reference to Exhibit 10.5 of the company's Annual Report on Form 10-K for the fscal year ended</w:t>
        </w:r>
      </w:hyperlink>
      <w:r>
        <w:rPr>
          <w:rFonts w:ascii="Calibri" w:eastAsia="Calibri" w:hAnsi="Calibri" w:cs="Calibri"/>
          <w:color w:val="auto"/>
          <w:sz w:val="12"/>
          <w:szCs w:val="12"/>
        </w:rPr>
        <w:t xml:space="preserve"> </w:t>
      </w:r>
      <w:hyperlink r:id="rId147">
        <w:r>
          <w:rPr>
            <w:rFonts w:ascii="Calibri" w:eastAsia="Calibri" w:hAnsi="Calibri" w:cs="Calibri"/>
            <w:color w:val="auto"/>
            <w:sz w:val="12"/>
            <w:szCs w:val="12"/>
          </w:rPr>
          <w:t>December 31, 2021).**</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679" w:hanging="371"/>
        <w:rPr>
          <w:rFonts w:ascii="Calibri" w:eastAsia="Calibri" w:hAnsi="Calibri" w:cs="Calibri"/>
          <w:color w:val="auto"/>
          <w:sz w:val="12"/>
          <w:szCs w:val="12"/>
        </w:rPr>
      </w:pPr>
      <w:hyperlink r:id="rId148">
        <w:r>
          <w:rPr>
            <w:rFonts w:ascii="Calibri" w:eastAsia="Calibri" w:hAnsi="Calibri" w:cs="Calibri"/>
            <w:color w:val="auto"/>
            <w:sz w:val="12"/>
            <w:szCs w:val="12"/>
          </w:rPr>
          <w:t>10.23</w:t>
        </w:r>
      </w:hyperlink>
      <w:r>
        <w:rPr>
          <w:rFonts w:ascii="Calibri" w:eastAsia="Calibri" w:hAnsi="Calibri" w:cs="Calibri"/>
          <w:color w:val="auto"/>
          <w:sz w:val="12"/>
          <w:szCs w:val="12"/>
        </w:rPr>
        <w:tab/>
      </w:r>
      <w:hyperlink r:id="rId149">
        <w:r>
          <w:rPr>
            <w:rFonts w:ascii="Calibri" w:eastAsia="Calibri" w:hAnsi="Calibri" w:cs="Calibri"/>
            <w:color w:val="auto"/>
            <w:sz w:val="12"/>
            <w:szCs w:val="12"/>
          </w:rPr>
          <w:t>*AbbVie Supplemental Savings Plan, as amended and restated (incorporated by reference to Exhibit 10.6 of the company's Annual Report on Form 10-K for the fscal year ended</w:t>
        </w:r>
      </w:hyperlink>
      <w:r>
        <w:rPr>
          <w:rFonts w:ascii="Calibri" w:eastAsia="Calibri" w:hAnsi="Calibri" w:cs="Calibri"/>
          <w:color w:val="auto"/>
          <w:sz w:val="12"/>
          <w:szCs w:val="12"/>
        </w:rPr>
        <w:t xml:space="preserve"> </w:t>
      </w:r>
      <w:hyperlink r:id="rId150">
        <w:r>
          <w:rPr>
            <w:rFonts w:ascii="Calibri" w:eastAsia="Calibri" w:hAnsi="Calibri" w:cs="Calibri"/>
            <w:color w:val="auto"/>
            <w:sz w:val="12"/>
            <w:szCs w:val="12"/>
          </w:rPr>
          <w:t>December 31, 2021).**</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759" w:hanging="371"/>
        <w:rPr>
          <w:rFonts w:ascii="Calibri" w:eastAsia="Calibri" w:hAnsi="Calibri" w:cs="Calibri"/>
          <w:color w:val="auto"/>
          <w:sz w:val="12"/>
          <w:szCs w:val="12"/>
        </w:rPr>
      </w:pPr>
      <w:hyperlink r:id="rId151">
        <w:r>
          <w:rPr>
            <w:rFonts w:ascii="Calibri" w:eastAsia="Calibri" w:hAnsi="Calibri" w:cs="Calibri"/>
            <w:color w:val="auto"/>
            <w:sz w:val="12"/>
            <w:szCs w:val="12"/>
          </w:rPr>
          <w:t>10.24</w:t>
        </w:r>
      </w:hyperlink>
      <w:r>
        <w:rPr>
          <w:rFonts w:ascii="Calibri" w:eastAsia="Calibri" w:hAnsi="Calibri" w:cs="Calibri"/>
          <w:color w:val="auto"/>
          <w:sz w:val="12"/>
          <w:szCs w:val="12"/>
        </w:rPr>
        <w:tab/>
      </w:r>
      <w:hyperlink r:id="rId152">
        <w:r>
          <w:rPr>
            <w:rFonts w:ascii="Calibri" w:eastAsia="Calibri" w:hAnsi="Calibri" w:cs="Calibri"/>
            <w:color w:val="auto"/>
            <w:sz w:val="12"/>
            <w:szCs w:val="12"/>
          </w:rPr>
          <w:t>*Form of AbbVie Inc. Performance-Vested Restricted Stock Unit Agreement (incorporated by reference to Exhibit 10.1 of the company’s Quarterly Report on Form 10-Q for the</w:t>
        </w:r>
      </w:hyperlink>
      <w:r>
        <w:rPr>
          <w:rFonts w:ascii="Calibri" w:eastAsia="Calibri" w:hAnsi="Calibri" w:cs="Calibri"/>
          <w:color w:val="auto"/>
          <w:sz w:val="12"/>
          <w:szCs w:val="12"/>
        </w:rPr>
        <w:t xml:space="preserve"> </w:t>
      </w:r>
      <w:hyperlink r:id="rId153">
        <w:r>
          <w:rPr>
            <w:rFonts w:ascii="Calibri" w:eastAsia="Calibri" w:hAnsi="Calibri" w:cs="Calibri"/>
            <w:color w:val="auto"/>
            <w:sz w:val="12"/>
            <w:szCs w:val="12"/>
          </w:rPr>
          <w:t>quarterly period ended March 31, 2022).**</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359" w:hanging="371"/>
        <w:rPr>
          <w:rFonts w:ascii="Calibri" w:eastAsia="Calibri" w:hAnsi="Calibri" w:cs="Calibri"/>
          <w:color w:val="auto"/>
          <w:sz w:val="12"/>
          <w:szCs w:val="12"/>
        </w:rPr>
      </w:pPr>
      <w:hyperlink r:id="rId154">
        <w:r>
          <w:rPr>
            <w:rFonts w:ascii="Calibri" w:eastAsia="Calibri" w:hAnsi="Calibri" w:cs="Calibri"/>
            <w:color w:val="auto"/>
            <w:sz w:val="12"/>
            <w:szCs w:val="12"/>
          </w:rPr>
          <w:t>10.25</w:t>
        </w:r>
      </w:hyperlink>
      <w:r>
        <w:rPr>
          <w:rFonts w:ascii="Calibri" w:eastAsia="Calibri" w:hAnsi="Calibri" w:cs="Calibri"/>
          <w:color w:val="auto"/>
          <w:sz w:val="12"/>
          <w:szCs w:val="12"/>
        </w:rPr>
        <w:tab/>
      </w:r>
      <w:hyperlink r:id="rId155">
        <w:r>
          <w:rPr>
            <w:rFonts w:ascii="Calibri" w:eastAsia="Calibri" w:hAnsi="Calibri" w:cs="Calibri"/>
            <w:color w:val="auto"/>
            <w:sz w:val="12"/>
            <w:szCs w:val="12"/>
          </w:rPr>
          <w:t>*Form of AbbVie Inc. Performance Share Award Agreement (incorporated by reference to Exhibit 10.2 of the company’s Quarterly Report on Form 10-Q for the quarterly period ended</w:t>
        </w:r>
      </w:hyperlink>
      <w:r>
        <w:rPr>
          <w:rFonts w:ascii="Calibri" w:eastAsia="Calibri" w:hAnsi="Calibri" w:cs="Calibri"/>
          <w:color w:val="auto"/>
          <w:sz w:val="12"/>
          <w:szCs w:val="12"/>
        </w:rPr>
        <w:t xml:space="preserve"> </w:t>
      </w:r>
      <w:hyperlink r:id="rId156">
        <w:r>
          <w:rPr>
            <w:rFonts w:ascii="Calibri" w:eastAsia="Calibri" w:hAnsi="Calibri" w:cs="Calibri"/>
            <w:color w:val="auto"/>
            <w:sz w:val="12"/>
            <w:szCs w:val="12"/>
          </w:rPr>
          <w:t>March 31, 2022).**</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599" w:hanging="371"/>
        <w:rPr>
          <w:rFonts w:ascii="Calibri" w:eastAsia="Calibri" w:hAnsi="Calibri" w:cs="Calibri"/>
          <w:color w:val="auto"/>
          <w:sz w:val="12"/>
          <w:szCs w:val="12"/>
        </w:rPr>
      </w:pPr>
      <w:hyperlink r:id="rId157">
        <w:r>
          <w:rPr>
            <w:rFonts w:ascii="Calibri" w:eastAsia="Calibri" w:hAnsi="Calibri" w:cs="Calibri"/>
            <w:color w:val="auto"/>
            <w:sz w:val="12"/>
            <w:szCs w:val="12"/>
          </w:rPr>
          <w:t>10.26</w:t>
        </w:r>
      </w:hyperlink>
      <w:r>
        <w:rPr>
          <w:rFonts w:ascii="Calibri" w:eastAsia="Calibri" w:hAnsi="Calibri" w:cs="Calibri"/>
          <w:color w:val="auto"/>
          <w:sz w:val="12"/>
          <w:szCs w:val="12"/>
        </w:rPr>
        <w:tab/>
      </w:r>
      <w:hyperlink r:id="rId158">
        <w:r>
          <w:rPr>
            <w:rFonts w:ascii="Calibri" w:eastAsia="Calibri" w:hAnsi="Calibri" w:cs="Calibri"/>
            <w:color w:val="auto"/>
            <w:sz w:val="12"/>
            <w:szCs w:val="12"/>
          </w:rPr>
          <w:t>*Form of AbbVie Inc. Non-Employee Director RSU Agreement (incorporated by reference to Exhibit 10.3 of the company’s Quarterly Report on Form 10-Q for the quarterly period</w:t>
        </w:r>
      </w:hyperlink>
      <w:r>
        <w:rPr>
          <w:rFonts w:ascii="Calibri" w:eastAsia="Calibri" w:hAnsi="Calibri" w:cs="Calibri"/>
          <w:color w:val="auto"/>
          <w:sz w:val="12"/>
          <w:szCs w:val="12"/>
        </w:rPr>
        <w:t xml:space="preserve"> </w:t>
      </w:r>
      <w:hyperlink r:id="rId159">
        <w:r>
          <w:rPr>
            <w:rFonts w:ascii="Calibri" w:eastAsia="Calibri" w:hAnsi="Calibri" w:cs="Calibri"/>
            <w:color w:val="auto"/>
            <w:sz w:val="12"/>
            <w:szCs w:val="12"/>
          </w:rPr>
          <w:t>ended March 31, 2022).**</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639" w:hanging="370"/>
        <w:rPr>
          <w:rFonts w:ascii="Calibri" w:eastAsia="Calibri" w:hAnsi="Calibri" w:cs="Calibri"/>
          <w:color w:val="auto"/>
          <w:sz w:val="12"/>
          <w:szCs w:val="12"/>
        </w:rPr>
      </w:pPr>
      <w:hyperlink r:id="rId160">
        <w:r>
          <w:rPr>
            <w:rFonts w:ascii="Calibri" w:eastAsia="Calibri" w:hAnsi="Calibri" w:cs="Calibri"/>
            <w:color w:val="auto"/>
            <w:sz w:val="12"/>
            <w:szCs w:val="12"/>
          </w:rPr>
          <w:t>10.27</w:t>
        </w:r>
      </w:hyperlink>
      <w:r>
        <w:rPr>
          <w:rFonts w:ascii="Calibri" w:eastAsia="Calibri" w:hAnsi="Calibri" w:cs="Calibri"/>
          <w:color w:val="auto"/>
          <w:sz w:val="12"/>
          <w:szCs w:val="12"/>
        </w:rPr>
        <w:tab/>
      </w:r>
      <w:hyperlink r:id="rId161">
        <w:r>
          <w:rPr>
            <w:rFonts w:ascii="Calibri" w:eastAsia="Calibri" w:hAnsi="Calibri" w:cs="Calibri"/>
            <w:color w:val="auto"/>
            <w:sz w:val="12"/>
            <w:szCs w:val="12"/>
          </w:rPr>
          <w:t>*Form of AbbVie Inc. Non-Qualifed Stock Opton Agreement (incorporated by reference to Exhibit 10.4 of the company’s Quarterly Report on Form 10-Q for the quarterly period</w:t>
        </w:r>
      </w:hyperlink>
      <w:r>
        <w:rPr>
          <w:rFonts w:ascii="Calibri" w:eastAsia="Calibri" w:hAnsi="Calibri" w:cs="Calibri"/>
          <w:color w:val="auto"/>
          <w:sz w:val="12"/>
          <w:szCs w:val="12"/>
        </w:rPr>
        <w:t xml:space="preserve"> </w:t>
      </w:r>
      <w:hyperlink r:id="rId162">
        <w:r>
          <w:rPr>
            <w:rFonts w:ascii="Calibri" w:eastAsia="Calibri" w:hAnsi="Calibri" w:cs="Calibri"/>
            <w:color w:val="auto"/>
            <w:sz w:val="12"/>
            <w:szCs w:val="12"/>
          </w:rPr>
          <w:t>ended March 31, 2022).**</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419" w:hanging="370"/>
        <w:rPr>
          <w:rFonts w:ascii="Calibri" w:eastAsia="Calibri" w:hAnsi="Calibri" w:cs="Calibri"/>
          <w:color w:val="auto"/>
          <w:sz w:val="12"/>
          <w:szCs w:val="12"/>
        </w:rPr>
      </w:pPr>
      <w:hyperlink r:id="rId163">
        <w:r>
          <w:rPr>
            <w:rFonts w:ascii="Calibri" w:eastAsia="Calibri" w:hAnsi="Calibri" w:cs="Calibri"/>
            <w:color w:val="auto"/>
            <w:sz w:val="12"/>
            <w:szCs w:val="12"/>
          </w:rPr>
          <w:t>10.28</w:t>
        </w:r>
      </w:hyperlink>
      <w:r>
        <w:rPr>
          <w:rFonts w:ascii="Calibri" w:eastAsia="Calibri" w:hAnsi="Calibri" w:cs="Calibri"/>
          <w:color w:val="auto"/>
          <w:sz w:val="12"/>
          <w:szCs w:val="12"/>
        </w:rPr>
        <w:tab/>
      </w:r>
      <w:hyperlink r:id="rId164">
        <w:r>
          <w:rPr>
            <w:rFonts w:ascii="Calibri" w:eastAsia="Calibri" w:hAnsi="Calibri" w:cs="Calibri"/>
            <w:color w:val="auto"/>
            <w:sz w:val="12"/>
            <w:szCs w:val="12"/>
          </w:rPr>
          <w:t>*Form of AbbVie Inc. Retenton RSU Agreement – Ratable Vestng (incorporated by reference to Exhibit 10.5 of the company’s Quarterly Report on Form 10-Q for the quarterly period</w:t>
        </w:r>
      </w:hyperlink>
      <w:r>
        <w:rPr>
          <w:rFonts w:ascii="Calibri" w:eastAsia="Calibri" w:hAnsi="Calibri" w:cs="Calibri"/>
          <w:color w:val="auto"/>
          <w:sz w:val="12"/>
          <w:szCs w:val="12"/>
        </w:rPr>
        <w:t xml:space="preserve"> </w:t>
      </w:r>
      <w:hyperlink r:id="rId165">
        <w:r>
          <w:rPr>
            <w:rFonts w:ascii="Calibri" w:eastAsia="Calibri" w:hAnsi="Calibri" w:cs="Calibri"/>
            <w:color w:val="auto"/>
            <w:sz w:val="12"/>
            <w:szCs w:val="12"/>
          </w:rPr>
          <w:t>ended March 31, 2022).**</w:t>
        </w:r>
      </w:hyperlink>
    </w:p>
    <w:p>
      <w:pPr>
        <w:spacing w:after="0" w:line="15" w:lineRule="exact"/>
        <w:rPr>
          <w:rFonts w:ascii="Calibri" w:eastAsia="Calibri" w:hAnsi="Calibri" w:cs="Calibri"/>
          <w:color w:val="auto"/>
          <w:sz w:val="12"/>
          <w:szCs w:val="12"/>
        </w:rPr>
      </w:pPr>
    </w:p>
    <w:p>
      <w:pPr>
        <w:tabs>
          <w:tab w:val="left" w:pos="360"/>
        </w:tabs>
        <w:spacing w:after="0"/>
        <w:rPr>
          <w:rFonts w:ascii="Calibri" w:eastAsia="Calibri" w:hAnsi="Calibri" w:cs="Calibri"/>
          <w:color w:val="auto"/>
          <w:sz w:val="11"/>
          <w:szCs w:val="11"/>
        </w:rPr>
      </w:pPr>
      <w:hyperlink r:id="rId166">
        <w:r>
          <w:rPr>
            <w:rFonts w:ascii="Calibri" w:eastAsia="Calibri" w:hAnsi="Calibri" w:cs="Calibri"/>
            <w:color w:val="auto"/>
            <w:sz w:val="12"/>
            <w:szCs w:val="12"/>
          </w:rPr>
          <w:t>10.29</w:t>
        </w:r>
      </w:hyperlink>
      <w:r>
        <w:rPr>
          <w:rFonts w:ascii="Calibri" w:eastAsia="Calibri" w:hAnsi="Calibri" w:cs="Calibri"/>
          <w:color w:val="auto"/>
          <w:sz w:val="12"/>
          <w:szCs w:val="12"/>
        </w:rPr>
        <w:tab/>
      </w:r>
      <w:hyperlink r:id="rId167">
        <w:r>
          <w:rPr>
            <w:rFonts w:ascii="Calibri" w:eastAsia="Calibri" w:hAnsi="Calibri" w:cs="Calibri"/>
            <w:color w:val="auto"/>
            <w:sz w:val="11"/>
            <w:szCs w:val="11"/>
          </w:rPr>
          <w:t>*Form of AbbVie Inc. Retenton RSU Agreement – Clif Vestng with Dividend Equivalent Accrual (incorporated by reference to Exhibit 10.6 of the company’s Quarterly Report on Form</w:t>
        </w:r>
      </w:hyperlink>
    </w:p>
    <w:p>
      <w:pPr>
        <w:spacing w:after="0" w:line="193" w:lineRule="auto"/>
        <w:ind w:left="380"/>
        <w:rPr>
          <w:rFonts w:ascii="Calibri" w:eastAsia="Calibri" w:hAnsi="Calibri" w:cs="Calibri"/>
          <w:color w:val="auto"/>
          <w:sz w:val="12"/>
          <w:szCs w:val="12"/>
        </w:rPr>
      </w:pPr>
      <w:hyperlink r:id="rId168">
        <w:r>
          <w:rPr>
            <w:rFonts w:ascii="Calibri" w:eastAsia="Calibri" w:hAnsi="Calibri" w:cs="Calibri"/>
            <w:color w:val="auto"/>
            <w:sz w:val="12"/>
            <w:szCs w:val="12"/>
          </w:rPr>
          <w:t>10-Q for the quarterly period ended March 31, 2022).**</w:t>
        </w:r>
      </w:hyperlink>
    </w:p>
    <w:p>
      <w:pPr>
        <w:spacing w:after="0" w:line="20" w:lineRule="exact"/>
        <w:rPr>
          <w:color w:val="auto"/>
          <w:sz w:val="20"/>
          <w:szCs w:val="20"/>
        </w:rPr>
      </w:pPr>
    </w:p>
    <w:p>
      <w:pPr>
        <w:tabs>
          <w:tab w:val="left" w:pos="360"/>
        </w:tabs>
        <w:spacing w:after="0" w:line="212" w:lineRule="auto"/>
        <w:ind w:left="380" w:right="759" w:hanging="371"/>
        <w:rPr>
          <w:rFonts w:ascii="Calibri" w:eastAsia="Calibri" w:hAnsi="Calibri" w:cs="Calibri"/>
          <w:color w:val="auto"/>
          <w:sz w:val="12"/>
          <w:szCs w:val="12"/>
        </w:rPr>
      </w:pPr>
      <w:hyperlink r:id="rId169">
        <w:r>
          <w:rPr>
            <w:rFonts w:ascii="Calibri" w:eastAsia="Calibri" w:hAnsi="Calibri" w:cs="Calibri"/>
            <w:color w:val="auto"/>
            <w:sz w:val="12"/>
            <w:szCs w:val="12"/>
          </w:rPr>
          <w:t>10.30</w:t>
        </w:r>
      </w:hyperlink>
      <w:r>
        <w:rPr>
          <w:rFonts w:ascii="Calibri" w:eastAsia="Calibri" w:hAnsi="Calibri" w:cs="Calibri"/>
          <w:color w:val="auto"/>
          <w:sz w:val="12"/>
          <w:szCs w:val="12"/>
        </w:rPr>
        <w:tab/>
      </w:r>
      <w:hyperlink r:id="rId170">
        <w:r>
          <w:rPr>
            <w:rFonts w:ascii="Calibri" w:eastAsia="Calibri" w:hAnsi="Calibri" w:cs="Calibri"/>
            <w:color w:val="auto"/>
            <w:sz w:val="12"/>
            <w:szCs w:val="12"/>
          </w:rPr>
          <w:t>*Form of AbbVie Inc. Performance-Vested Restricted Stock Unit Agreement (incorporated by reference to Exhibit 10.1 of the company’s Quarterly Report on Form 10-Q for the</w:t>
        </w:r>
      </w:hyperlink>
      <w:r>
        <w:rPr>
          <w:rFonts w:ascii="Calibri" w:eastAsia="Calibri" w:hAnsi="Calibri" w:cs="Calibri"/>
          <w:color w:val="auto"/>
          <w:sz w:val="12"/>
          <w:szCs w:val="12"/>
        </w:rPr>
        <w:t xml:space="preserve"> </w:t>
      </w:r>
      <w:hyperlink r:id="rId171">
        <w:r>
          <w:rPr>
            <w:rFonts w:ascii="Calibri" w:eastAsia="Calibri" w:hAnsi="Calibri" w:cs="Calibri"/>
            <w:color w:val="auto"/>
            <w:sz w:val="12"/>
            <w:szCs w:val="12"/>
          </w:rPr>
          <w:t>quarterly period ended March 31, 2023).**</w:t>
        </w:r>
      </w:hyperlink>
    </w:p>
    <w:p>
      <w:pPr>
        <w:spacing w:after="0" w:line="20" w:lineRule="exact"/>
        <w:rPr>
          <w:rFonts w:ascii="Calibri" w:eastAsia="Calibri" w:hAnsi="Calibri" w:cs="Calibri"/>
          <w:color w:val="auto"/>
          <w:sz w:val="12"/>
          <w:szCs w:val="12"/>
        </w:rPr>
      </w:pPr>
    </w:p>
    <w:p>
      <w:pPr>
        <w:tabs>
          <w:tab w:val="left" w:pos="360"/>
        </w:tabs>
        <w:spacing w:after="0" w:line="212" w:lineRule="auto"/>
        <w:ind w:left="380" w:right="359" w:hanging="371"/>
        <w:rPr>
          <w:rFonts w:ascii="Calibri" w:eastAsia="Calibri" w:hAnsi="Calibri" w:cs="Calibri"/>
          <w:color w:val="auto"/>
          <w:sz w:val="12"/>
          <w:szCs w:val="12"/>
        </w:rPr>
      </w:pPr>
      <w:hyperlink r:id="rId172">
        <w:r>
          <w:rPr>
            <w:rFonts w:ascii="Calibri" w:eastAsia="Calibri" w:hAnsi="Calibri" w:cs="Calibri"/>
            <w:color w:val="auto"/>
            <w:sz w:val="12"/>
            <w:szCs w:val="12"/>
          </w:rPr>
          <w:t>10.31</w:t>
        </w:r>
      </w:hyperlink>
      <w:r>
        <w:rPr>
          <w:rFonts w:ascii="Calibri" w:eastAsia="Calibri" w:hAnsi="Calibri" w:cs="Calibri"/>
          <w:color w:val="auto"/>
          <w:sz w:val="12"/>
          <w:szCs w:val="12"/>
        </w:rPr>
        <w:tab/>
      </w:r>
      <w:hyperlink r:id="rId173">
        <w:r>
          <w:rPr>
            <w:rFonts w:ascii="Calibri" w:eastAsia="Calibri" w:hAnsi="Calibri" w:cs="Calibri"/>
            <w:color w:val="auto"/>
            <w:sz w:val="12"/>
            <w:szCs w:val="12"/>
          </w:rPr>
          <w:t>*Form of AbbVie Inc. Performance Share Award Agreement (incorporated by reference to Exhibit 10.2 of the company’s Quarterly Report on Form 10-Q for the quarterly period ended</w:t>
        </w:r>
      </w:hyperlink>
      <w:r>
        <w:rPr>
          <w:rFonts w:ascii="Calibri" w:eastAsia="Calibri" w:hAnsi="Calibri" w:cs="Calibri"/>
          <w:color w:val="auto"/>
          <w:sz w:val="12"/>
          <w:szCs w:val="12"/>
        </w:rPr>
        <w:t xml:space="preserve"> </w:t>
      </w:r>
      <w:hyperlink r:id="rId174">
        <w:r>
          <w:rPr>
            <w:rFonts w:ascii="Calibri" w:eastAsia="Calibri" w:hAnsi="Calibri" w:cs="Calibri"/>
            <w:color w:val="auto"/>
            <w:sz w:val="12"/>
            <w:szCs w:val="12"/>
          </w:rPr>
          <w:t>March 31, 2023).**</w:t>
        </w:r>
      </w:hyperlink>
    </w:p>
    <w:p>
      <w:pPr>
        <w:spacing w:after="0" w:line="177" w:lineRule="exact"/>
        <w:rPr>
          <w:rFonts w:ascii="Calibri" w:eastAsia="Calibri" w:hAnsi="Calibri" w:cs="Calibri"/>
          <w:color w:val="auto"/>
          <w:sz w:val="12"/>
          <w:szCs w:val="12"/>
        </w:rPr>
      </w:pPr>
    </w:p>
    <w:p>
      <w:pPr>
        <w:sectPr>
          <w:pgSz w:w="11900" w:h="16838" w:orient="portrait"/>
          <w:pgMar w:top="678" w:right="1440" w:bottom="1440" w:left="300" w:header="0" w:footer="0" w:gutter="0"/>
          <w:cols w:num="2" w:space="720" w:equalWidth="0">
            <w:col w:w="680" w:space="80"/>
            <w:col w:w="9399" w:space="0"/>
          </w:cols>
        </w:sectPr>
      </w:pPr>
    </w:p>
    <w:p>
      <w:pPr>
        <w:tabs>
          <w:tab w:val="left" w:pos="1100"/>
        </w:tabs>
        <w:spacing w:after="0"/>
        <w:rPr>
          <w:color w:val="auto"/>
          <w:sz w:val="20"/>
          <w:szCs w:val="20"/>
        </w:rPr>
      </w:pPr>
      <w:r>
        <w:rPr>
          <w:rFonts w:ascii="Calibri" w:eastAsia="Calibri" w:hAnsi="Calibri" w:cs="Calibri"/>
          <w:b/>
          <w:bCs/>
          <w:i/>
          <w:iCs/>
          <w:color w:val="auto"/>
          <w:sz w:val="24"/>
          <w:szCs w:val="24"/>
          <w:vertAlign w:val="subscript"/>
        </w:rPr>
        <w:t>111</w:t>
      </w:r>
      <w:r>
        <w:rPr>
          <w:color w:val="auto"/>
          <w:sz w:val="20"/>
          <w:szCs w:val="20"/>
        </w:rPr>
        <w:tab/>
      </w: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p>
      <w:pPr>
        <w:spacing w:after="0" w:line="20" w:lineRule="exact"/>
        <w:rPr>
          <w:rFonts w:ascii="Calibri" w:eastAsia="Calibri" w:hAnsi="Calibri" w:cs="Calibri"/>
          <w:color w:val="auto"/>
          <w:sz w:val="12"/>
          <w:szCs w:val="12"/>
        </w:rPr>
      </w:pPr>
      <w:r>
        <w:rPr>
          <w:rFonts w:ascii="Calibri" w:eastAsia="Calibri" w:hAnsi="Calibri" w:cs="Calibri"/>
          <w:color w:val="auto"/>
          <w:sz w:val="12"/>
          <w:szCs w:val="12"/>
        </w:rPr>
        <w:drawing>
          <wp:anchor simplePos="0" relativeHeight="251951104" behindDoc="1" locked="0" layoutInCell="0" allowOverlap="1">
            <wp:simplePos x="0" y="0"/>
            <wp:positionH relativeFrom="column">
              <wp:posOffset>-17145</wp:posOffset>
            </wp:positionH>
            <wp:positionV relativeFrom="paragraph">
              <wp:posOffset>133985</wp:posOffset>
            </wp:positionV>
            <wp:extent cx="7203440" cy="3683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rFonts w:ascii="Calibri" w:eastAsia="Calibri" w:hAnsi="Calibri" w:cs="Calibri"/>
          <w:color w:val="auto"/>
          <w:sz w:val="12"/>
          <w:szCs w:val="12"/>
        </w:rPr>
        <w:drawing>
          <wp:anchor simplePos="0" relativeHeight="251952128" behindDoc="1" locked="0" layoutInCell="0" allowOverlap="1">
            <wp:simplePos x="0" y="0"/>
            <wp:positionH relativeFrom="column">
              <wp:posOffset>292100</wp:posOffset>
            </wp:positionH>
            <wp:positionV relativeFrom="paragraph">
              <wp:posOffset>-75565</wp:posOffset>
            </wp:positionV>
            <wp:extent cx="400050" cy="74295"/>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type w:val="continuous"/>
          <w:pgSz w:w="11900" w:h="16838" w:orient="portrait"/>
          <w:pgMar w:top="678" w:right="1440" w:bottom="1440" w:left="300" w:header="0" w:footer="0" w:gutter="0"/>
          <w:cols w:num="1" w:space="720" w:equalWidth="0">
            <w:col w:w="10159" w:space="0"/>
          </w:cols>
        </w:sectPr>
      </w:pPr>
    </w:p>
    <w:bookmarkStart w:id="113" w:name="page114"/>
    <w:bookmarkEnd w:id="113"/>
    <w:p>
      <w:pPr>
        <w:spacing w:after="0"/>
        <w:ind w:left="380"/>
        <w:rPr>
          <w:color w:val="auto"/>
          <w:sz w:val="20"/>
          <w:szCs w:val="20"/>
        </w:rPr>
      </w:pPr>
      <w:r>
        <w:rPr>
          <w:rFonts w:ascii="Calibri" w:eastAsia="Calibri" w:hAnsi="Calibri" w:cs="Calibri"/>
          <w:b/>
          <w:bCs/>
          <w:color w:val="auto"/>
          <w:sz w:val="10"/>
          <w:szCs w:val="10"/>
        </w:rPr>
        <w:t>Exhibit</w:t>
      </w:r>
    </w:p>
    <w:p>
      <w:pPr>
        <w:spacing w:after="0"/>
        <w:ind w:left="360"/>
        <w:rPr>
          <w:color w:val="auto"/>
          <w:sz w:val="20"/>
          <w:szCs w:val="20"/>
        </w:rPr>
      </w:pPr>
      <w:r>
        <w:rPr>
          <w:rFonts w:ascii="Calibri" w:eastAsia="Calibri" w:hAnsi="Calibri" w:cs="Calibri"/>
          <w:b/>
          <w:bCs/>
          <w:color w:val="auto"/>
          <w:sz w:val="8"/>
          <w:szCs w:val="8"/>
        </w:rPr>
        <w:t>Number</w:t>
      </w:r>
    </w:p>
    <w:p>
      <w:pPr>
        <w:spacing w:after="0" w:line="20" w:lineRule="exact"/>
        <w:rPr>
          <w:color w:val="auto"/>
          <w:sz w:val="20"/>
          <w:szCs w:val="20"/>
        </w:rPr>
      </w:pPr>
      <w:r>
        <w:rPr>
          <w:color w:val="auto"/>
          <w:sz w:val="20"/>
          <w:szCs w:val="20"/>
        </w:rPr>
        <w:br w:type="column"/>
      </w:r>
    </w:p>
    <w:p>
      <w:pPr>
        <w:spacing w:after="0" w:line="70" w:lineRule="exact"/>
        <w:rPr>
          <w:color w:val="auto"/>
          <w:sz w:val="20"/>
          <w:szCs w:val="20"/>
        </w:rPr>
      </w:pPr>
    </w:p>
    <w:p>
      <w:pPr>
        <w:spacing w:after="0"/>
        <w:ind w:left="3980"/>
        <w:rPr>
          <w:color w:val="auto"/>
          <w:sz w:val="20"/>
          <w:szCs w:val="20"/>
        </w:rPr>
      </w:pPr>
      <w:r>
        <w:rPr>
          <w:rFonts w:ascii="Calibri" w:eastAsia="Calibri" w:hAnsi="Calibri" w:cs="Calibri"/>
          <w:b/>
          <w:bCs/>
          <w:color w:val="auto"/>
          <w:sz w:val="10"/>
          <w:szCs w:val="10"/>
        </w:rPr>
        <w:t>Exhibit Descripton</w:t>
      </w:r>
    </w:p>
    <w:p>
      <w:pPr>
        <w:spacing w:after="0" w:line="26" w:lineRule="exact"/>
        <w:rPr>
          <w:color w:val="auto"/>
          <w:sz w:val="20"/>
          <w:szCs w:val="20"/>
        </w:rPr>
      </w:pPr>
    </w:p>
    <w:p>
      <w:pPr>
        <w:spacing w:after="0" w:line="212" w:lineRule="auto"/>
        <w:ind w:right="1740" w:hanging="371"/>
        <w:rPr>
          <w:rFonts w:ascii="Calibri" w:eastAsia="Calibri" w:hAnsi="Calibri" w:cs="Calibri"/>
          <w:color w:val="auto"/>
          <w:sz w:val="12"/>
          <w:szCs w:val="12"/>
        </w:rPr>
      </w:pPr>
      <w:hyperlink r:id="rId175">
        <w:r>
          <w:rPr>
            <w:rFonts w:ascii="Calibri" w:eastAsia="Calibri" w:hAnsi="Calibri" w:cs="Calibri"/>
            <w:color w:val="auto"/>
            <w:sz w:val="12"/>
            <w:szCs w:val="12"/>
          </w:rPr>
          <w:t>10.32</w:t>
        </w:r>
      </w:hyperlink>
      <w:r>
        <w:rPr>
          <w:rFonts w:ascii="Calibri" w:eastAsia="Calibri" w:hAnsi="Calibri" w:cs="Calibri"/>
          <w:color w:val="auto"/>
          <w:sz w:val="12"/>
          <w:szCs w:val="12"/>
        </w:rPr>
        <w:t xml:space="preserve"> </w:t>
      </w:r>
      <w:hyperlink r:id="rId176">
        <w:r>
          <w:rPr>
            <w:rFonts w:ascii="Calibri" w:eastAsia="Calibri" w:hAnsi="Calibri" w:cs="Calibri"/>
            <w:color w:val="auto"/>
            <w:sz w:val="12"/>
            <w:szCs w:val="12"/>
          </w:rPr>
          <w:t>*Form of AbbVie Inc. Non-Employee Director RSU Agreement (incorporated by reference to Exhibit 10.3 of the company’s Quarterly Report on Form 10-Q for the quarterly period</w:t>
        </w:r>
      </w:hyperlink>
      <w:r>
        <w:rPr>
          <w:rFonts w:ascii="Calibri" w:eastAsia="Calibri" w:hAnsi="Calibri" w:cs="Calibri"/>
          <w:color w:val="auto"/>
          <w:sz w:val="12"/>
          <w:szCs w:val="12"/>
        </w:rPr>
        <w:t xml:space="preserve"> </w:t>
      </w:r>
      <w:hyperlink r:id="rId177">
        <w:r>
          <w:rPr>
            <w:rFonts w:ascii="Calibri" w:eastAsia="Calibri" w:hAnsi="Calibri" w:cs="Calibri"/>
            <w:color w:val="auto"/>
            <w:sz w:val="12"/>
            <w:szCs w:val="12"/>
          </w:rPr>
          <w:t>ended March 31, 2023).**</w:t>
        </w:r>
      </w:hyperlink>
    </w:p>
    <w:p>
      <w:pPr>
        <w:spacing w:after="0" w:line="20" w:lineRule="exact"/>
        <w:rPr>
          <w:rFonts w:ascii="Calibri" w:eastAsia="Calibri" w:hAnsi="Calibri" w:cs="Calibri"/>
          <w:color w:val="auto"/>
          <w:sz w:val="12"/>
          <w:szCs w:val="12"/>
        </w:rPr>
      </w:pPr>
    </w:p>
    <w:p>
      <w:pPr>
        <w:spacing w:after="0" w:line="212" w:lineRule="auto"/>
        <w:ind w:right="1780" w:hanging="371"/>
        <w:rPr>
          <w:rFonts w:ascii="Calibri" w:eastAsia="Calibri" w:hAnsi="Calibri" w:cs="Calibri"/>
          <w:color w:val="auto"/>
          <w:sz w:val="12"/>
          <w:szCs w:val="12"/>
        </w:rPr>
      </w:pPr>
      <w:hyperlink r:id="rId178">
        <w:r>
          <w:rPr>
            <w:rFonts w:ascii="Calibri" w:eastAsia="Calibri" w:hAnsi="Calibri" w:cs="Calibri"/>
            <w:color w:val="auto"/>
            <w:sz w:val="12"/>
            <w:szCs w:val="12"/>
          </w:rPr>
          <w:t>10.33</w:t>
        </w:r>
      </w:hyperlink>
      <w:r>
        <w:rPr>
          <w:rFonts w:ascii="Calibri" w:eastAsia="Calibri" w:hAnsi="Calibri" w:cs="Calibri"/>
          <w:color w:val="auto"/>
          <w:sz w:val="12"/>
          <w:szCs w:val="12"/>
        </w:rPr>
        <w:t xml:space="preserve"> </w:t>
      </w:r>
      <w:hyperlink r:id="rId179">
        <w:r>
          <w:rPr>
            <w:rFonts w:ascii="Calibri" w:eastAsia="Calibri" w:hAnsi="Calibri" w:cs="Calibri"/>
            <w:color w:val="auto"/>
            <w:sz w:val="12"/>
            <w:szCs w:val="12"/>
          </w:rPr>
          <w:t>*Form of AbbVie Inc. Non-Qualifed Stock Opton Agreement (incorporated by reference to Exhibit 10.4 of the company’s Quarterly Report on Form 10-Q for the quarterly period</w:t>
        </w:r>
      </w:hyperlink>
      <w:r>
        <w:rPr>
          <w:rFonts w:ascii="Calibri" w:eastAsia="Calibri" w:hAnsi="Calibri" w:cs="Calibri"/>
          <w:color w:val="auto"/>
          <w:sz w:val="12"/>
          <w:szCs w:val="12"/>
        </w:rPr>
        <w:t xml:space="preserve"> </w:t>
      </w:r>
      <w:hyperlink r:id="rId180">
        <w:r>
          <w:rPr>
            <w:rFonts w:ascii="Calibri" w:eastAsia="Calibri" w:hAnsi="Calibri" w:cs="Calibri"/>
            <w:color w:val="auto"/>
            <w:sz w:val="12"/>
            <w:szCs w:val="12"/>
          </w:rPr>
          <w:t>ended March 31, 2023).**</w:t>
        </w:r>
      </w:hyperlink>
    </w:p>
    <w:p>
      <w:pPr>
        <w:spacing w:after="0" w:line="20" w:lineRule="exact"/>
        <w:rPr>
          <w:rFonts w:ascii="Calibri" w:eastAsia="Calibri" w:hAnsi="Calibri" w:cs="Calibri"/>
          <w:color w:val="auto"/>
          <w:sz w:val="12"/>
          <w:szCs w:val="12"/>
        </w:rPr>
      </w:pPr>
    </w:p>
    <w:p>
      <w:pPr>
        <w:spacing w:after="0" w:line="212" w:lineRule="auto"/>
        <w:ind w:right="1560" w:hanging="371"/>
        <w:rPr>
          <w:rFonts w:ascii="Calibri" w:eastAsia="Calibri" w:hAnsi="Calibri" w:cs="Calibri"/>
          <w:color w:val="auto"/>
          <w:sz w:val="12"/>
          <w:szCs w:val="12"/>
        </w:rPr>
      </w:pPr>
      <w:hyperlink r:id="rId181">
        <w:r>
          <w:rPr>
            <w:rFonts w:ascii="Calibri" w:eastAsia="Calibri" w:hAnsi="Calibri" w:cs="Calibri"/>
            <w:color w:val="auto"/>
            <w:sz w:val="12"/>
            <w:szCs w:val="12"/>
          </w:rPr>
          <w:t>10.34</w:t>
        </w:r>
      </w:hyperlink>
      <w:r>
        <w:rPr>
          <w:rFonts w:ascii="Calibri" w:eastAsia="Calibri" w:hAnsi="Calibri" w:cs="Calibri"/>
          <w:color w:val="auto"/>
          <w:sz w:val="12"/>
          <w:szCs w:val="12"/>
        </w:rPr>
        <w:t xml:space="preserve"> </w:t>
      </w:r>
      <w:hyperlink r:id="rId182">
        <w:r>
          <w:rPr>
            <w:rFonts w:ascii="Calibri" w:eastAsia="Calibri" w:hAnsi="Calibri" w:cs="Calibri"/>
            <w:color w:val="auto"/>
            <w:sz w:val="12"/>
            <w:szCs w:val="12"/>
          </w:rPr>
          <w:t>*Form of AbbVie Inc. Retenton RSU Agreement – Ratable Vestng (incorporated by reference to Exhibit 10.5 of the company’s Quarterly Report on Form 10-Q for the quarterly period</w:t>
        </w:r>
      </w:hyperlink>
      <w:r>
        <w:rPr>
          <w:rFonts w:ascii="Calibri" w:eastAsia="Calibri" w:hAnsi="Calibri" w:cs="Calibri"/>
          <w:color w:val="auto"/>
          <w:sz w:val="12"/>
          <w:szCs w:val="12"/>
        </w:rPr>
        <w:t xml:space="preserve"> </w:t>
      </w:r>
      <w:hyperlink r:id="rId183">
        <w:r>
          <w:rPr>
            <w:rFonts w:ascii="Calibri" w:eastAsia="Calibri" w:hAnsi="Calibri" w:cs="Calibri"/>
            <w:color w:val="auto"/>
            <w:sz w:val="12"/>
            <w:szCs w:val="12"/>
          </w:rPr>
          <w:t>ended March 31, 2023).**</w:t>
        </w:r>
      </w:hyperlink>
    </w:p>
    <w:p>
      <w:pPr>
        <w:spacing w:after="0" w:line="20" w:lineRule="exact"/>
        <w:rPr>
          <w:rFonts w:ascii="Calibri" w:eastAsia="Calibri" w:hAnsi="Calibri" w:cs="Calibri"/>
          <w:color w:val="auto"/>
          <w:sz w:val="12"/>
          <w:szCs w:val="12"/>
        </w:rPr>
      </w:pPr>
    </w:p>
    <w:p>
      <w:pPr>
        <w:spacing w:after="0" w:line="212" w:lineRule="auto"/>
        <w:ind w:right="1760" w:hanging="371"/>
        <w:rPr>
          <w:rFonts w:ascii="Calibri" w:eastAsia="Calibri" w:hAnsi="Calibri" w:cs="Calibri"/>
          <w:color w:val="auto"/>
          <w:sz w:val="12"/>
          <w:szCs w:val="12"/>
        </w:rPr>
      </w:pPr>
      <w:hyperlink r:id="rId184">
        <w:r>
          <w:rPr>
            <w:rFonts w:ascii="Calibri" w:eastAsia="Calibri" w:hAnsi="Calibri" w:cs="Calibri"/>
            <w:color w:val="auto"/>
            <w:sz w:val="12"/>
            <w:szCs w:val="12"/>
          </w:rPr>
          <w:t>10.35</w:t>
        </w:r>
      </w:hyperlink>
      <w:r>
        <w:rPr>
          <w:rFonts w:ascii="Calibri" w:eastAsia="Calibri" w:hAnsi="Calibri" w:cs="Calibri"/>
          <w:color w:val="auto"/>
          <w:sz w:val="12"/>
          <w:szCs w:val="12"/>
        </w:rPr>
        <w:t xml:space="preserve"> </w:t>
      </w:r>
      <w:hyperlink r:id="rId185">
        <w:r>
          <w:rPr>
            <w:rFonts w:ascii="Calibri" w:eastAsia="Calibri" w:hAnsi="Calibri" w:cs="Calibri"/>
            <w:color w:val="auto"/>
            <w:sz w:val="12"/>
            <w:szCs w:val="12"/>
          </w:rPr>
          <w:t>*Form of AbbVie Non-Employee Directors’ Fee Plan, as amended and restated (incorporated by reference to Exhibit 10.6 of the company’s Quarterly Report on Form 10-Q for the</w:t>
        </w:r>
      </w:hyperlink>
      <w:r>
        <w:rPr>
          <w:rFonts w:ascii="Calibri" w:eastAsia="Calibri" w:hAnsi="Calibri" w:cs="Calibri"/>
          <w:color w:val="auto"/>
          <w:sz w:val="12"/>
          <w:szCs w:val="12"/>
        </w:rPr>
        <w:t xml:space="preserve"> </w:t>
      </w:r>
      <w:hyperlink r:id="rId186">
        <w:r>
          <w:rPr>
            <w:rFonts w:ascii="Calibri" w:eastAsia="Calibri" w:hAnsi="Calibri" w:cs="Calibri"/>
            <w:color w:val="auto"/>
            <w:sz w:val="12"/>
            <w:szCs w:val="12"/>
          </w:rPr>
          <w:t>quarterly period ended March 31, 2023).**</w:t>
        </w:r>
      </w:hyperlink>
    </w:p>
    <w:p>
      <w:pPr>
        <w:spacing w:after="0" w:line="20" w:lineRule="exact"/>
        <w:rPr>
          <w:rFonts w:ascii="Calibri" w:eastAsia="Calibri" w:hAnsi="Calibri" w:cs="Calibri"/>
          <w:color w:val="auto"/>
          <w:sz w:val="12"/>
          <w:szCs w:val="12"/>
        </w:rPr>
      </w:pPr>
    </w:p>
    <w:p>
      <w:pPr>
        <w:spacing w:after="0" w:line="212" w:lineRule="auto"/>
        <w:ind w:right="1900" w:hanging="371"/>
        <w:rPr>
          <w:rFonts w:ascii="Calibri" w:eastAsia="Calibri" w:hAnsi="Calibri" w:cs="Calibri"/>
          <w:color w:val="auto"/>
          <w:sz w:val="12"/>
          <w:szCs w:val="12"/>
        </w:rPr>
      </w:pPr>
      <w:hyperlink r:id="rId187">
        <w:r>
          <w:rPr>
            <w:rFonts w:ascii="Calibri" w:eastAsia="Calibri" w:hAnsi="Calibri" w:cs="Calibri"/>
            <w:color w:val="auto"/>
            <w:sz w:val="12"/>
            <w:szCs w:val="12"/>
          </w:rPr>
          <w:t>10.36</w:t>
        </w:r>
      </w:hyperlink>
      <w:r>
        <w:rPr>
          <w:rFonts w:ascii="Calibri" w:eastAsia="Calibri" w:hAnsi="Calibri" w:cs="Calibri"/>
          <w:color w:val="auto"/>
          <w:sz w:val="12"/>
          <w:szCs w:val="12"/>
        </w:rPr>
        <w:t xml:space="preserve"> </w:t>
      </w:r>
      <w:hyperlink r:id="rId188">
        <w:r>
          <w:rPr>
            <w:rFonts w:ascii="Calibri" w:eastAsia="Calibri" w:hAnsi="Calibri" w:cs="Calibri"/>
            <w:color w:val="auto"/>
            <w:sz w:val="12"/>
            <w:szCs w:val="12"/>
          </w:rPr>
          <w:t xml:space="preserve">*Form of AbbVie Inc. Performance-Vested Restricted Stock Unit Agreement </w:t>
        </w:r>
      </w:hyperlink>
      <w:r>
        <w:rPr>
          <w:rFonts w:ascii="Calibri" w:eastAsia="Calibri" w:hAnsi="Calibri" w:cs="Calibri"/>
          <w:color w:val="auto"/>
          <w:sz w:val="12"/>
          <w:szCs w:val="12"/>
        </w:rPr>
        <w:t>(incorporated by reference to Exhibit 10.1 of the company’s Quarterly Report on Form 10-Q for the quarterly period ended March 31, 2024).**</w:t>
      </w:r>
    </w:p>
    <w:p>
      <w:pPr>
        <w:spacing w:after="0" w:line="20" w:lineRule="exact"/>
        <w:rPr>
          <w:color w:val="auto"/>
          <w:sz w:val="20"/>
          <w:szCs w:val="20"/>
        </w:rPr>
      </w:pPr>
    </w:p>
    <w:p>
      <w:pPr>
        <w:spacing w:after="0" w:line="212" w:lineRule="auto"/>
        <w:ind w:right="1500" w:hanging="371"/>
        <w:rPr>
          <w:rFonts w:ascii="Calibri" w:eastAsia="Calibri" w:hAnsi="Calibri" w:cs="Calibri"/>
          <w:color w:val="auto"/>
          <w:sz w:val="12"/>
          <w:szCs w:val="12"/>
        </w:rPr>
      </w:pPr>
      <w:hyperlink r:id="rId189">
        <w:r>
          <w:rPr>
            <w:rFonts w:ascii="Calibri" w:eastAsia="Calibri" w:hAnsi="Calibri" w:cs="Calibri"/>
            <w:color w:val="auto"/>
            <w:sz w:val="12"/>
            <w:szCs w:val="12"/>
          </w:rPr>
          <w:t>10.37</w:t>
        </w:r>
      </w:hyperlink>
      <w:r>
        <w:rPr>
          <w:rFonts w:ascii="Calibri" w:eastAsia="Calibri" w:hAnsi="Calibri" w:cs="Calibri"/>
          <w:color w:val="auto"/>
          <w:sz w:val="12"/>
          <w:szCs w:val="12"/>
        </w:rPr>
        <w:t xml:space="preserve"> </w:t>
      </w:r>
      <w:hyperlink r:id="rId190">
        <w:r>
          <w:rPr>
            <w:rFonts w:ascii="Calibri" w:eastAsia="Calibri" w:hAnsi="Calibri" w:cs="Calibri"/>
            <w:color w:val="auto"/>
            <w:sz w:val="12"/>
            <w:szCs w:val="12"/>
          </w:rPr>
          <w:t xml:space="preserve">*Form of AbbVie Inc. Performance Share Award Agreement </w:t>
        </w:r>
      </w:hyperlink>
      <w:r>
        <w:rPr>
          <w:rFonts w:ascii="Calibri" w:eastAsia="Calibri" w:hAnsi="Calibri" w:cs="Calibri"/>
          <w:color w:val="auto"/>
          <w:sz w:val="12"/>
          <w:szCs w:val="12"/>
        </w:rPr>
        <w:t>(incorporated by reference to Exhibit 10.2 of the company’s Quarterly Report on Form 10-Q for the quarterly period ended March 31, 2024).**</w:t>
      </w:r>
    </w:p>
    <w:p>
      <w:pPr>
        <w:spacing w:after="0" w:line="20" w:lineRule="exact"/>
        <w:rPr>
          <w:color w:val="auto"/>
          <w:sz w:val="20"/>
          <w:szCs w:val="20"/>
        </w:rPr>
      </w:pPr>
    </w:p>
    <w:p>
      <w:pPr>
        <w:spacing w:after="0" w:line="212" w:lineRule="auto"/>
        <w:ind w:right="1520" w:hanging="371"/>
        <w:rPr>
          <w:rFonts w:ascii="Calibri" w:eastAsia="Calibri" w:hAnsi="Calibri" w:cs="Calibri"/>
          <w:color w:val="auto"/>
          <w:sz w:val="12"/>
          <w:szCs w:val="12"/>
        </w:rPr>
      </w:pPr>
      <w:hyperlink r:id="rId191">
        <w:r>
          <w:rPr>
            <w:rFonts w:ascii="Calibri" w:eastAsia="Calibri" w:hAnsi="Calibri" w:cs="Calibri"/>
            <w:color w:val="auto"/>
            <w:sz w:val="12"/>
            <w:szCs w:val="12"/>
          </w:rPr>
          <w:t>10.38</w:t>
        </w:r>
      </w:hyperlink>
      <w:r>
        <w:rPr>
          <w:rFonts w:ascii="Calibri" w:eastAsia="Calibri" w:hAnsi="Calibri" w:cs="Calibri"/>
          <w:color w:val="auto"/>
          <w:sz w:val="12"/>
          <w:szCs w:val="12"/>
        </w:rPr>
        <w:t xml:space="preserve"> </w:t>
      </w:r>
      <w:hyperlink r:id="rId192">
        <w:r>
          <w:rPr>
            <w:rFonts w:ascii="Calibri" w:eastAsia="Calibri" w:hAnsi="Calibri" w:cs="Calibri"/>
            <w:color w:val="auto"/>
            <w:sz w:val="12"/>
            <w:szCs w:val="12"/>
          </w:rPr>
          <w:t xml:space="preserve">*Form of AbbVie Inc. Non-Employee Director RSU Agreement (US) </w:t>
        </w:r>
      </w:hyperlink>
      <w:r>
        <w:rPr>
          <w:rFonts w:ascii="Calibri" w:eastAsia="Calibri" w:hAnsi="Calibri" w:cs="Calibri"/>
          <w:color w:val="auto"/>
          <w:sz w:val="12"/>
          <w:szCs w:val="12"/>
        </w:rPr>
        <w:t>(incorporated by reference to Exhibit 10.3 of the company’s Quarterly Report on Form 10-Q for the quarterly period ended March 31, 2024).**</w:t>
      </w:r>
    </w:p>
    <w:p>
      <w:pPr>
        <w:spacing w:after="0" w:line="20" w:lineRule="exact"/>
        <w:rPr>
          <w:color w:val="auto"/>
          <w:sz w:val="20"/>
          <w:szCs w:val="20"/>
        </w:rPr>
      </w:pPr>
    </w:p>
    <w:p>
      <w:pPr>
        <w:spacing w:after="0" w:line="212" w:lineRule="auto"/>
        <w:ind w:right="1780" w:hanging="371"/>
        <w:rPr>
          <w:rFonts w:ascii="Calibri" w:eastAsia="Calibri" w:hAnsi="Calibri" w:cs="Calibri"/>
          <w:color w:val="auto"/>
          <w:sz w:val="12"/>
          <w:szCs w:val="12"/>
        </w:rPr>
      </w:pPr>
      <w:hyperlink r:id="rId193">
        <w:r>
          <w:rPr>
            <w:rFonts w:ascii="Calibri" w:eastAsia="Calibri" w:hAnsi="Calibri" w:cs="Calibri"/>
            <w:color w:val="auto"/>
            <w:sz w:val="12"/>
            <w:szCs w:val="12"/>
          </w:rPr>
          <w:t>10.39</w:t>
        </w:r>
      </w:hyperlink>
      <w:r>
        <w:rPr>
          <w:rFonts w:ascii="Calibri" w:eastAsia="Calibri" w:hAnsi="Calibri" w:cs="Calibri"/>
          <w:color w:val="auto"/>
          <w:sz w:val="12"/>
          <w:szCs w:val="12"/>
        </w:rPr>
        <w:t xml:space="preserve"> </w:t>
      </w:r>
      <w:hyperlink r:id="rId194">
        <w:r>
          <w:rPr>
            <w:rFonts w:ascii="Calibri" w:eastAsia="Calibri" w:hAnsi="Calibri" w:cs="Calibri"/>
            <w:color w:val="auto"/>
            <w:sz w:val="12"/>
            <w:szCs w:val="12"/>
          </w:rPr>
          <w:t xml:space="preserve">*Form of AbbVie Inc. Non-Qualifed Stock Opton Agreement </w:t>
        </w:r>
      </w:hyperlink>
      <w:r>
        <w:rPr>
          <w:rFonts w:ascii="Calibri" w:eastAsia="Calibri" w:hAnsi="Calibri" w:cs="Calibri"/>
          <w:color w:val="auto"/>
          <w:sz w:val="12"/>
          <w:szCs w:val="12"/>
        </w:rPr>
        <w:t>(incorporated by reference to Exhibit 10.4 of the company’s Quarterly Report on Form 10-Q for the quarterly period ended March 31, 2024).**</w:t>
      </w:r>
    </w:p>
    <w:p>
      <w:pPr>
        <w:spacing w:after="0" w:line="20" w:lineRule="exact"/>
        <w:rPr>
          <w:color w:val="auto"/>
          <w:sz w:val="20"/>
          <w:szCs w:val="20"/>
        </w:rPr>
      </w:pPr>
    </w:p>
    <w:p>
      <w:pPr>
        <w:spacing w:after="0" w:line="212" w:lineRule="auto"/>
        <w:ind w:right="1580" w:hanging="371"/>
        <w:rPr>
          <w:rFonts w:ascii="Calibri" w:eastAsia="Calibri" w:hAnsi="Calibri" w:cs="Calibri"/>
          <w:color w:val="auto"/>
          <w:sz w:val="12"/>
          <w:szCs w:val="12"/>
        </w:rPr>
      </w:pPr>
      <w:hyperlink r:id="rId195">
        <w:r>
          <w:rPr>
            <w:rFonts w:ascii="Calibri" w:eastAsia="Calibri" w:hAnsi="Calibri" w:cs="Calibri"/>
            <w:color w:val="auto"/>
            <w:sz w:val="12"/>
            <w:szCs w:val="12"/>
          </w:rPr>
          <w:t>10.40</w:t>
        </w:r>
      </w:hyperlink>
      <w:r>
        <w:rPr>
          <w:rFonts w:ascii="Calibri" w:eastAsia="Calibri" w:hAnsi="Calibri" w:cs="Calibri"/>
          <w:color w:val="auto"/>
          <w:sz w:val="12"/>
          <w:szCs w:val="12"/>
        </w:rPr>
        <w:t xml:space="preserve"> </w:t>
      </w:r>
      <w:hyperlink r:id="rId196">
        <w:r>
          <w:rPr>
            <w:rFonts w:ascii="Calibri" w:eastAsia="Calibri" w:hAnsi="Calibri" w:cs="Calibri"/>
            <w:color w:val="auto"/>
            <w:sz w:val="12"/>
            <w:szCs w:val="12"/>
          </w:rPr>
          <w:t xml:space="preserve">*Form of AbbVie Inc. Retenton RSU Agreement - Ratable Vestng </w:t>
        </w:r>
      </w:hyperlink>
      <w:r>
        <w:rPr>
          <w:rFonts w:ascii="Calibri" w:eastAsia="Calibri" w:hAnsi="Calibri" w:cs="Calibri"/>
          <w:color w:val="auto"/>
          <w:sz w:val="12"/>
          <w:szCs w:val="12"/>
        </w:rPr>
        <w:t>(incorporated by reference to Exhibit 10.5 of the company’s Quarterly Report on Form 10-Q for the quarterly period ended March 31, 2024).**</w:t>
      </w:r>
    </w:p>
    <w:p>
      <w:pPr>
        <w:spacing w:after="0" w:line="20" w:lineRule="exact"/>
        <w:rPr>
          <w:color w:val="auto"/>
          <w:sz w:val="20"/>
          <w:szCs w:val="20"/>
        </w:rPr>
      </w:pPr>
    </w:p>
    <w:p>
      <w:pPr>
        <w:spacing w:after="0" w:line="212" w:lineRule="auto"/>
        <w:ind w:right="1540" w:hanging="371"/>
        <w:rPr>
          <w:rFonts w:ascii="Calibri" w:eastAsia="Calibri" w:hAnsi="Calibri" w:cs="Calibri"/>
          <w:color w:val="auto"/>
          <w:sz w:val="12"/>
          <w:szCs w:val="12"/>
        </w:rPr>
      </w:pPr>
      <w:hyperlink r:id="rId197">
        <w:r>
          <w:rPr>
            <w:rFonts w:ascii="Calibri" w:eastAsia="Calibri" w:hAnsi="Calibri" w:cs="Calibri"/>
            <w:color w:val="auto"/>
            <w:sz w:val="12"/>
            <w:szCs w:val="12"/>
          </w:rPr>
          <w:t>10.41</w:t>
        </w:r>
      </w:hyperlink>
      <w:r>
        <w:rPr>
          <w:rFonts w:ascii="Calibri" w:eastAsia="Calibri" w:hAnsi="Calibri" w:cs="Calibri"/>
          <w:color w:val="auto"/>
          <w:sz w:val="12"/>
          <w:szCs w:val="12"/>
        </w:rPr>
        <w:t xml:space="preserve"> </w:t>
      </w:r>
      <w:hyperlink r:id="rId198">
        <w:r>
          <w:rPr>
            <w:rFonts w:ascii="Calibri" w:eastAsia="Calibri" w:hAnsi="Calibri" w:cs="Calibri"/>
            <w:color w:val="auto"/>
            <w:sz w:val="12"/>
            <w:szCs w:val="12"/>
          </w:rPr>
          <w:t>*Form of Agreement Regarding Change in Control by and between AbbVie Inc. and its ofcers (incorporated by reference to Exhibit 10.1 to the company's Current Report on Form 8-K</w:t>
        </w:r>
      </w:hyperlink>
      <w:r>
        <w:rPr>
          <w:rFonts w:ascii="Calibri" w:eastAsia="Calibri" w:hAnsi="Calibri" w:cs="Calibri"/>
          <w:color w:val="auto"/>
          <w:sz w:val="12"/>
          <w:szCs w:val="12"/>
        </w:rPr>
        <w:t xml:space="preserve"> </w:t>
      </w:r>
      <w:hyperlink r:id="rId199">
        <w:r>
          <w:rPr>
            <w:rFonts w:ascii="Calibri" w:eastAsia="Calibri" w:hAnsi="Calibri" w:cs="Calibri"/>
            <w:color w:val="auto"/>
            <w:sz w:val="12"/>
            <w:szCs w:val="12"/>
          </w:rPr>
          <w:t>fled on October 14, 2022).**</w:t>
        </w:r>
      </w:hyperlink>
    </w:p>
    <w:p>
      <w:pPr>
        <w:spacing w:after="0" w:line="16" w:lineRule="exact"/>
        <w:rPr>
          <w:rFonts w:ascii="Calibri" w:eastAsia="Calibri" w:hAnsi="Calibri" w:cs="Calibri"/>
          <w:color w:val="auto"/>
          <w:sz w:val="12"/>
          <w:szCs w:val="12"/>
        </w:rPr>
      </w:pPr>
    </w:p>
    <w:p>
      <w:pPr>
        <w:sectPr>
          <w:pgSz w:w="11900" w:h="16838" w:orient="portrait"/>
          <w:pgMar w:top="678" w:right="299" w:bottom="1440" w:left="300" w:header="0" w:footer="0" w:gutter="0"/>
          <w:cols w:num="2" w:space="720" w:equalWidth="0">
            <w:col w:w="680" w:space="460"/>
            <w:col w:w="10160" w:space="0"/>
          </w:cols>
        </w:sectPr>
      </w:pPr>
    </w:p>
    <w:p>
      <w:pPr>
        <w:tabs>
          <w:tab w:val="left" w:pos="1120"/>
        </w:tabs>
        <w:spacing w:after="0"/>
        <w:ind w:left="920"/>
        <w:rPr>
          <w:color w:val="auto"/>
          <w:sz w:val="20"/>
          <w:szCs w:val="20"/>
        </w:rPr>
      </w:pPr>
      <w:r>
        <w:rPr>
          <w:rFonts w:ascii="Calibri" w:eastAsia="Calibri" w:hAnsi="Calibri" w:cs="Calibri"/>
          <w:color w:val="auto"/>
          <w:sz w:val="12"/>
          <w:szCs w:val="12"/>
        </w:rPr>
        <w:t>19</w:t>
      </w:r>
      <w:r>
        <w:rPr>
          <w:color w:val="auto"/>
          <w:sz w:val="20"/>
          <w:szCs w:val="20"/>
        </w:rPr>
        <w:tab/>
      </w:r>
      <w:r>
        <w:rPr>
          <w:rFonts w:ascii="Calibri" w:eastAsia="Calibri" w:hAnsi="Calibri" w:cs="Calibri"/>
          <w:color w:val="auto"/>
          <w:sz w:val="11"/>
          <w:szCs w:val="11"/>
        </w:rPr>
        <w:t>Insider Trading Policy</w:t>
      </w:r>
    </w:p>
    <w:p>
      <w:pPr>
        <w:spacing w:after="0" w:line="7" w:lineRule="exact"/>
        <w:rPr>
          <w:rFonts w:ascii="Calibri" w:eastAsia="Calibri" w:hAnsi="Calibri" w:cs="Calibri"/>
          <w:color w:val="auto"/>
          <w:sz w:val="12"/>
          <w:szCs w:val="12"/>
        </w:rPr>
      </w:pPr>
    </w:p>
    <w:p>
      <w:pPr>
        <w:tabs>
          <w:tab w:val="left" w:pos="1120"/>
        </w:tabs>
        <w:spacing w:after="0"/>
        <w:ind w:left="920"/>
        <w:rPr>
          <w:color w:val="auto"/>
          <w:sz w:val="20"/>
          <w:szCs w:val="20"/>
        </w:rPr>
      </w:pPr>
      <w:r>
        <w:rPr>
          <w:rFonts w:ascii="Calibri" w:eastAsia="Calibri" w:hAnsi="Calibri" w:cs="Calibri"/>
          <w:color w:val="auto"/>
          <w:sz w:val="12"/>
          <w:szCs w:val="12"/>
        </w:rPr>
        <w:t>21</w:t>
      </w:r>
      <w:r>
        <w:rPr>
          <w:color w:val="auto"/>
          <w:sz w:val="20"/>
          <w:szCs w:val="20"/>
        </w:rPr>
        <w:tab/>
      </w:r>
      <w:r>
        <w:rPr>
          <w:rFonts w:ascii="Calibri" w:eastAsia="Calibri" w:hAnsi="Calibri" w:cs="Calibri"/>
          <w:color w:val="auto"/>
          <w:sz w:val="11"/>
          <w:szCs w:val="11"/>
        </w:rPr>
        <w:t>Subsidiaries of AbbVie Inc.</w:t>
      </w:r>
    </w:p>
    <w:p>
      <w:pPr>
        <w:spacing w:after="0" w:line="7" w:lineRule="exact"/>
        <w:rPr>
          <w:rFonts w:ascii="Calibri" w:eastAsia="Calibri" w:hAnsi="Calibri" w:cs="Calibri"/>
          <w:color w:val="auto"/>
          <w:sz w:val="12"/>
          <w:szCs w:val="12"/>
        </w:rPr>
      </w:pPr>
    </w:p>
    <w:p>
      <w:pPr>
        <w:tabs>
          <w:tab w:val="left" w:pos="1120"/>
        </w:tabs>
        <w:spacing w:after="0"/>
        <w:ind w:left="920"/>
        <w:rPr>
          <w:color w:val="auto"/>
          <w:sz w:val="20"/>
          <w:szCs w:val="20"/>
        </w:rPr>
      </w:pPr>
      <w:r>
        <w:rPr>
          <w:rFonts w:ascii="Calibri" w:eastAsia="Calibri" w:hAnsi="Calibri" w:cs="Calibri"/>
          <w:color w:val="auto"/>
          <w:sz w:val="12"/>
          <w:szCs w:val="12"/>
        </w:rPr>
        <w:t>23</w:t>
      </w:r>
      <w:r>
        <w:rPr>
          <w:color w:val="auto"/>
          <w:sz w:val="20"/>
          <w:szCs w:val="20"/>
        </w:rPr>
        <w:tab/>
      </w:r>
      <w:r>
        <w:rPr>
          <w:rFonts w:ascii="Calibri" w:eastAsia="Calibri" w:hAnsi="Calibri" w:cs="Calibri"/>
          <w:color w:val="auto"/>
          <w:sz w:val="11"/>
          <w:szCs w:val="11"/>
        </w:rPr>
        <w:t>Consent of Independent Registered Public Accountng Firm.</w:t>
      </w:r>
    </w:p>
    <w:p>
      <w:pPr>
        <w:spacing w:after="0" w:line="7" w:lineRule="exact"/>
        <w:rPr>
          <w:rFonts w:ascii="Calibri" w:eastAsia="Calibri" w:hAnsi="Calibri" w:cs="Calibri"/>
          <w:color w:val="auto"/>
          <w:sz w:val="12"/>
          <w:szCs w:val="12"/>
        </w:rPr>
      </w:pPr>
    </w:p>
    <w:p>
      <w:pPr>
        <w:tabs>
          <w:tab w:val="left" w:pos="1120"/>
        </w:tabs>
        <w:spacing w:after="0"/>
        <w:ind w:left="820"/>
        <w:rPr>
          <w:color w:val="auto"/>
          <w:sz w:val="20"/>
          <w:szCs w:val="20"/>
        </w:rPr>
      </w:pPr>
      <w:r>
        <w:rPr>
          <w:rFonts w:ascii="Calibri" w:eastAsia="Calibri" w:hAnsi="Calibri" w:cs="Calibri"/>
          <w:color w:val="auto"/>
          <w:sz w:val="12"/>
          <w:szCs w:val="12"/>
        </w:rPr>
        <w:t>31.1</w:t>
        <w:tab/>
        <w:t>Certfcaton of Chief Executve Ofcer Required by Rule 13a-14(a) (17 CFR 240.13a-14(a)).</w:t>
      </w:r>
    </w:p>
    <w:p>
      <w:pPr>
        <w:spacing w:after="0" w:line="7" w:lineRule="exact"/>
        <w:rPr>
          <w:rFonts w:ascii="Calibri" w:eastAsia="Calibri" w:hAnsi="Calibri" w:cs="Calibri"/>
          <w:color w:val="auto"/>
          <w:sz w:val="12"/>
          <w:szCs w:val="12"/>
        </w:rPr>
      </w:pPr>
    </w:p>
    <w:p>
      <w:pPr>
        <w:tabs>
          <w:tab w:val="left" w:pos="1120"/>
        </w:tabs>
        <w:spacing w:after="0"/>
        <w:ind w:left="820"/>
        <w:rPr>
          <w:color w:val="auto"/>
          <w:sz w:val="20"/>
          <w:szCs w:val="20"/>
        </w:rPr>
      </w:pPr>
      <w:r>
        <w:rPr>
          <w:rFonts w:ascii="Calibri" w:eastAsia="Calibri" w:hAnsi="Calibri" w:cs="Calibri"/>
          <w:color w:val="auto"/>
          <w:sz w:val="12"/>
          <w:szCs w:val="12"/>
        </w:rPr>
        <w:t>31.2</w:t>
        <w:tab/>
        <w:t>Certfcaton of Chief Financial Ofcer Required by Rule 13a-14(a) (17 CFR 240.13a-14(a)).</w:t>
      </w:r>
    </w:p>
    <w:p>
      <w:pPr>
        <w:spacing w:after="0" w:line="7" w:lineRule="exact"/>
        <w:rPr>
          <w:rFonts w:ascii="Calibri" w:eastAsia="Calibri" w:hAnsi="Calibri" w:cs="Calibri"/>
          <w:color w:val="auto"/>
          <w:sz w:val="12"/>
          <w:szCs w:val="12"/>
        </w:rPr>
      </w:pPr>
    </w:p>
    <w:p>
      <w:pPr>
        <w:tabs>
          <w:tab w:val="left" w:pos="1120"/>
        </w:tabs>
        <w:spacing w:after="0"/>
        <w:ind w:left="820"/>
        <w:rPr>
          <w:color w:val="auto"/>
          <w:sz w:val="20"/>
          <w:szCs w:val="20"/>
        </w:rPr>
      </w:pPr>
      <w:r>
        <w:rPr>
          <w:rFonts w:ascii="Calibri" w:eastAsia="Calibri" w:hAnsi="Calibri" w:cs="Calibri"/>
          <w:color w:val="auto"/>
          <w:sz w:val="12"/>
          <w:szCs w:val="12"/>
        </w:rPr>
        <w:t>32.1</w:t>
        <w:tab/>
        <w:t>Certfcaton of Chief Executve Ofcer Pursuant to 18 U.S.C. Secton 1350, as adopted pursuant to Secton 906 of the Sarbanes-Oxley Act of 2002.</w:t>
      </w:r>
    </w:p>
    <w:p>
      <w:pPr>
        <w:spacing w:after="0" w:line="7" w:lineRule="exact"/>
        <w:rPr>
          <w:rFonts w:ascii="Calibri" w:eastAsia="Calibri" w:hAnsi="Calibri" w:cs="Calibri"/>
          <w:color w:val="auto"/>
          <w:sz w:val="12"/>
          <w:szCs w:val="12"/>
        </w:rPr>
      </w:pPr>
    </w:p>
    <w:p>
      <w:pPr>
        <w:tabs>
          <w:tab w:val="left" w:pos="1120"/>
        </w:tabs>
        <w:spacing w:after="0"/>
        <w:ind w:left="820"/>
        <w:rPr>
          <w:color w:val="auto"/>
          <w:sz w:val="20"/>
          <w:szCs w:val="20"/>
        </w:rPr>
      </w:pPr>
      <w:r>
        <w:rPr>
          <w:rFonts w:ascii="Calibri" w:eastAsia="Calibri" w:hAnsi="Calibri" w:cs="Calibri"/>
          <w:color w:val="auto"/>
          <w:sz w:val="12"/>
          <w:szCs w:val="12"/>
        </w:rPr>
        <w:t>32.2</w:t>
        <w:tab/>
        <w:t>Certfcaton of Chief Financial Ofcer Pursuant to 18 U.S.C. Secton 1350, as adopted pursuant to Secton 906 of the Sarbanes-Oxley Act of 2002.</w:t>
      </w:r>
    </w:p>
    <w:p>
      <w:pPr>
        <w:spacing w:after="0" w:line="11" w:lineRule="exact"/>
        <w:rPr>
          <w:rFonts w:ascii="Calibri" w:eastAsia="Calibri" w:hAnsi="Calibri" w:cs="Calibri"/>
          <w:color w:val="auto"/>
          <w:sz w:val="12"/>
          <w:szCs w:val="12"/>
        </w:rPr>
      </w:pPr>
    </w:p>
    <w:p>
      <w:pPr>
        <w:numPr>
          <w:ilvl w:val="0"/>
          <w:numId w:val="36"/>
        </w:numPr>
        <w:tabs>
          <w:tab w:val="left" w:pos="1140"/>
        </w:tabs>
        <w:spacing w:after="0" w:line="212" w:lineRule="auto"/>
        <w:ind w:left="1140" w:right="1660" w:hanging="226"/>
        <w:rPr>
          <w:rFonts w:ascii="Calibri" w:eastAsia="Calibri" w:hAnsi="Calibri" w:cs="Calibri"/>
          <w:color w:val="auto"/>
          <w:sz w:val="12"/>
          <w:szCs w:val="12"/>
        </w:rPr>
      </w:pPr>
      <w:hyperlink r:id="rId200">
        <w:r>
          <w:rPr>
            <w:rFonts w:ascii="Calibri" w:eastAsia="Calibri" w:hAnsi="Calibri" w:cs="Calibri"/>
            <w:color w:val="auto"/>
            <w:sz w:val="12"/>
            <w:szCs w:val="12"/>
          </w:rPr>
          <w:t>*AbbVie Inc. Amended and Restated Clawback Policy (incorporated by reference to Exhibit 97 of the company’s Annual Report on Form 10-K for the fscal year ended December 31,</w:t>
        </w:r>
      </w:hyperlink>
      <w:r>
        <w:rPr>
          <w:rFonts w:ascii="Calibri" w:eastAsia="Calibri" w:hAnsi="Calibri" w:cs="Calibri"/>
          <w:color w:val="auto"/>
          <w:sz w:val="12"/>
          <w:szCs w:val="12"/>
        </w:rPr>
        <w:t xml:space="preserve"> </w:t>
      </w:r>
      <w:hyperlink r:id="rId201">
        <w:r>
          <w:rPr>
            <w:rFonts w:ascii="Calibri" w:eastAsia="Calibri" w:hAnsi="Calibri" w:cs="Calibri"/>
            <w:color w:val="auto"/>
            <w:sz w:val="12"/>
            <w:szCs w:val="12"/>
          </w:rPr>
          <w:t>2023).**</w:t>
        </w:r>
      </w:hyperlink>
    </w:p>
    <w:p>
      <w:pPr>
        <w:spacing w:after="0" w:line="20" w:lineRule="exact"/>
        <w:rPr>
          <w:rFonts w:ascii="Calibri" w:eastAsia="Calibri" w:hAnsi="Calibri" w:cs="Calibri"/>
          <w:color w:val="auto"/>
          <w:sz w:val="12"/>
          <w:szCs w:val="12"/>
        </w:rPr>
      </w:pPr>
    </w:p>
    <w:p>
      <w:pPr>
        <w:numPr>
          <w:ilvl w:val="0"/>
          <w:numId w:val="37"/>
        </w:numPr>
        <w:tabs>
          <w:tab w:val="left" w:pos="1140"/>
        </w:tabs>
        <w:spacing w:after="0" w:line="210" w:lineRule="auto"/>
        <w:ind w:left="1140" w:right="1580" w:hanging="285"/>
        <w:rPr>
          <w:rFonts w:ascii="Calibri" w:eastAsia="Calibri" w:hAnsi="Calibri" w:cs="Calibri"/>
          <w:color w:val="auto"/>
          <w:sz w:val="12"/>
          <w:szCs w:val="12"/>
        </w:rPr>
      </w:pPr>
      <w:r>
        <w:rPr>
          <w:rFonts w:ascii="Calibri" w:eastAsia="Calibri" w:hAnsi="Calibri" w:cs="Calibri"/>
          <w:color w:val="auto"/>
          <w:sz w:val="12"/>
          <w:szCs w:val="12"/>
        </w:rPr>
        <w:t>The following fnancial statements and notes from the AbbVie Inc. Annual Report on Form 10-K for the year ended December 31, 2024 fled on February 14, 2025, formated in Inline XBRL (eXtensible Business Reportng Language): (i) Consolidated Statements of Earnings; (ii) Consolidated Statements of Comprehensive Income; (iii) Consolidated Balance Sheets; (iv) Consolidated Statements of Equity; (v) Consolidated Statements of Cash Flows; and (vi) the Notes to Consolidated Financial Statements.</w:t>
      </w:r>
    </w:p>
    <w:p>
      <w:pPr>
        <w:spacing w:after="0" w:line="11" w:lineRule="exact"/>
        <w:rPr>
          <w:rFonts w:ascii="Calibri" w:eastAsia="Calibri" w:hAnsi="Calibri" w:cs="Calibri"/>
          <w:color w:val="auto"/>
          <w:sz w:val="12"/>
          <w:szCs w:val="12"/>
        </w:rPr>
      </w:pPr>
    </w:p>
    <w:p>
      <w:pPr>
        <w:numPr>
          <w:ilvl w:val="0"/>
          <w:numId w:val="38"/>
        </w:numPr>
        <w:tabs>
          <w:tab w:val="left" w:pos="1140"/>
        </w:tabs>
        <w:spacing w:after="0" w:line="287" w:lineRule="auto"/>
        <w:ind w:left="1140" w:right="2680" w:hanging="285"/>
        <w:rPr>
          <w:rFonts w:ascii="Calibri" w:eastAsia="Calibri" w:hAnsi="Calibri" w:cs="Calibri"/>
          <w:color w:val="auto"/>
          <w:sz w:val="11"/>
          <w:szCs w:val="11"/>
        </w:rPr>
      </w:pPr>
      <w:r>
        <w:rPr>
          <w:rFonts w:ascii="Calibri" w:eastAsia="Calibri" w:hAnsi="Calibri" w:cs="Calibri"/>
          <w:color w:val="auto"/>
          <w:sz w:val="11"/>
          <w:szCs w:val="11"/>
        </w:rPr>
        <w:t>Cover Page Interactve Data File (the cover page from the AbbVie Inc. Annual Report on Form 10-K formated as Inline XBRL and contained in Exhibit 101). The AbbVie Inc. 2025 Defnitve Proxy Statement will be fled with the Securites and Exchange Commission under separate cover on or about March 24, 2025.</w:t>
      </w:r>
    </w:p>
    <w:p>
      <w:pPr>
        <w:spacing w:after="0" w:line="188" w:lineRule="exact"/>
        <w:rPr>
          <w:rFonts w:ascii="Calibri" w:eastAsia="Calibri" w:hAnsi="Calibri" w:cs="Calibri"/>
          <w:color w:val="auto"/>
          <w:sz w:val="12"/>
          <w:szCs w:val="12"/>
        </w:rPr>
      </w:pPr>
    </w:p>
    <w:p>
      <w:pPr>
        <w:spacing w:after="0"/>
        <w:rPr>
          <w:color w:val="auto"/>
          <w:sz w:val="20"/>
          <w:szCs w:val="20"/>
        </w:rPr>
      </w:pPr>
      <w:r>
        <w:rPr>
          <w:rFonts w:ascii="Calibri" w:eastAsia="Calibri" w:hAnsi="Calibri" w:cs="Calibri"/>
          <w:color w:val="auto"/>
          <w:sz w:val="10"/>
          <w:szCs w:val="10"/>
        </w:rPr>
        <w:t>_______________________________________________________________________________</w:t>
      </w:r>
    </w:p>
    <w:p>
      <w:pPr>
        <w:spacing w:after="0" w:line="94" w:lineRule="exact"/>
        <w:rPr>
          <w:rFonts w:ascii="Calibri" w:eastAsia="Calibri" w:hAnsi="Calibri" w:cs="Calibri"/>
          <w:color w:val="auto"/>
          <w:sz w:val="12"/>
          <w:szCs w:val="12"/>
        </w:rPr>
      </w:pPr>
    </w:p>
    <w:p>
      <w:pPr>
        <w:tabs>
          <w:tab w:val="left" w:pos="140"/>
        </w:tabs>
        <w:spacing w:after="0"/>
        <w:rPr>
          <w:color w:val="auto"/>
          <w:sz w:val="20"/>
          <w:szCs w:val="20"/>
        </w:rPr>
      </w:pPr>
      <w:r>
        <w:rPr>
          <w:rFonts w:ascii="Calibri" w:eastAsia="Calibri" w:hAnsi="Calibri" w:cs="Calibri"/>
          <w:color w:val="auto"/>
          <w:sz w:val="12"/>
          <w:szCs w:val="12"/>
        </w:rPr>
        <w:t>*</w:t>
      </w:r>
      <w:r>
        <w:rPr>
          <w:color w:val="auto"/>
          <w:sz w:val="20"/>
          <w:szCs w:val="20"/>
        </w:rPr>
        <w:tab/>
      </w:r>
      <w:r>
        <w:rPr>
          <w:rFonts w:ascii="Calibri" w:eastAsia="Calibri" w:hAnsi="Calibri" w:cs="Calibri"/>
          <w:color w:val="auto"/>
          <w:sz w:val="11"/>
          <w:szCs w:val="11"/>
        </w:rPr>
        <w:t>Incorporated herein by reference. Commission fle number 001-35565.</w:t>
      </w:r>
    </w:p>
    <w:p>
      <w:pPr>
        <w:tabs>
          <w:tab w:val="left" w:pos="200"/>
        </w:tabs>
        <w:spacing w:after="0"/>
        <w:rPr>
          <w:color w:val="auto"/>
          <w:sz w:val="20"/>
          <w:szCs w:val="20"/>
        </w:rPr>
      </w:pPr>
      <w:r>
        <w:rPr>
          <w:rFonts w:ascii="Calibri" w:eastAsia="Calibri" w:hAnsi="Calibri" w:cs="Calibri"/>
          <w:color w:val="auto"/>
          <w:sz w:val="12"/>
          <w:szCs w:val="12"/>
        </w:rPr>
        <w:t>**</w:t>
      </w:r>
      <w:r>
        <w:rPr>
          <w:color w:val="auto"/>
          <w:sz w:val="20"/>
          <w:szCs w:val="20"/>
        </w:rPr>
        <w:tab/>
      </w:r>
      <w:r>
        <w:rPr>
          <w:rFonts w:ascii="Calibri" w:eastAsia="Calibri" w:hAnsi="Calibri" w:cs="Calibri"/>
          <w:color w:val="auto"/>
          <w:sz w:val="11"/>
          <w:szCs w:val="11"/>
        </w:rPr>
        <w:t>Denotes management contract or compensatory plan or arrangement required to be fled as an exhibit hereto.</w:t>
      </w:r>
    </w:p>
    <w:p>
      <w:pPr>
        <w:spacing w:after="0" w:line="165" w:lineRule="exact"/>
        <w:rPr>
          <w:rFonts w:ascii="Calibri" w:eastAsia="Calibri" w:hAnsi="Calibri" w:cs="Calibri"/>
          <w:color w:val="auto"/>
          <w:sz w:val="12"/>
          <w:szCs w:val="12"/>
        </w:rPr>
      </w:pPr>
    </w:p>
    <w:p>
      <w:pPr>
        <w:spacing w:after="0" w:line="234" w:lineRule="auto"/>
        <w:ind w:right="180" w:firstLine="106"/>
        <w:rPr>
          <w:color w:val="auto"/>
          <w:sz w:val="20"/>
          <w:szCs w:val="20"/>
        </w:rPr>
      </w:pPr>
      <w:r>
        <w:rPr>
          <w:rFonts w:ascii="Calibri" w:eastAsia="Calibri" w:hAnsi="Calibri" w:cs="Calibri"/>
          <w:color w:val="auto"/>
          <w:sz w:val="12"/>
          <w:szCs w:val="12"/>
        </w:rPr>
        <w:t>Exhibits 32.1 and 32.2, above, are furnished herewith and should not be deemed to be "fled" under the Securites Exchange Act of 1934. AbbVie will furnish copies of any of the above exhibits to a stockholder upon writen request to the Secretary, AbbVie Inc., 1 North Waukegan Road, North Chicago, Illinois 60064.</w:t>
      </w:r>
    </w:p>
    <w:p>
      <w:pPr>
        <w:spacing w:after="0" w:line="20" w:lineRule="exact"/>
        <w:rPr>
          <w:rFonts w:ascii="Calibri" w:eastAsia="Calibri" w:hAnsi="Calibri" w:cs="Calibri"/>
          <w:color w:val="auto"/>
          <w:sz w:val="12"/>
          <w:szCs w:val="12"/>
        </w:rPr>
      </w:pPr>
      <w:r>
        <w:rPr>
          <w:rFonts w:ascii="Calibri" w:eastAsia="Calibri" w:hAnsi="Calibri" w:cs="Calibri"/>
          <w:color w:val="auto"/>
          <w:sz w:val="12"/>
          <w:szCs w:val="12"/>
        </w:rPr>
        <w:drawing>
          <wp:anchor simplePos="0" relativeHeight="251953152" behindDoc="1" locked="0" layoutInCell="0" allowOverlap="1">
            <wp:simplePos x="0" y="0"/>
            <wp:positionH relativeFrom="column">
              <wp:posOffset>6475730</wp:posOffset>
            </wp:positionH>
            <wp:positionV relativeFrom="paragraph">
              <wp:posOffset>187960</wp:posOffset>
            </wp:positionV>
            <wp:extent cx="400050" cy="74295"/>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33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311" w:lineRule="exact"/>
        <w:rPr>
          <w:rFonts w:ascii="Calibri" w:eastAsia="Calibri" w:hAnsi="Calibri" w:cs="Calibri"/>
          <w:color w:val="auto"/>
          <w:sz w:val="12"/>
          <w:szCs w:val="12"/>
        </w:rPr>
      </w:pPr>
    </w:p>
    <w:tbl>
      <w:tblPr>
        <w:tblInd w:w="0" w:type="dxa"/>
        <w:tblLayout w:type="fixed"/>
        <w:tblCellMar>
          <w:top w:w="0" w:type="dxa"/>
          <w:left w:w="0" w:type="dxa"/>
          <w:bottom w:w="0" w:type="dxa"/>
          <w:right w:w="0" w:type="dxa"/>
        </w:tblCellMar>
      </w:tblPr>
      <w:tblGrid>
        <w:gridCol w:w="10640"/>
        <w:gridCol w:w="660"/>
      </w:tblGrid>
      <w:tr>
        <w:tblPrEx>
          <w:tblInd w:w="0" w:type="dxa"/>
          <w:tblLayout w:type="fixed"/>
        </w:tblPrEx>
        <w:trPr>
          <w:trHeight w:val="146"/>
        </w:trPr>
        <w:tc>
          <w:tcPr>
            <w:tcW w:w="10640" w:type="dxa"/>
            <w:vAlign w:val="bottom"/>
          </w:tcPr>
          <w:p>
            <w:pPr>
              <w:spacing w:after="0"/>
              <w:ind w:left="934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60" w:type="dxa"/>
            <w:vAlign w:val="bottom"/>
          </w:tcPr>
          <w:p>
            <w:pPr>
              <w:spacing w:after="0"/>
              <w:jc w:val="right"/>
              <w:rPr>
                <w:color w:val="auto"/>
                <w:sz w:val="20"/>
                <w:szCs w:val="20"/>
              </w:rPr>
            </w:pPr>
            <w:r>
              <w:rPr>
                <w:rFonts w:ascii="Calibri" w:eastAsia="Calibri" w:hAnsi="Calibri" w:cs="Calibri"/>
                <w:b/>
                <w:bCs/>
                <w:i/>
                <w:iCs/>
                <w:color w:val="auto"/>
                <w:sz w:val="12"/>
                <w:szCs w:val="12"/>
              </w:rPr>
              <w:t>112</w:t>
            </w:r>
          </w:p>
        </w:tc>
      </w:tr>
      <w:tr>
        <w:tblPrEx>
          <w:tblInd w:w="0" w:type="dxa"/>
          <w:tblLayout w:type="fixed"/>
        </w:tblPrEx>
        <w:trPr>
          <w:trHeight w:val="152"/>
        </w:trPr>
        <w:tc>
          <w:tcPr>
            <w:tcW w:w="10640" w:type="dxa"/>
            <w:tcBorders>
              <w:bottom w:val="single" w:sz="8" w:space="0" w:color="9A9A9A"/>
            </w:tcBorders>
            <w:vAlign w:val="bottom"/>
          </w:tcPr>
          <w:p>
            <w:pPr>
              <w:spacing w:after="0"/>
              <w:rPr>
                <w:color w:val="auto"/>
                <w:sz w:val="13"/>
                <w:szCs w:val="13"/>
              </w:rPr>
            </w:pPr>
          </w:p>
        </w:tc>
        <w:tc>
          <w:tcPr>
            <w:tcW w:w="660" w:type="dxa"/>
            <w:tcBorders>
              <w:bottom w:val="single" w:sz="8" w:space="0" w:color="9A9A9A"/>
            </w:tcBorders>
            <w:vAlign w:val="bottom"/>
          </w:tcPr>
          <w:p>
            <w:pPr>
              <w:spacing w:after="0"/>
              <w:rPr>
                <w:color w:val="auto"/>
                <w:sz w:val="13"/>
                <w:szCs w:val="13"/>
              </w:rPr>
            </w:pPr>
          </w:p>
        </w:tc>
      </w:tr>
    </w:tbl>
    <w:p>
      <w:pPr>
        <w:spacing w:after="0" w:line="20" w:lineRule="exact"/>
        <w:rPr>
          <w:rFonts w:ascii="Calibri" w:eastAsia="Calibri" w:hAnsi="Calibri" w:cs="Calibri"/>
          <w:color w:val="auto"/>
          <w:sz w:val="12"/>
          <w:szCs w:val="12"/>
        </w:rPr>
      </w:pPr>
      <w:r>
        <w:rPr>
          <w:rFonts w:ascii="Calibri" w:eastAsia="Calibri" w:hAnsi="Calibri" w:cs="Calibri"/>
          <w:color w:val="auto"/>
          <w:sz w:val="12"/>
          <w:szCs w:val="12"/>
        </w:rPr>
        <w:drawing>
          <wp:anchor simplePos="0" relativeHeight="251954176" behindDoc="1" locked="0" layoutInCell="0" allowOverlap="1">
            <wp:simplePos x="0" y="0"/>
            <wp:positionH relativeFrom="column">
              <wp:posOffset>7154545</wp:posOffset>
            </wp:positionH>
            <wp:positionV relativeFrom="paragraph">
              <wp:posOffset>-23495</wp:posOffset>
            </wp:positionV>
            <wp:extent cx="31115" cy="3683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r>
        <w:rPr>
          <w:rFonts w:ascii="Calibri" w:eastAsia="Calibri" w:hAnsi="Calibri" w:cs="Calibri"/>
          <w:color w:val="auto"/>
          <w:sz w:val="12"/>
          <w:szCs w:val="12"/>
        </w:rPr>
        <w:drawing>
          <wp:anchor simplePos="0" relativeHeight="251955200" behindDoc="1" locked="0" layoutInCell="0" allowOverlap="1">
            <wp:simplePos x="0" y="0"/>
            <wp:positionH relativeFrom="column">
              <wp:posOffset>-17145</wp:posOffset>
            </wp:positionH>
            <wp:positionV relativeFrom="paragraph">
              <wp:posOffset>-23495</wp:posOffset>
            </wp:positionV>
            <wp:extent cx="31115" cy="3683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115" cy="36830"/>
                    </a:xfrm>
                    <a:prstGeom prst="rect">
                      <a:avLst/>
                    </a:prstGeom>
                    <a:noFill/>
                  </pic:spPr>
                </pic:pic>
              </a:graphicData>
            </a:graphic>
          </wp:anchor>
        </w:drawing>
      </w:r>
    </w:p>
    <w:p>
      <w:pPr>
        <w:sectPr>
          <w:type w:val="continuous"/>
          <w:pgSz w:w="11900" w:h="16838" w:orient="portrait"/>
          <w:pgMar w:top="678" w:right="299" w:bottom="1440" w:left="300" w:header="0" w:footer="0" w:gutter="0"/>
          <w:cols w:num="1" w:space="720" w:equalWidth="0">
            <w:col w:w="11300" w:space="0"/>
          </w:cols>
        </w:sectPr>
      </w:pPr>
    </w:p>
    <w:bookmarkStart w:id="114" w:name="page115"/>
    <w:bookmarkEnd w:id="114"/>
    <w:p>
      <w:pPr>
        <w:spacing w:after="0"/>
        <w:rPr>
          <w:color w:val="auto"/>
          <w:sz w:val="20"/>
          <w:szCs w:val="20"/>
        </w:rPr>
      </w:pPr>
      <w:r>
        <w:rPr>
          <w:rFonts w:ascii="Calibri" w:eastAsia="Calibri" w:hAnsi="Calibri" w:cs="Calibri"/>
          <w:b/>
          <w:bCs/>
          <w:color w:val="444867"/>
          <w:sz w:val="14"/>
          <w:szCs w:val="14"/>
        </w:rPr>
        <w:t>ITEM 16. FORM 10-K SUMMARY</w:t>
      </w:r>
    </w:p>
    <w:p>
      <w:pPr>
        <w:spacing w:after="0" w:line="20" w:lineRule="exact"/>
        <w:rPr>
          <w:color w:val="auto"/>
          <w:sz w:val="20"/>
          <w:szCs w:val="20"/>
        </w:rPr>
      </w:pPr>
      <w:r>
        <w:rPr>
          <w:color w:val="auto"/>
          <w:sz w:val="20"/>
          <w:szCs w:val="20"/>
        </w:rPr>
        <w:drawing>
          <wp:anchor simplePos="0" relativeHeight="251956224" behindDoc="1" locked="0" layoutInCell="0" allowOverlap="1">
            <wp:simplePos x="0" y="0"/>
            <wp:positionH relativeFrom="column">
              <wp:posOffset>-4445</wp:posOffset>
            </wp:positionH>
            <wp:positionV relativeFrom="paragraph">
              <wp:posOffset>23495</wp:posOffset>
            </wp:positionV>
            <wp:extent cx="7166610" cy="5715"/>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66610" cy="5715"/>
                    </a:xfrm>
                    <a:prstGeom prst="rect">
                      <a:avLst/>
                    </a:prstGeom>
                    <a:noFill/>
                  </pic:spPr>
                </pic:pic>
              </a:graphicData>
            </a:graphic>
          </wp:anchor>
        </w:drawing>
      </w:r>
    </w:p>
    <w:p>
      <w:pPr>
        <w:sectPr>
          <w:pgSz w:w="11900" w:h="16838" w:orient="portrait"/>
          <w:pgMar w:top="805" w:right="1440" w:bottom="1440" w:left="300" w:header="0" w:footer="0" w:gutter="0"/>
          <w:cols w:num="1" w:space="720" w:equalWidth="0">
            <w:col w:w="10159" w:space="0"/>
          </w:cols>
        </w:sectPr>
      </w:pPr>
    </w:p>
    <w:p>
      <w:pPr>
        <w:spacing w:after="0" w:line="234" w:lineRule="exact"/>
        <w:rPr>
          <w:color w:val="auto"/>
          <w:sz w:val="20"/>
          <w:szCs w:val="20"/>
        </w:rPr>
      </w:pPr>
    </w:p>
    <w:tbl>
      <w:tblPr>
        <w:tblInd w:w="0" w:type="dxa"/>
        <w:tblLayout w:type="fixed"/>
        <w:tblCellMar>
          <w:top w:w="0" w:type="dxa"/>
          <w:left w:w="0" w:type="dxa"/>
          <w:bottom w:w="0" w:type="dxa"/>
          <w:right w:w="0" w:type="dxa"/>
        </w:tblCellMar>
      </w:tblPr>
      <w:tblGrid>
        <w:gridCol w:w="240"/>
        <w:gridCol w:w="1760"/>
      </w:tblGrid>
      <w:tr>
        <w:tblPrEx>
          <w:tblInd w:w="0" w:type="dxa"/>
          <w:tblLayout w:type="fixed"/>
        </w:tblPrEx>
        <w:trPr>
          <w:trHeight w:val="146"/>
        </w:trPr>
        <w:tc>
          <w:tcPr>
            <w:tcW w:w="240" w:type="dxa"/>
            <w:vAlign w:val="bottom"/>
          </w:tcPr>
          <w:p>
            <w:pPr>
              <w:spacing w:after="0"/>
              <w:rPr>
                <w:color w:val="auto"/>
                <w:sz w:val="12"/>
                <w:szCs w:val="12"/>
              </w:rPr>
            </w:pPr>
          </w:p>
        </w:tc>
        <w:tc>
          <w:tcPr>
            <w:tcW w:w="1760" w:type="dxa"/>
            <w:vAlign w:val="bottom"/>
          </w:tcPr>
          <w:p>
            <w:pPr>
              <w:spacing w:after="0"/>
              <w:ind w:left="40"/>
              <w:rPr>
                <w:color w:val="auto"/>
                <w:sz w:val="20"/>
                <w:szCs w:val="20"/>
              </w:rPr>
            </w:pPr>
            <w:r>
              <w:rPr>
                <w:rFonts w:ascii="Calibri" w:eastAsia="Calibri" w:hAnsi="Calibri" w:cs="Calibri"/>
                <w:color w:val="auto"/>
                <w:sz w:val="12"/>
                <w:szCs w:val="12"/>
              </w:rPr>
              <w:t>None.</w:t>
            </w:r>
          </w:p>
        </w:tc>
      </w:tr>
      <w:tr>
        <w:tblPrEx>
          <w:tblInd w:w="0" w:type="dxa"/>
          <w:tblLayout w:type="fixed"/>
        </w:tblPrEx>
        <w:trPr>
          <w:trHeight w:val="576"/>
        </w:trPr>
        <w:tc>
          <w:tcPr>
            <w:tcW w:w="240" w:type="dxa"/>
            <w:vAlign w:val="bottom"/>
          </w:tcPr>
          <w:p>
            <w:pPr>
              <w:spacing w:after="0"/>
              <w:jc w:val="right"/>
              <w:rPr>
                <w:color w:val="auto"/>
                <w:sz w:val="20"/>
                <w:szCs w:val="20"/>
              </w:rPr>
            </w:pPr>
            <w:r>
              <w:rPr>
                <w:rFonts w:ascii="Calibri" w:eastAsia="Calibri" w:hAnsi="Calibri" w:cs="Calibri"/>
                <w:b/>
                <w:bCs/>
                <w:i/>
                <w:iCs/>
                <w:color w:val="auto"/>
                <w:w w:val="87"/>
                <w:sz w:val="12"/>
                <w:szCs w:val="12"/>
              </w:rPr>
              <w:t>113</w:t>
            </w:r>
          </w:p>
        </w:tc>
        <w:tc>
          <w:tcPr>
            <w:tcW w:w="1760" w:type="dxa"/>
            <w:vAlign w:val="bottom"/>
          </w:tcPr>
          <w:p>
            <w:pPr>
              <w:spacing w:after="0"/>
              <w:ind w:left="880"/>
              <w:rPr>
                <w:color w:val="auto"/>
                <w:sz w:val="20"/>
                <w:szCs w:val="20"/>
              </w:rPr>
            </w:pPr>
            <w:r>
              <w:rPr>
                <w:rFonts w:ascii="Calibri" w:eastAsia="Calibri" w:hAnsi="Calibri" w:cs="Calibri"/>
                <w:b/>
                <w:bCs/>
                <w:color w:val="444867"/>
                <w:sz w:val="17"/>
                <w:szCs w:val="17"/>
              </w:rPr>
              <w:t xml:space="preserve">| </w:t>
            </w:r>
            <w:r>
              <w:rPr>
                <w:rFonts w:ascii="Calibri" w:eastAsia="Calibri" w:hAnsi="Calibri" w:cs="Calibri"/>
                <w:i/>
                <w:iCs/>
                <w:color w:val="000000"/>
                <w:sz w:val="11"/>
                <w:szCs w:val="11"/>
              </w:rPr>
              <w:t>2024 Form 10-K</w:t>
            </w:r>
          </w:p>
        </w:tc>
      </w:tr>
    </w:tbl>
    <w:p>
      <w:pPr>
        <w:spacing w:after="0" w:line="20" w:lineRule="exact"/>
        <w:rPr>
          <w:color w:val="auto"/>
          <w:sz w:val="20"/>
          <w:szCs w:val="20"/>
        </w:rPr>
      </w:pPr>
      <w:r>
        <w:rPr>
          <w:color w:val="auto"/>
          <w:sz w:val="20"/>
          <w:szCs w:val="20"/>
        </w:rPr>
        <w:drawing>
          <wp:anchor simplePos="0" relativeHeight="251957248" behindDoc="1" locked="0" layoutInCell="0" allowOverlap="1">
            <wp:simplePos x="0" y="0"/>
            <wp:positionH relativeFrom="column">
              <wp:posOffset>-17145</wp:posOffset>
            </wp:positionH>
            <wp:positionV relativeFrom="paragraph">
              <wp:posOffset>83820</wp:posOffset>
            </wp:positionV>
            <wp:extent cx="7203440" cy="3683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203440" cy="36830"/>
                    </a:xfrm>
                    <a:prstGeom prst="rect">
                      <a:avLst/>
                    </a:prstGeom>
                    <a:noFill/>
                  </pic:spPr>
                </pic:pic>
              </a:graphicData>
            </a:graphic>
          </wp:anchor>
        </w:drawing>
      </w:r>
      <w:r>
        <w:rPr>
          <w:color w:val="auto"/>
          <w:sz w:val="20"/>
          <w:szCs w:val="20"/>
        </w:rPr>
        <w:drawing>
          <wp:anchor simplePos="0" relativeHeight="251958272" behindDoc="1" locked="0" layoutInCell="0" allowOverlap="1">
            <wp:simplePos x="0" y="0"/>
            <wp:positionH relativeFrom="column">
              <wp:posOffset>292100</wp:posOffset>
            </wp:positionH>
            <wp:positionV relativeFrom="paragraph">
              <wp:posOffset>-125730</wp:posOffset>
            </wp:positionV>
            <wp:extent cx="400050" cy="74295"/>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ectPr>
          <w:type w:val="continuous"/>
          <w:pgSz w:w="11900" w:h="16838" w:orient="portrait"/>
          <w:pgMar w:top="805" w:right="1440" w:bottom="1440" w:left="300" w:header="0" w:footer="0" w:gutter="0"/>
          <w:cols w:num="1" w:space="720" w:equalWidth="0">
            <w:col w:w="10159" w:space="0"/>
          </w:cols>
        </w:sectPr>
      </w:pPr>
    </w:p>
    <w:bookmarkStart w:id="115" w:name="page116"/>
    <w:bookmarkEnd w:id="115"/>
    <w:p>
      <w:pPr>
        <w:spacing w:after="0"/>
        <w:ind w:right="300"/>
        <w:jc w:val="center"/>
        <w:rPr>
          <w:color w:val="auto"/>
          <w:sz w:val="20"/>
          <w:szCs w:val="20"/>
        </w:rPr>
      </w:pPr>
      <w:r>
        <w:rPr>
          <w:rFonts w:ascii="Calibri" w:eastAsia="Calibri" w:hAnsi="Calibri" w:cs="Calibri"/>
          <w:b/>
          <w:bCs/>
          <w:color w:val="444867"/>
          <w:sz w:val="14"/>
          <w:szCs w:val="14"/>
        </w:rPr>
        <w:t>SIGNATURES</w:t>
      </w:r>
    </w:p>
    <w:p>
      <w:pPr>
        <w:spacing w:after="0" w:line="100" w:lineRule="exact"/>
        <w:rPr>
          <w:color w:val="auto"/>
          <w:sz w:val="20"/>
          <w:szCs w:val="20"/>
        </w:rPr>
      </w:pPr>
    </w:p>
    <w:p>
      <w:pPr>
        <w:spacing w:after="0"/>
        <w:rPr>
          <w:color w:val="auto"/>
          <w:sz w:val="20"/>
          <w:szCs w:val="20"/>
        </w:rPr>
      </w:pPr>
      <w:r>
        <w:rPr>
          <w:rFonts w:ascii="Calibri" w:eastAsia="Calibri" w:hAnsi="Calibri" w:cs="Calibri"/>
          <w:color w:val="auto"/>
          <w:sz w:val="12"/>
          <w:szCs w:val="12"/>
        </w:rPr>
        <w:t>Pursuant to the requirements of Secton 13 or 15(d) of the Securites Exchange Act of 1934, AbbVie Inc. has duly caused this report to be signed on its behalf by the undersigned, thereunto duly authorized.</w:t>
      </w:r>
    </w:p>
    <w:p>
      <w:pPr>
        <w:spacing w:after="0" w:line="115" w:lineRule="exact"/>
        <w:rPr>
          <w:color w:val="auto"/>
          <w:sz w:val="20"/>
          <w:szCs w:val="20"/>
        </w:rPr>
      </w:pPr>
    </w:p>
    <w:tbl>
      <w:tblPr>
        <w:tblInd w:w="4880" w:type="dxa"/>
        <w:tblLayout w:type="fixed"/>
        <w:tblCellMar>
          <w:top w:w="0" w:type="dxa"/>
          <w:left w:w="0" w:type="dxa"/>
          <w:bottom w:w="0" w:type="dxa"/>
          <w:right w:w="0" w:type="dxa"/>
        </w:tblCellMar>
      </w:tblPr>
      <w:tblGrid>
        <w:gridCol w:w="1060"/>
        <w:gridCol w:w="1200"/>
        <w:gridCol w:w="3880"/>
      </w:tblGrid>
      <w:tr>
        <w:tblPrEx>
          <w:tblInd w:w="4880" w:type="dxa"/>
          <w:tblLayout w:type="fixed"/>
        </w:tblPrEx>
        <w:trPr>
          <w:trHeight w:val="146"/>
        </w:trPr>
        <w:tc>
          <w:tcPr>
            <w:tcW w:w="1060" w:type="dxa"/>
            <w:vAlign w:val="bottom"/>
          </w:tcPr>
          <w:p>
            <w:pPr>
              <w:spacing w:after="0"/>
              <w:rPr>
                <w:color w:val="auto"/>
                <w:sz w:val="20"/>
                <w:szCs w:val="20"/>
              </w:rPr>
            </w:pPr>
            <w:r>
              <w:rPr>
                <w:rFonts w:ascii="Calibri" w:eastAsia="Calibri" w:hAnsi="Calibri" w:cs="Calibri"/>
                <w:color w:val="auto"/>
                <w:sz w:val="12"/>
                <w:szCs w:val="12"/>
              </w:rPr>
              <w:t>AbbVie Inc.</w:t>
            </w:r>
          </w:p>
        </w:tc>
        <w:tc>
          <w:tcPr>
            <w:tcW w:w="1200" w:type="dxa"/>
            <w:vAlign w:val="bottom"/>
          </w:tcPr>
          <w:p>
            <w:pPr>
              <w:spacing w:after="0"/>
              <w:rPr>
                <w:color w:val="auto"/>
                <w:sz w:val="12"/>
                <w:szCs w:val="12"/>
              </w:rPr>
            </w:pPr>
          </w:p>
        </w:tc>
        <w:tc>
          <w:tcPr>
            <w:tcW w:w="3880" w:type="dxa"/>
            <w:vAlign w:val="bottom"/>
          </w:tcPr>
          <w:p>
            <w:pPr>
              <w:spacing w:after="0"/>
              <w:rPr>
                <w:color w:val="auto"/>
                <w:sz w:val="12"/>
                <w:szCs w:val="12"/>
              </w:rPr>
            </w:pPr>
          </w:p>
        </w:tc>
      </w:tr>
      <w:tr>
        <w:tblPrEx>
          <w:tblInd w:w="4880" w:type="dxa"/>
          <w:tblLayout w:type="fixed"/>
        </w:tblPrEx>
        <w:trPr>
          <w:trHeight w:val="162"/>
        </w:trPr>
        <w:tc>
          <w:tcPr>
            <w:tcW w:w="1060" w:type="dxa"/>
            <w:vAlign w:val="bottom"/>
          </w:tcPr>
          <w:p>
            <w:pPr>
              <w:spacing w:after="0"/>
              <w:rPr>
                <w:color w:val="auto"/>
                <w:sz w:val="20"/>
                <w:szCs w:val="20"/>
              </w:rPr>
            </w:pPr>
            <w:r>
              <w:rPr>
                <w:rFonts w:ascii="Calibri" w:eastAsia="Calibri" w:hAnsi="Calibri" w:cs="Calibri"/>
                <w:color w:val="auto"/>
                <w:sz w:val="12"/>
                <w:szCs w:val="12"/>
              </w:rPr>
              <w:t>By:</w:t>
            </w:r>
          </w:p>
        </w:tc>
        <w:tc>
          <w:tcPr>
            <w:tcW w:w="1200" w:type="dxa"/>
            <w:tcBorders>
              <w:bottom w:val="single" w:sz="8" w:space="0" w:color="auto"/>
            </w:tcBorders>
            <w:vAlign w:val="bottom"/>
          </w:tcPr>
          <w:p>
            <w:pPr>
              <w:spacing w:after="0"/>
              <w:rPr>
                <w:color w:val="auto"/>
                <w:sz w:val="20"/>
                <w:szCs w:val="20"/>
              </w:rPr>
            </w:pPr>
            <w:r>
              <w:rPr>
                <w:rFonts w:ascii="Calibri" w:eastAsia="Calibri" w:hAnsi="Calibri" w:cs="Calibri"/>
                <w:color w:val="auto"/>
                <w:sz w:val="12"/>
                <w:szCs w:val="12"/>
              </w:rPr>
              <w:t>/s/ ROBERT A. MICHAEL</w:t>
            </w:r>
          </w:p>
        </w:tc>
        <w:tc>
          <w:tcPr>
            <w:tcW w:w="3880" w:type="dxa"/>
            <w:tcBorders>
              <w:bottom w:val="single" w:sz="8" w:space="0" w:color="auto"/>
            </w:tcBorders>
            <w:vAlign w:val="bottom"/>
          </w:tcPr>
          <w:p>
            <w:pPr>
              <w:spacing w:after="0"/>
              <w:rPr>
                <w:color w:val="auto"/>
                <w:sz w:val="14"/>
                <w:szCs w:val="14"/>
              </w:rPr>
            </w:pPr>
          </w:p>
        </w:tc>
      </w:tr>
      <w:tr>
        <w:tblPrEx>
          <w:tblInd w:w="4880" w:type="dxa"/>
          <w:tblLayout w:type="fixed"/>
        </w:tblPrEx>
        <w:trPr>
          <w:trHeight w:val="139"/>
        </w:trPr>
        <w:tc>
          <w:tcPr>
            <w:tcW w:w="1060" w:type="dxa"/>
            <w:vAlign w:val="bottom"/>
          </w:tcPr>
          <w:p>
            <w:pPr>
              <w:spacing w:after="0"/>
              <w:rPr>
                <w:color w:val="auto"/>
                <w:sz w:val="12"/>
                <w:szCs w:val="12"/>
              </w:rPr>
            </w:pPr>
          </w:p>
        </w:tc>
        <w:tc>
          <w:tcPr>
            <w:tcW w:w="1200" w:type="dxa"/>
            <w:vAlign w:val="bottom"/>
          </w:tcPr>
          <w:p>
            <w:pPr>
              <w:spacing w:after="0" w:line="140" w:lineRule="exact"/>
              <w:rPr>
                <w:color w:val="auto"/>
                <w:sz w:val="20"/>
                <w:szCs w:val="20"/>
              </w:rPr>
            </w:pPr>
            <w:r>
              <w:rPr>
                <w:rFonts w:ascii="Calibri" w:eastAsia="Calibri" w:hAnsi="Calibri" w:cs="Calibri"/>
                <w:color w:val="auto"/>
                <w:sz w:val="12"/>
                <w:szCs w:val="12"/>
              </w:rPr>
              <w:t>Name:</w:t>
            </w:r>
          </w:p>
        </w:tc>
        <w:tc>
          <w:tcPr>
            <w:tcW w:w="3880" w:type="dxa"/>
            <w:vAlign w:val="bottom"/>
          </w:tcPr>
          <w:p>
            <w:pPr>
              <w:spacing w:after="0" w:line="140" w:lineRule="exact"/>
              <w:ind w:left="80"/>
              <w:rPr>
                <w:color w:val="auto"/>
                <w:sz w:val="20"/>
                <w:szCs w:val="20"/>
              </w:rPr>
            </w:pPr>
            <w:r>
              <w:rPr>
                <w:rFonts w:ascii="Calibri" w:eastAsia="Calibri" w:hAnsi="Calibri" w:cs="Calibri"/>
                <w:color w:val="auto"/>
                <w:sz w:val="12"/>
                <w:szCs w:val="12"/>
              </w:rPr>
              <w:t>Robert A. Michael</w:t>
            </w:r>
          </w:p>
        </w:tc>
      </w:tr>
      <w:tr>
        <w:tblPrEx>
          <w:tblInd w:w="4880" w:type="dxa"/>
          <w:tblLayout w:type="fixed"/>
        </w:tblPrEx>
        <w:trPr>
          <w:trHeight w:val="147"/>
        </w:trPr>
        <w:tc>
          <w:tcPr>
            <w:tcW w:w="1060" w:type="dxa"/>
            <w:vAlign w:val="bottom"/>
          </w:tcPr>
          <w:p>
            <w:pPr>
              <w:spacing w:after="0"/>
              <w:rPr>
                <w:color w:val="auto"/>
                <w:sz w:val="12"/>
                <w:szCs w:val="12"/>
              </w:rPr>
            </w:pPr>
          </w:p>
        </w:tc>
        <w:tc>
          <w:tcPr>
            <w:tcW w:w="1200" w:type="dxa"/>
            <w:vAlign w:val="bottom"/>
          </w:tcPr>
          <w:p>
            <w:pPr>
              <w:spacing w:after="0"/>
              <w:rPr>
                <w:color w:val="auto"/>
                <w:sz w:val="20"/>
                <w:szCs w:val="20"/>
              </w:rPr>
            </w:pPr>
            <w:r>
              <w:rPr>
                <w:rFonts w:ascii="Calibri" w:eastAsia="Calibri" w:hAnsi="Calibri" w:cs="Calibri"/>
                <w:color w:val="auto"/>
                <w:sz w:val="12"/>
                <w:szCs w:val="12"/>
              </w:rPr>
              <w:t>Title:</w:t>
            </w:r>
          </w:p>
        </w:tc>
        <w:tc>
          <w:tcPr>
            <w:tcW w:w="3880" w:type="dxa"/>
            <w:vAlign w:val="bottom"/>
          </w:tcPr>
          <w:p>
            <w:pPr>
              <w:spacing w:after="0"/>
              <w:ind w:left="80"/>
              <w:rPr>
                <w:color w:val="auto"/>
                <w:sz w:val="20"/>
                <w:szCs w:val="20"/>
              </w:rPr>
            </w:pPr>
            <w:r>
              <w:rPr>
                <w:rFonts w:ascii="Calibri" w:eastAsia="Calibri" w:hAnsi="Calibri" w:cs="Calibri"/>
                <w:color w:val="auto"/>
                <w:sz w:val="12"/>
                <w:szCs w:val="12"/>
              </w:rPr>
              <w:t>Chief Executve Ofcer and Director</w:t>
            </w:r>
          </w:p>
        </w:tc>
      </w:tr>
      <w:tr>
        <w:tblPrEx>
          <w:tblInd w:w="4880" w:type="dxa"/>
          <w:tblLayout w:type="fixed"/>
        </w:tblPrEx>
        <w:trPr>
          <w:trHeight w:val="153"/>
        </w:trPr>
        <w:tc>
          <w:tcPr>
            <w:tcW w:w="1060" w:type="dxa"/>
            <w:vAlign w:val="bottom"/>
          </w:tcPr>
          <w:p>
            <w:pPr>
              <w:spacing w:after="0"/>
              <w:rPr>
                <w:color w:val="auto"/>
                <w:sz w:val="20"/>
                <w:szCs w:val="20"/>
              </w:rPr>
            </w:pPr>
            <w:r>
              <w:rPr>
                <w:rFonts w:ascii="Calibri" w:eastAsia="Calibri" w:hAnsi="Calibri" w:cs="Calibri"/>
                <w:color w:val="auto"/>
                <w:sz w:val="12"/>
                <w:szCs w:val="12"/>
              </w:rPr>
              <w:t>Date:</w:t>
            </w:r>
          </w:p>
        </w:tc>
        <w:tc>
          <w:tcPr>
            <w:tcW w:w="1200" w:type="dxa"/>
            <w:vAlign w:val="bottom"/>
          </w:tcPr>
          <w:p>
            <w:pPr>
              <w:spacing w:after="0"/>
              <w:rPr>
                <w:color w:val="auto"/>
                <w:sz w:val="20"/>
                <w:szCs w:val="20"/>
              </w:rPr>
            </w:pPr>
            <w:r>
              <w:rPr>
                <w:rFonts w:ascii="Calibri" w:eastAsia="Calibri" w:hAnsi="Calibri" w:cs="Calibri"/>
                <w:color w:val="auto"/>
                <w:sz w:val="12"/>
                <w:szCs w:val="12"/>
              </w:rPr>
              <w:t>February 14, 2025</w:t>
            </w:r>
          </w:p>
        </w:tc>
        <w:tc>
          <w:tcPr>
            <w:tcW w:w="3880" w:type="dxa"/>
            <w:vAlign w:val="bottom"/>
          </w:tcPr>
          <w:p>
            <w:pPr>
              <w:spacing w:after="0"/>
              <w:rPr>
                <w:color w:val="auto"/>
                <w:sz w:val="13"/>
                <w:szCs w:val="13"/>
              </w:rPr>
            </w:pPr>
          </w:p>
        </w:tc>
      </w:tr>
    </w:tbl>
    <w:p>
      <w:pPr>
        <w:spacing w:after="0" w:line="313" w:lineRule="exact"/>
        <w:rPr>
          <w:color w:val="auto"/>
          <w:sz w:val="20"/>
          <w:szCs w:val="20"/>
        </w:rPr>
      </w:pPr>
    </w:p>
    <w:p>
      <w:pPr>
        <w:spacing w:after="0"/>
        <w:rPr>
          <w:color w:val="auto"/>
          <w:sz w:val="20"/>
          <w:szCs w:val="20"/>
        </w:rPr>
      </w:pPr>
      <w:r>
        <w:rPr>
          <w:rFonts w:ascii="Calibri" w:eastAsia="Calibri" w:hAnsi="Calibri" w:cs="Calibri"/>
          <w:color w:val="auto"/>
          <w:sz w:val="12"/>
          <w:szCs w:val="12"/>
        </w:rPr>
        <w:t>Pursuant to the requirements of the Securites Exchange Act of 1934, this report has been signed below by the following persons on behalf of AbbVie Inc. on February 14, 2025 in the capacites indicated below.</w:t>
      </w:r>
    </w:p>
    <w:p>
      <w:pPr>
        <w:sectPr>
          <w:pgSz w:w="11900" w:h="16838" w:orient="portrait"/>
          <w:pgMar w:top="759" w:right="299" w:bottom="1440" w:left="580" w:header="0" w:footer="0" w:gutter="0"/>
          <w:cols w:num="1" w:space="720" w:equalWidth="0">
            <w:col w:w="11020" w:space="0"/>
          </w:cols>
        </w:sectPr>
      </w:pPr>
    </w:p>
    <w:p>
      <w:pPr>
        <w:spacing w:after="0" w:line="124" w:lineRule="exact"/>
        <w:rPr>
          <w:color w:val="auto"/>
          <w:sz w:val="20"/>
          <w:szCs w:val="20"/>
        </w:rPr>
      </w:pPr>
    </w:p>
    <w:p>
      <w:pPr>
        <w:spacing w:after="0"/>
        <w:ind w:left="1940"/>
        <w:rPr>
          <w:color w:val="auto"/>
          <w:sz w:val="20"/>
          <w:szCs w:val="20"/>
        </w:rPr>
      </w:pPr>
      <w:r>
        <w:rPr>
          <w:rFonts w:ascii="Calibri" w:eastAsia="Calibri" w:hAnsi="Calibri" w:cs="Calibri"/>
          <w:color w:val="auto"/>
          <w:sz w:val="12"/>
          <w:szCs w:val="12"/>
        </w:rPr>
        <w:t>/s/ ROBERT A. MICHAEL</w:t>
      </w:r>
    </w:p>
    <w:p>
      <w:pPr>
        <w:spacing w:after="0" w:line="20" w:lineRule="exact"/>
        <w:rPr>
          <w:color w:val="auto"/>
          <w:sz w:val="20"/>
          <w:szCs w:val="20"/>
        </w:rPr>
      </w:pPr>
      <w:r>
        <w:rPr>
          <w:color w:val="auto"/>
          <w:sz w:val="20"/>
          <w:szCs w:val="20"/>
        </w:rPr>
        <w:drawing>
          <wp:anchor simplePos="0" relativeHeight="251959296" behindDoc="1" locked="0" layoutInCell="0" allowOverlap="1">
            <wp:simplePos x="0" y="0"/>
            <wp:positionH relativeFrom="column">
              <wp:posOffset>-182245</wp:posOffset>
            </wp:positionH>
            <wp:positionV relativeFrom="paragraph">
              <wp:posOffset>10795</wp:posOffset>
            </wp:positionV>
            <wp:extent cx="3554730" cy="5715"/>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2080"/>
        <w:rPr>
          <w:color w:val="auto"/>
          <w:sz w:val="20"/>
          <w:szCs w:val="20"/>
        </w:rPr>
      </w:pPr>
      <w:r>
        <w:rPr>
          <w:rFonts w:ascii="Calibri" w:eastAsia="Calibri" w:hAnsi="Calibri" w:cs="Calibri"/>
          <w:color w:val="auto"/>
          <w:sz w:val="12"/>
          <w:szCs w:val="12"/>
        </w:rPr>
        <w:t>Robert A. Michael</w:t>
      </w:r>
    </w:p>
    <w:p>
      <w:pPr>
        <w:spacing w:after="0" w:line="193" w:lineRule="auto"/>
        <w:ind w:right="840"/>
        <w:jc w:val="center"/>
        <w:rPr>
          <w:color w:val="auto"/>
          <w:sz w:val="20"/>
          <w:szCs w:val="20"/>
        </w:rPr>
      </w:pPr>
      <w:r>
        <w:rPr>
          <w:rFonts w:ascii="Calibri" w:eastAsia="Calibri" w:hAnsi="Calibri" w:cs="Calibri"/>
          <w:color w:val="auto"/>
          <w:sz w:val="12"/>
          <w:szCs w:val="12"/>
        </w:rPr>
        <w:t>Chief Executve Ofcer and Director</w:t>
      </w:r>
    </w:p>
    <w:p>
      <w:pPr>
        <w:spacing w:after="0" w:line="206" w:lineRule="auto"/>
        <w:ind w:right="840"/>
        <w:jc w:val="center"/>
        <w:rPr>
          <w:color w:val="auto"/>
          <w:sz w:val="20"/>
          <w:szCs w:val="20"/>
        </w:rPr>
      </w:pPr>
      <w:r>
        <w:rPr>
          <w:rFonts w:ascii="Calibri" w:eastAsia="Calibri" w:hAnsi="Calibri" w:cs="Calibri"/>
          <w:color w:val="auto"/>
          <w:sz w:val="12"/>
          <w:szCs w:val="12"/>
        </w:rPr>
        <w:t>(Principal Executve Ofcer)</w:t>
      </w:r>
    </w:p>
    <w:p>
      <w:pPr>
        <w:spacing w:after="0" w:line="43" w:lineRule="exact"/>
        <w:rPr>
          <w:color w:val="auto"/>
          <w:sz w:val="20"/>
          <w:szCs w:val="20"/>
        </w:rPr>
      </w:pPr>
    </w:p>
    <w:p>
      <w:pPr>
        <w:spacing w:after="0"/>
        <w:ind w:left="2000"/>
        <w:rPr>
          <w:color w:val="auto"/>
          <w:sz w:val="20"/>
          <w:szCs w:val="20"/>
        </w:rPr>
      </w:pPr>
      <w:r>
        <w:rPr>
          <w:rFonts w:ascii="Calibri" w:eastAsia="Calibri" w:hAnsi="Calibri" w:cs="Calibri"/>
          <w:color w:val="auto"/>
          <w:sz w:val="12"/>
          <w:szCs w:val="12"/>
        </w:rPr>
        <w:t>/s/ KEVIN K. BUCKBEE</w:t>
      </w:r>
    </w:p>
    <w:p>
      <w:pPr>
        <w:spacing w:after="0" w:line="20" w:lineRule="exact"/>
        <w:rPr>
          <w:color w:val="auto"/>
          <w:sz w:val="20"/>
          <w:szCs w:val="20"/>
        </w:rPr>
      </w:pPr>
      <w:r>
        <w:rPr>
          <w:color w:val="auto"/>
          <w:sz w:val="20"/>
          <w:szCs w:val="20"/>
        </w:rPr>
        <w:drawing>
          <wp:anchor simplePos="0" relativeHeight="251960320" behindDoc="1" locked="0" layoutInCell="0" allowOverlap="1">
            <wp:simplePos x="0" y="0"/>
            <wp:positionH relativeFrom="column">
              <wp:posOffset>-182245</wp:posOffset>
            </wp:positionH>
            <wp:positionV relativeFrom="paragraph">
              <wp:posOffset>10795</wp:posOffset>
            </wp:positionV>
            <wp:extent cx="3554730" cy="5715"/>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line="40" w:lineRule="exact"/>
        <w:rPr>
          <w:color w:val="auto"/>
          <w:sz w:val="20"/>
          <w:szCs w:val="20"/>
        </w:rPr>
      </w:pPr>
    </w:p>
    <w:p>
      <w:pPr>
        <w:spacing w:after="0"/>
        <w:ind w:left="2100"/>
        <w:rPr>
          <w:color w:val="auto"/>
          <w:sz w:val="20"/>
          <w:szCs w:val="20"/>
        </w:rPr>
      </w:pPr>
      <w:r>
        <w:rPr>
          <w:rFonts w:ascii="Calibri" w:eastAsia="Calibri" w:hAnsi="Calibri" w:cs="Calibri"/>
          <w:color w:val="auto"/>
          <w:sz w:val="12"/>
          <w:szCs w:val="12"/>
        </w:rPr>
        <w:t>Kevin K. Buckbee</w:t>
      </w:r>
    </w:p>
    <w:p>
      <w:pPr>
        <w:spacing w:after="0" w:line="193" w:lineRule="auto"/>
        <w:ind w:right="840"/>
        <w:jc w:val="center"/>
        <w:rPr>
          <w:color w:val="auto"/>
          <w:sz w:val="20"/>
          <w:szCs w:val="20"/>
        </w:rPr>
      </w:pPr>
      <w:r>
        <w:rPr>
          <w:rFonts w:ascii="Calibri" w:eastAsia="Calibri" w:hAnsi="Calibri" w:cs="Calibri"/>
          <w:color w:val="auto"/>
          <w:sz w:val="12"/>
          <w:szCs w:val="12"/>
        </w:rPr>
        <w:t>Senior Vice President, Controller</w:t>
      </w:r>
    </w:p>
    <w:p>
      <w:pPr>
        <w:spacing w:after="0" w:line="206" w:lineRule="auto"/>
        <w:ind w:right="840"/>
        <w:jc w:val="center"/>
        <w:rPr>
          <w:color w:val="auto"/>
          <w:sz w:val="20"/>
          <w:szCs w:val="20"/>
        </w:rPr>
      </w:pPr>
      <w:r>
        <w:rPr>
          <w:rFonts w:ascii="Calibri" w:eastAsia="Calibri" w:hAnsi="Calibri" w:cs="Calibri"/>
          <w:color w:val="auto"/>
          <w:sz w:val="12"/>
          <w:szCs w:val="12"/>
        </w:rPr>
        <w:t>(Principal Accountng Ofcer)</w:t>
      </w:r>
    </w:p>
    <w:p>
      <w:pPr>
        <w:spacing w:after="0" w:line="43" w:lineRule="exact"/>
        <w:rPr>
          <w:color w:val="auto"/>
          <w:sz w:val="20"/>
          <w:szCs w:val="20"/>
        </w:rPr>
      </w:pPr>
    </w:p>
    <w:p>
      <w:pPr>
        <w:spacing w:after="0"/>
        <w:ind w:left="1860"/>
        <w:rPr>
          <w:color w:val="auto"/>
          <w:sz w:val="20"/>
          <w:szCs w:val="20"/>
        </w:rPr>
      </w:pPr>
      <w:r>
        <w:rPr>
          <w:rFonts w:ascii="Calibri" w:eastAsia="Calibri" w:hAnsi="Calibri" w:cs="Calibri"/>
          <w:color w:val="auto"/>
          <w:sz w:val="12"/>
          <w:szCs w:val="12"/>
        </w:rPr>
        <w:t>/s/ ROBERT J. ALPERN, M.D.</w:t>
      </w:r>
    </w:p>
    <w:p>
      <w:pPr>
        <w:spacing w:after="0" w:line="20" w:lineRule="exact"/>
        <w:rPr>
          <w:color w:val="auto"/>
          <w:sz w:val="20"/>
          <w:szCs w:val="20"/>
        </w:rPr>
      </w:pPr>
      <w:r>
        <w:rPr>
          <w:color w:val="auto"/>
          <w:sz w:val="20"/>
          <w:szCs w:val="20"/>
        </w:rPr>
        <w:drawing>
          <wp:anchor simplePos="0" relativeHeight="251961344" behindDoc="1" locked="0" layoutInCell="0" allowOverlap="1">
            <wp:simplePos x="0" y="0"/>
            <wp:positionH relativeFrom="column">
              <wp:posOffset>-182245</wp:posOffset>
            </wp:positionH>
            <wp:positionV relativeFrom="paragraph">
              <wp:posOffset>10795</wp:posOffset>
            </wp:positionV>
            <wp:extent cx="3554730" cy="5715"/>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2000"/>
        <w:rPr>
          <w:color w:val="auto"/>
          <w:sz w:val="20"/>
          <w:szCs w:val="20"/>
        </w:rPr>
      </w:pPr>
      <w:r>
        <w:rPr>
          <w:rFonts w:ascii="Calibri" w:eastAsia="Calibri" w:hAnsi="Calibri" w:cs="Calibri"/>
          <w:color w:val="auto"/>
          <w:sz w:val="12"/>
          <w:szCs w:val="12"/>
        </w:rPr>
        <w:t>Robert J. Alpern, M.D.</w:t>
      </w:r>
    </w:p>
    <w:p>
      <w:pPr>
        <w:spacing w:after="0" w:line="193" w:lineRule="auto"/>
        <w:ind w:left="1980"/>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1860"/>
        <w:rPr>
          <w:color w:val="auto"/>
          <w:sz w:val="20"/>
          <w:szCs w:val="20"/>
        </w:rPr>
      </w:pPr>
      <w:r>
        <w:rPr>
          <w:rFonts w:ascii="Calibri" w:eastAsia="Calibri" w:hAnsi="Calibri" w:cs="Calibri"/>
          <w:color w:val="auto"/>
          <w:sz w:val="12"/>
          <w:szCs w:val="12"/>
        </w:rPr>
        <w:t>/s/ WILLIAM H.L. BURNSIDE</w:t>
      </w:r>
    </w:p>
    <w:p>
      <w:pPr>
        <w:spacing w:after="0" w:line="20" w:lineRule="exact"/>
        <w:rPr>
          <w:color w:val="auto"/>
          <w:sz w:val="20"/>
          <w:szCs w:val="20"/>
        </w:rPr>
      </w:pPr>
      <w:r>
        <w:rPr>
          <w:color w:val="auto"/>
          <w:sz w:val="20"/>
          <w:szCs w:val="20"/>
        </w:rPr>
        <w:drawing>
          <wp:anchor simplePos="0" relativeHeight="251962368" behindDoc="1" locked="0" layoutInCell="0" allowOverlap="1">
            <wp:simplePos x="0" y="0"/>
            <wp:positionH relativeFrom="column">
              <wp:posOffset>-182245</wp:posOffset>
            </wp:positionH>
            <wp:positionV relativeFrom="paragraph">
              <wp:posOffset>10795</wp:posOffset>
            </wp:positionV>
            <wp:extent cx="3554730" cy="5715"/>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2000"/>
        <w:rPr>
          <w:color w:val="auto"/>
          <w:sz w:val="20"/>
          <w:szCs w:val="20"/>
        </w:rPr>
      </w:pPr>
      <w:r>
        <w:rPr>
          <w:rFonts w:ascii="Calibri" w:eastAsia="Calibri" w:hAnsi="Calibri" w:cs="Calibri"/>
          <w:color w:val="auto"/>
          <w:sz w:val="12"/>
          <w:szCs w:val="12"/>
        </w:rPr>
        <w:t>William H.L. Burnside</w:t>
      </w:r>
    </w:p>
    <w:p>
      <w:pPr>
        <w:spacing w:after="0" w:line="193" w:lineRule="auto"/>
        <w:ind w:left="1980"/>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1900"/>
        <w:rPr>
          <w:color w:val="auto"/>
          <w:sz w:val="20"/>
          <w:szCs w:val="20"/>
        </w:rPr>
      </w:pPr>
      <w:r>
        <w:rPr>
          <w:rFonts w:ascii="Calibri" w:eastAsia="Calibri" w:hAnsi="Calibri" w:cs="Calibri"/>
          <w:color w:val="auto"/>
          <w:sz w:val="12"/>
          <w:szCs w:val="12"/>
        </w:rPr>
        <w:t>/s/ THOMAS C. FREYMAN</w:t>
      </w:r>
    </w:p>
    <w:p>
      <w:pPr>
        <w:spacing w:after="0" w:line="20" w:lineRule="exact"/>
        <w:rPr>
          <w:color w:val="auto"/>
          <w:sz w:val="20"/>
          <w:szCs w:val="20"/>
        </w:rPr>
      </w:pPr>
      <w:r>
        <w:rPr>
          <w:color w:val="auto"/>
          <w:sz w:val="20"/>
          <w:szCs w:val="20"/>
        </w:rPr>
        <w:drawing>
          <wp:anchor simplePos="0" relativeHeight="251963392" behindDoc="1" locked="0" layoutInCell="0" allowOverlap="1">
            <wp:simplePos x="0" y="0"/>
            <wp:positionH relativeFrom="column">
              <wp:posOffset>-182245</wp:posOffset>
            </wp:positionH>
            <wp:positionV relativeFrom="paragraph">
              <wp:posOffset>10795</wp:posOffset>
            </wp:positionV>
            <wp:extent cx="3554730" cy="5715"/>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2040"/>
        <w:rPr>
          <w:color w:val="auto"/>
          <w:sz w:val="20"/>
          <w:szCs w:val="20"/>
        </w:rPr>
      </w:pPr>
      <w:r>
        <w:rPr>
          <w:rFonts w:ascii="Calibri" w:eastAsia="Calibri" w:hAnsi="Calibri" w:cs="Calibri"/>
          <w:color w:val="auto"/>
          <w:sz w:val="12"/>
          <w:szCs w:val="12"/>
        </w:rPr>
        <w:t>Thomas C. Freyman</w:t>
      </w:r>
    </w:p>
    <w:p>
      <w:pPr>
        <w:spacing w:after="0" w:line="193" w:lineRule="auto"/>
        <w:ind w:left="1980"/>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1980"/>
        <w:rPr>
          <w:color w:val="auto"/>
          <w:sz w:val="20"/>
          <w:szCs w:val="20"/>
        </w:rPr>
      </w:pPr>
      <w:r>
        <w:rPr>
          <w:rFonts w:ascii="Calibri" w:eastAsia="Calibri" w:hAnsi="Calibri" w:cs="Calibri"/>
          <w:color w:val="auto"/>
          <w:sz w:val="12"/>
          <w:szCs w:val="12"/>
        </w:rPr>
        <w:t>/s/ MELODY B. MEYER</w:t>
      </w:r>
    </w:p>
    <w:p>
      <w:pPr>
        <w:spacing w:after="0" w:line="20" w:lineRule="exact"/>
        <w:rPr>
          <w:color w:val="auto"/>
          <w:sz w:val="20"/>
          <w:szCs w:val="20"/>
        </w:rPr>
      </w:pPr>
      <w:r>
        <w:rPr>
          <w:color w:val="auto"/>
          <w:sz w:val="20"/>
          <w:szCs w:val="20"/>
        </w:rPr>
        <w:drawing>
          <wp:anchor simplePos="0" relativeHeight="251964416" behindDoc="1" locked="0" layoutInCell="0" allowOverlap="1">
            <wp:simplePos x="0" y="0"/>
            <wp:positionH relativeFrom="column">
              <wp:posOffset>-182245</wp:posOffset>
            </wp:positionH>
            <wp:positionV relativeFrom="paragraph">
              <wp:posOffset>10795</wp:posOffset>
            </wp:positionV>
            <wp:extent cx="3554730" cy="5715"/>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right="840"/>
        <w:jc w:val="center"/>
        <w:rPr>
          <w:color w:val="auto"/>
          <w:sz w:val="20"/>
          <w:szCs w:val="20"/>
        </w:rPr>
      </w:pPr>
      <w:r>
        <w:rPr>
          <w:rFonts w:ascii="Calibri" w:eastAsia="Calibri" w:hAnsi="Calibri" w:cs="Calibri"/>
          <w:color w:val="auto"/>
          <w:sz w:val="12"/>
          <w:szCs w:val="12"/>
        </w:rPr>
        <w:t>Melody B. Meyer</w:t>
      </w:r>
    </w:p>
    <w:p>
      <w:pPr>
        <w:spacing w:after="0" w:line="193" w:lineRule="auto"/>
        <w:ind w:right="840"/>
        <w:jc w:val="center"/>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2040"/>
        <w:rPr>
          <w:color w:val="auto"/>
          <w:sz w:val="20"/>
          <w:szCs w:val="20"/>
        </w:rPr>
      </w:pPr>
      <w:r>
        <w:rPr>
          <w:rFonts w:ascii="Calibri" w:eastAsia="Calibri" w:hAnsi="Calibri" w:cs="Calibri"/>
          <w:color w:val="auto"/>
          <w:sz w:val="12"/>
          <w:szCs w:val="12"/>
        </w:rPr>
        <w:t>/s/ EDWARD J. RAPP</w:t>
      </w:r>
    </w:p>
    <w:p>
      <w:pPr>
        <w:spacing w:after="0" w:line="20" w:lineRule="exact"/>
        <w:rPr>
          <w:color w:val="auto"/>
          <w:sz w:val="20"/>
          <w:szCs w:val="20"/>
        </w:rPr>
      </w:pPr>
      <w:r>
        <w:rPr>
          <w:color w:val="auto"/>
          <w:sz w:val="20"/>
          <w:szCs w:val="20"/>
        </w:rPr>
        <w:drawing>
          <wp:anchor simplePos="0" relativeHeight="251965440" behindDoc="1" locked="0" layoutInCell="0" allowOverlap="1">
            <wp:simplePos x="0" y="0"/>
            <wp:positionH relativeFrom="column">
              <wp:posOffset>-182245</wp:posOffset>
            </wp:positionH>
            <wp:positionV relativeFrom="paragraph">
              <wp:posOffset>10795</wp:posOffset>
            </wp:positionV>
            <wp:extent cx="3554730" cy="5715"/>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342"/>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2160"/>
        <w:rPr>
          <w:color w:val="auto"/>
          <w:sz w:val="20"/>
          <w:szCs w:val="20"/>
        </w:rPr>
      </w:pPr>
      <w:r>
        <w:rPr>
          <w:rFonts w:ascii="Calibri" w:eastAsia="Calibri" w:hAnsi="Calibri" w:cs="Calibri"/>
          <w:color w:val="auto"/>
          <w:sz w:val="12"/>
          <w:szCs w:val="12"/>
        </w:rPr>
        <w:t>Edward J. Rapp</w:t>
      </w:r>
    </w:p>
    <w:p>
      <w:pPr>
        <w:spacing w:after="0" w:line="193" w:lineRule="auto"/>
        <w:ind w:left="1980"/>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2040"/>
        <w:rPr>
          <w:color w:val="auto"/>
          <w:sz w:val="20"/>
          <w:szCs w:val="20"/>
        </w:rPr>
      </w:pPr>
      <w:r>
        <w:rPr>
          <w:rFonts w:ascii="Calibri" w:eastAsia="Calibri" w:hAnsi="Calibri" w:cs="Calibri"/>
          <w:color w:val="auto"/>
          <w:sz w:val="12"/>
          <w:szCs w:val="12"/>
        </w:rPr>
        <w:t>/s/ GLENN F. TILTON</w:t>
      </w:r>
    </w:p>
    <w:p>
      <w:pPr>
        <w:spacing w:after="0" w:line="20" w:lineRule="exact"/>
        <w:rPr>
          <w:color w:val="auto"/>
          <w:sz w:val="20"/>
          <w:szCs w:val="20"/>
        </w:rPr>
      </w:pPr>
      <w:r>
        <w:rPr>
          <w:color w:val="auto"/>
          <w:sz w:val="20"/>
          <w:szCs w:val="20"/>
        </w:rPr>
        <w:drawing>
          <wp:anchor simplePos="0" relativeHeight="251966464" behindDoc="1" locked="0" layoutInCell="0" allowOverlap="1">
            <wp:simplePos x="0" y="0"/>
            <wp:positionH relativeFrom="column">
              <wp:posOffset>-182245</wp:posOffset>
            </wp:positionH>
            <wp:positionV relativeFrom="paragraph">
              <wp:posOffset>10795</wp:posOffset>
            </wp:positionV>
            <wp:extent cx="3554730" cy="5715"/>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343"/>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right="840"/>
        <w:jc w:val="center"/>
        <w:rPr>
          <w:color w:val="auto"/>
          <w:sz w:val="20"/>
          <w:szCs w:val="20"/>
        </w:rPr>
      </w:pPr>
      <w:r>
        <w:rPr>
          <w:rFonts w:ascii="Calibri" w:eastAsia="Calibri" w:hAnsi="Calibri" w:cs="Calibri"/>
          <w:color w:val="auto"/>
          <w:sz w:val="12"/>
          <w:szCs w:val="12"/>
        </w:rPr>
        <w:t>Glenn F. Tilton</w:t>
      </w:r>
    </w:p>
    <w:p>
      <w:pPr>
        <w:spacing w:after="0" w:line="193" w:lineRule="auto"/>
        <w:ind w:right="840"/>
        <w:jc w:val="center"/>
        <w:rPr>
          <w:color w:val="auto"/>
          <w:sz w:val="20"/>
          <w:szCs w:val="20"/>
        </w:rPr>
      </w:pPr>
      <w:r>
        <w:rPr>
          <w:rFonts w:ascii="Calibri" w:eastAsia="Calibri" w:hAnsi="Calibri" w:cs="Calibri"/>
          <w:color w:val="auto"/>
          <w:sz w:val="12"/>
          <w:szCs w:val="12"/>
        </w:rPr>
        <w:t>Director of AbbVie Inc.</w:t>
      </w:r>
    </w:p>
    <w:p>
      <w:pPr>
        <w:spacing w:after="0" w:line="20" w:lineRule="exact"/>
        <w:rPr>
          <w:color w:val="auto"/>
          <w:sz w:val="20"/>
          <w:szCs w:val="20"/>
        </w:rPr>
      </w:pPr>
      <w:r>
        <w:rPr>
          <w:color w:val="auto"/>
          <w:sz w:val="20"/>
          <w:szCs w:val="20"/>
        </w:rPr>
        <w:br w:type="column"/>
      </w:r>
    </w:p>
    <w:p>
      <w:pPr>
        <w:spacing w:after="0" w:line="104" w:lineRule="exact"/>
        <w:rPr>
          <w:color w:val="auto"/>
          <w:sz w:val="20"/>
          <w:szCs w:val="20"/>
        </w:rPr>
      </w:pPr>
    </w:p>
    <w:p>
      <w:pPr>
        <w:spacing w:after="0"/>
        <w:ind w:left="1140"/>
        <w:rPr>
          <w:color w:val="auto"/>
          <w:sz w:val="20"/>
          <w:szCs w:val="20"/>
        </w:rPr>
      </w:pPr>
      <w:r>
        <w:rPr>
          <w:rFonts w:ascii="Calibri" w:eastAsia="Calibri" w:hAnsi="Calibri" w:cs="Calibri"/>
          <w:color w:val="auto"/>
          <w:sz w:val="12"/>
          <w:szCs w:val="12"/>
        </w:rPr>
        <w:t>/s/ SCOTT T. REENTS</w:t>
      </w:r>
    </w:p>
    <w:p>
      <w:pPr>
        <w:spacing w:after="0" w:line="20" w:lineRule="exact"/>
        <w:rPr>
          <w:color w:val="auto"/>
          <w:sz w:val="20"/>
          <w:szCs w:val="20"/>
        </w:rPr>
      </w:pPr>
      <w:r>
        <w:rPr>
          <w:color w:val="auto"/>
          <w:sz w:val="20"/>
          <w:szCs w:val="20"/>
        </w:rPr>
        <w:drawing>
          <wp:anchor simplePos="0" relativeHeight="251967488" behindDoc="1" locked="0" layoutInCell="0" allowOverlap="1">
            <wp:simplePos x="0" y="0"/>
            <wp:positionH relativeFrom="column">
              <wp:posOffset>-748665</wp:posOffset>
            </wp:positionH>
            <wp:positionV relativeFrom="paragraph">
              <wp:posOffset>10795</wp:posOffset>
            </wp:positionV>
            <wp:extent cx="3554730" cy="5715"/>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1280"/>
        <w:rPr>
          <w:color w:val="auto"/>
          <w:sz w:val="20"/>
          <w:szCs w:val="20"/>
        </w:rPr>
      </w:pPr>
      <w:r>
        <w:rPr>
          <w:rFonts w:ascii="Calibri" w:eastAsia="Calibri" w:hAnsi="Calibri" w:cs="Calibri"/>
          <w:color w:val="auto"/>
          <w:sz w:val="12"/>
          <w:szCs w:val="12"/>
        </w:rPr>
        <w:t>Scot T. Reents</w:t>
      </w:r>
    </w:p>
    <w:p>
      <w:pPr>
        <w:spacing w:after="0" w:line="193" w:lineRule="auto"/>
        <w:ind w:right="1220"/>
        <w:jc w:val="center"/>
        <w:rPr>
          <w:color w:val="auto"/>
          <w:sz w:val="20"/>
          <w:szCs w:val="20"/>
        </w:rPr>
      </w:pPr>
      <w:r>
        <w:rPr>
          <w:rFonts w:ascii="Calibri" w:eastAsia="Calibri" w:hAnsi="Calibri" w:cs="Calibri"/>
          <w:color w:val="auto"/>
          <w:sz w:val="12"/>
          <w:szCs w:val="12"/>
        </w:rPr>
        <w:t>Executve Vice President, Chief Financial Ofcer</w:t>
      </w:r>
    </w:p>
    <w:p>
      <w:pPr>
        <w:spacing w:after="0" w:line="206" w:lineRule="auto"/>
        <w:ind w:right="1220"/>
        <w:jc w:val="center"/>
        <w:rPr>
          <w:color w:val="auto"/>
          <w:sz w:val="20"/>
          <w:szCs w:val="20"/>
        </w:rPr>
      </w:pPr>
      <w:r>
        <w:rPr>
          <w:rFonts w:ascii="Calibri" w:eastAsia="Calibri" w:hAnsi="Calibri" w:cs="Calibri"/>
          <w:color w:val="auto"/>
          <w:sz w:val="12"/>
          <w:szCs w:val="12"/>
        </w:rPr>
        <w:t>(Principal Financial Ofcer)</w:t>
      </w:r>
    </w:p>
    <w:p>
      <w:pPr>
        <w:spacing w:after="0" w:line="43" w:lineRule="exact"/>
        <w:rPr>
          <w:color w:val="auto"/>
          <w:sz w:val="20"/>
          <w:szCs w:val="20"/>
        </w:rPr>
      </w:pPr>
    </w:p>
    <w:p>
      <w:pPr>
        <w:spacing w:after="0"/>
        <w:ind w:left="1000"/>
        <w:rPr>
          <w:color w:val="auto"/>
          <w:sz w:val="20"/>
          <w:szCs w:val="20"/>
        </w:rPr>
      </w:pPr>
      <w:r>
        <w:rPr>
          <w:rFonts w:ascii="Calibri" w:eastAsia="Calibri" w:hAnsi="Calibri" w:cs="Calibri"/>
          <w:color w:val="auto"/>
          <w:sz w:val="12"/>
          <w:szCs w:val="12"/>
        </w:rPr>
        <w:t>/s/ RICHARD A. GONZALEZ</w:t>
      </w:r>
    </w:p>
    <w:p>
      <w:pPr>
        <w:spacing w:after="0" w:line="20" w:lineRule="exact"/>
        <w:rPr>
          <w:color w:val="auto"/>
          <w:sz w:val="20"/>
          <w:szCs w:val="20"/>
        </w:rPr>
      </w:pPr>
      <w:r>
        <w:rPr>
          <w:color w:val="auto"/>
          <w:sz w:val="20"/>
          <w:szCs w:val="20"/>
        </w:rPr>
        <w:drawing>
          <wp:anchor simplePos="0" relativeHeight="251968512" behindDoc="1" locked="0" layoutInCell="0" allowOverlap="1">
            <wp:simplePos x="0" y="0"/>
            <wp:positionH relativeFrom="column">
              <wp:posOffset>-748665</wp:posOffset>
            </wp:positionH>
            <wp:positionV relativeFrom="paragraph">
              <wp:posOffset>10795</wp:posOffset>
            </wp:positionV>
            <wp:extent cx="3554730" cy="5715"/>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1160"/>
        <w:rPr>
          <w:color w:val="auto"/>
          <w:sz w:val="20"/>
          <w:szCs w:val="20"/>
        </w:rPr>
      </w:pPr>
      <w:r>
        <w:rPr>
          <w:rFonts w:ascii="Calibri" w:eastAsia="Calibri" w:hAnsi="Calibri" w:cs="Calibri"/>
          <w:color w:val="auto"/>
          <w:sz w:val="12"/>
          <w:szCs w:val="12"/>
        </w:rPr>
        <w:t>Richard A. Gonzalez</w:t>
      </w:r>
    </w:p>
    <w:p>
      <w:pPr>
        <w:spacing w:after="0" w:line="193" w:lineRule="auto"/>
        <w:rPr>
          <w:color w:val="auto"/>
          <w:sz w:val="20"/>
          <w:szCs w:val="20"/>
        </w:rPr>
      </w:pPr>
      <w:r>
        <w:rPr>
          <w:rFonts w:ascii="Calibri" w:eastAsia="Calibri" w:hAnsi="Calibri" w:cs="Calibri"/>
          <w:color w:val="auto"/>
          <w:sz w:val="12"/>
          <w:szCs w:val="12"/>
        </w:rPr>
        <w:t>Executve Chairman of the Board and Retred Chief Executve Ofcer</w:t>
      </w:r>
    </w:p>
    <w:p>
      <w:pPr>
        <w:spacing w:after="0" w:line="214" w:lineRule="exact"/>
        <w:rPr>
          <w:color w:val="auto"/>
          <w:sz w:val="20"/>
          <w:szCs w:val="20"/>
        </w:rPr>
      </w:pPr>
    </w:p>
    <w:p>
      <w:pPr>
        <w:spacing w:after="0"/>
        <w:ind w:left="1060"/>
        <w:rPr>
          <w:color w:val="auto"/>
          <w:sz w:val="20"/>
          <w:szCs w:val="20"/>
        </w:rPr>
      </w:pPr>
      <w:r>
        <w:rPr>
          <w:rFonts w:ascii="Calibri" w:eastAsia="Calibri" w:hAnsi="Calibri" w:cs="Calibri"/>
          <w:color w:val="auto"/>
          <w:sz w:val="12"/>
          <w:szCs w:val="12"/>
        </w:rPr>
        <w:t>/s/ ROXANNE S. AUSTIN</w:t>
      </w:r>
    </w:p>
    <w:p>
      <w:pPr>
        <w:spacing w:after="0" w:line="20" w:lineRule="exact"/>
        <w:rPr>
          <w:color w:val="auto"/>
          <w:sz w:val="20"/>
          <w:szCs w:val="20"/>
        </w:rPr>
      </w:pPr>
      <w:r>
        <w:rPr>
          <w:color w:val="auto"/>
          <w:sz w:val="20"/>
          <w:szCs w:val="20"/>
        </w:rPr>
        <w:drawing>
          <wp:anchor simplePos="0" relativeHeight="251969536" behindDoc="1" locked="0" layoutInCell="0" allowOverlap="1">
            <wp:simplePos x="0" y="0"/>
            <wp:positionH relativeFrom="column">
              <wp:posOffset>-748665</wp:posOffset>
            </wp:positionH>
            <wp:positionV relativeFrom="paragraph">
              <wp:posOffset>10795</wp:posOffset>
            </wp:positionV>
            <wp:extent cx="3554730" cy="5715"/>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346"/>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1200"/>
        <w:rPr>
          <w:color w:val="auto"/>
          <w:sz w:val="20"/>
          <w:szCs w:val="20"/>
        </w:rPr>
      </w:pPr>
      <w:r>
        <w:rPr>
          <w:rFonts w:ascii="Calibri" w:eastAsia="Calibri" w:hAnsi="Calibri" w:cs="Calibri"/>
          <w:color w:val="auto"/>
          <w:sz w:val="12"/>
          <w:szCs w:val="12"/>
        </w:rPr>
        <w:t>Roxanne S. Austn</w:t>
      </w:r>
    </w:p>
    <w:p>
      <w:pPr>
        <w:spacing w:after="0" w:line="193" w:lineRule="auto"/>
        <w:ind w:left="1080"/>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1100"/>
        <w:rPr>
          <w:color w:val="auto"/>
          <w:sz w:val="20"/>
          <w:szCs w:val="20"/>
        </w:rPr>
      </w:pPr>
      <w:r>
        <w:rPr>
          <w:rFonts w:ascii="Calibri" w:eastAsia="Calibri" w:hAnsi="Calibri" w:cs="Calibri"/>
          <w:color w:val="auto"/>
          <w:sz w:val="12"/>
          <w:szCs w:val="12"/>
        </w:rPr>
        <w:t>/s/ JENNIFER L. DAVIS</w:t>
      </w:r>
    </w:p>
    <w:p>
      <w:pPr>
        <w:spacing w:after="0" w:line="20" w:lineRule="exact"/>
        <w:rPr>
          <w:color w:val="auto"/>
          <w:sz w:val="20"/>
          <w:szCs w:val="20"/>
        </w:rPr>
      </w:pPr>
      <w:r>
        <w:rPr>
          <w:color w:val="auto"/>
          <w:sz w:val="20"/>
          <w:szCs w:val="20"/>
        </w:rPr>
        <w:drawing>
          <wp:anchor simplePos="0" relativeHeight="251970560" behindDoc="1" locked="0" layoutInCell="0" allowOverlap="1">
            <wp:simplePos x="0" y="0"/>
            <wp:positionH relativeFrom="column">
              <wp:posOffset>-748665</wp:posOffset>
            </wp:positionH>
            <wp:positionV relativeFrom="paragraph">
              <wp:posOffset>10795</wp:posOffset>
            </wp:positionV>
            <wp:extent cx="3554730" cy="5715"/>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right="1220"/>
        <w:jc w:val="center"/>
        <w:rPr>
          <w:color w:val="auto"/>
          <w:sz w:val="20"/>
          <w:szCs w:val="20"/>
        </w:rPr>
      </w:pPr>
      <w:r>
        <w:rPr>
          <w:rFonts w:ascii="Calibri" w:eastAsia="Calibri" w:hAnsi="Calibri" w:cs="Calibri"/>
          <w:color w:val="auto"/>
          <w:sz w:val="12"/>
          <w:szCs w:val="12"/>
        </w:rPr>
        <w:t>Jennifer L. Davis</w:t>
      </w:r>
    </w:p>
    <w:p>
      <w:pPr>
        <w:spacing w:after="0" w:line="193" w:lineRule="auto"/>
        <w:ind w:right="1220"/>
        <w:jc w:val="center"/>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1200"/>
        <w:rPr>
          <w:color w:val="auto"/>
          <w:sz w:val="20"/>
          <w:szCs w:val="20"/>
        </w:rPr>
      </w:pPr>
      <w:r>
        <w:rPr>
          <w:rFonts w:ascii="Calibri" w:eastAsia="Calibri" w:hAnsi="Calibri" w:cs="Calibri"/>
          <w:color w:val="auto"/>
          <w:sz w:val="12"/>
          <w:szCs w:val="12"/>
        </w:rPr>
        <w:t>/s/ BRETT J. HART</w:t>
      </w:r>
    </w:p>
    <w:p>
      <w:pPr>
        <w:spacing w:after="0" w:line="20" w:lineRule="exact"/>
        <w:rPr>
          <w:color w:val="auto"/>
          <w:sz w:val="20"/>
          <w:szCs w:val="20"/>
        </w:rPr>
      </w:pPr>
      <w:r>
        <w:rPr>
          <w:color w:val="auto"/>
          <w:sz w:val="20"/>
          <w:szCs w:val="20"/>
        </w:rPr>
        <w:drawing>
          <wp:anchor simplePos="0" relativeHeight="251971584" behindDoc="1" locked="0" layoutInCell="0" allowOverlap="1">
            <wp:simplePos x="0" y="0"/>
            <wp:positionH relativeFrom="column">
              <wp:posOffset>-748665</wp:posOffset>
            </wp:positionH>
            <wp:positionV relativeFrom="paragraph">
              <wp:posOffset>10795</wp:posOffset>
            </wp:positionV>
            <wp:extent cx="3554730" cy="5715"/>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1340"/>
        <w:rPr>
          <w:color w:val="auto"/>
          <w:sz w:val="20"/>
          <w:szCs w:val="20"/>
        </w:rPr>
      </w:pPr>
      <w:r>
        <w:rPr>
          <w:rFonts w:ascii="Calibri" w:eastAsia="Calibri" w:hAnsi="Calibri" w:cs="Calibri"/>
          <w:color w:val="auto"/>
          <w:sz w:val="12"/>
          <w:szCs w:val="12"/>
        </w:rPr>
        <w:t>Bret J. Hart</w:t>
      </w:r>
    </w:p>
    <w:p>
      <w:pPr>
        <w:spacing w:after="0" w:line="193" w:lineRule="auto"/>
        <w:ind w:left="1080"/>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920"/>
        <w:rPr>
          <w:color w:val="auto"/>
          <w:sz w:val="20"/>
          <w:szCs w:val="20"/>
        </w:rPr>
      </w:pPr>
      <w:r>
        <w:rPr>
          <w:rFonts w:ascii="Calibri" w:eastAsia="Calibri" w:hAnsi="Calibri" w:cs="Calibri"/>
          <w:color w:val="auto"/>
          <w:sz w:val="12"/>
          <w:szCs w:val="12"/>
        </w:rPr>
        <w:t>/s/ SUSAN E. QUAGGIN, M.D.</w:t>
      </w:r>
    </w:p>
    <w:p>
      <w:pPr>
        <w:spacing w:after="0" w:line="20" w:lineRule="exact"/>
        <w:rPr>
          <w:color w:val="auto"/>
          <w:sz w:val="20"/>
          <w:szCs w:val="20"/>
        </w:rPr>
      </w:pPr>
      <w:r>
        <w:rPr>
          <w:color w:val="auto"/>
          <w:sz w:val="20"/>
          <w:szCs w:val="20"/>
        </w:rPr>
        <w:drawing>
          <wp:anchor simplePos="0" relativeHeight="251972608" behindDoc="1" locked="0" layoutInCell="0" allowOverlap="1">
            <wp:simplePos x="0" y="0"/>
            <wp:positionH relativeFrom="column">
              <wp:posOffset>-748665</wp:posOffset>
            </wp:positionH>
            <wp:positionV relativeFrom="paragraph">
              <wp:posOffset>10795</wp:posOffset>
            </wp:positionV>
            <wp:extent cx="3554730" cy="5715"/>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1080"/>
        <w:rPr>
          <w:color w:val="auto"/>
          <w:sz w:val="20"/>
          <w:szCs w:val="20"/>
        </w:rPr>
      </w:pPr>
      <w:r>
        <w:rPr>
          <w:rFonts w:ascii="Calibri" w:eastAsia="Calibri" w:hAnsi="Calibri" w:cs="Calibri"/>
          <w:color w:val="auto"/>
          <w:sz w:val="12"/>
          <w:szCs w:val="12"/>
        </w:rPr>
        <w:t>Susan E. Quaggin, M.D.</w:t>
      </w:r>
    </w:p>
    <w:p>
      <w:pPr>
        <w:spacing w:after="0" w:line="193" w:lineRule="auto"/>
        <w:ind w:left="1080"/>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1040"/>
        <w:rPr>
          <w:color w:val="auto"/>
          <w:sz w:val="20"/>
          <w:szCs w:val="20"/>
        </w:rPr>
      </w:pPr>
      <w:r>
        <w:rPr>
          <w:rFonts w:ascii="Calibri" w:eastAsia="Calibri" w:hAnsi="Calibri" w:cs="Calibri"/>
          <w:color w:val="auto"/>
          <w:sz w:val="12"/>
          <w:szCs w:val="12"/>
        </w:rPr>
        <w:t>/s/ REBECCA B. ROBERTS</w:t>
      </w:r>
    </w:p>
    <w:p>
      <w:pPr>
        <w:spacing w:after="0" w:line="20" w:lineRule="exact"/>
        <w:rPr>
          <w:color w:val="auto"/>
          <w:sz w:val="20"/>
          <w:szCs w:val="20"/>
        </w:rPr>
      </w:pPr>
      <w:r>
        <w:rPr>
          <w:color w:val="auto"/>
          <w:sz w:val="20"/>
          <w:szCs w:val="20"/>
        </w:rPr>
        <w:drawing>
          <wp:anchor simplePos="0" relativeHeight="251973632" behindDoc="1" locked="0" layoutInCell="0" allowOverlap="1">
            <wp:simplePos x="0" y="0"/>
            <wp:positionH relativeFrom="column">
              <wp:posOffset>-748665</wp:posOffset>
            </wp:positionH>
            <wp:positionV relativeFrom="paragraph">
              <wp:posOffset>10795</wp:posOffset>
            </wp:positionV>
            <wp:extent cx="3554730" cy="5715"/>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left="1160"/>
        <w:rPr>
          <w:color w:val="auto"/>
          <w:sz w:val="20"/>
          <w:szCs w:val="20"/>
        </w:rPr>
      </w:pPr>
      <w:r>
        <w:rPr>
          <w:rFonts w:ascii="Calibri" w:eastAsia="Calibri" w:hAnsi="Calibri" w:cs="Calibri"/>
          <w:color w:val="auto"/>
          <w:sz w:val="12"/>
          <w:szCs w:val="12"/>
        </w:rPr>
        <w:t>Rebecca B. Roberts</w:t>
      </w:r>
    </w:p>
    <w:p>
      <w:pPr>
        <w:spacing w:after="0" w:line="193" w:lineRule="auto"/>
        <w:ind w:left="1080"/>
        <w:rPr>
          <w:color w:val="auto"/>
          <w:sz w:val="20"/>
          <w:szCs w:val="20"/>
        </w:rPr>
      </w:pPr>
      <w:r>
        <w:rPr>
          <w:rFonts w:ascii="Calibri" w:eastAsia="Calibri" w:hAnsi="Calibri" w:cs="Calibri"/>
          <w:color w:val="auto"/>
          <w:sz w:val="12"/>
          <w:szCs w:val="12"/>
        </w:rPr>
        <w:t>Director of AbbVie Inc.</w:t>
      </w:r>
    </w:p>
    <w:p>
      <w:pPr>
        <w:spacing w:after="0" w:line="52" w:lineRule="exact"/>
        <w:rPr>
          <w:color w:val="auto"/>
          <w:sz w:val="20"/>
          <w:szCs w:val="20"/>
        </w:rPr>
      </w:pPr>
    </w:p>
    <w:p>
      <w:pPr>
        <w:spacing w:after="0"/>
        <w:ind w:left="960"/>
        <w:rPr>
          <w:color w:val="auto"/>
          <w:sz w:val="20"/>
          <w:szCs w:val="20"/>
        </w:rPr>
      </w:pPr>
      <w:r>
        <w:rPr>
          <w:rFonts w:ascii="Calibri" w:eastAsia="Calibri" w:hAnsi="Calibri" w:cs="Calibri"/>
          <w:color w:val="auto"/>
          <w:sz w:val="12"/>
          <w:szCs w:val="12"/>
        </w:rPr>
        <w:t>/s/ FREDERICK H. WADDELL</w:t>
      </w:r>
    </w:p>
    <w:p>
      <w:pPr>
        <w:spacing w:after="0" w:line="20" w:lineRule="exact"/>
        <w:rPr>
          <w:color w:val="auto"/>
          <w:sz w:val="20"/>
          <w:szCs w:val="20"/>
        </w:rPr>
      </w:pPr>
      <w:r>
        <w:rPr>
          <w:color w:val="auto"/>
          <w:sz w:val="20"/>
          <w:szCs w:val="20"/>
        </w:rPr>
        <w:drawing>
          <wp:anchor simplePos="0" relativeHeight="251974656" behindDoc="1" locked="0" layoutInCell="0" allowOverlap="1">
            <wp:simplePos x="0" y="0"/>
            <wp:positionH relativeFrom="column">
              <wp:posOffset>-748665</wp:posOffset>
            </wp:positionH>
            <wp:positionV relativeFrom="paragraph">
              <wp:posOffset>10795</wp:posOffset>
            </wp:positionV>
            <wp:extent cx="3554730" cy="5715"/>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4730" cy="5715"/>
                    </a:xfrm>
                    <a:prstGeom prst="rect">
                      <a:avLst/>
                    </a:prstGeom>
                    <a:noFill/>
                  </pic:spPr>
                </pic:pic>
              </a:graphicData>
            </a:graphic>
          </wp:anchor>
        </w:drawing>
      </w:r>
    </w:p>
    <w:p>
      <w:pPr>
        <w:spacing w:after="0"/>
        <w:ind w:right="1220"/>
        <w:jc w:val="center"/>
        <w:rPr>
          <w:color w:val="auto"/>
          <w:sz w:val="20"/>
          <w:szCs w:val="20"/>
        </w:rPr>
      </w:pPr>
      <w:r>
        <w:rPr>
          <w:rFonts w:ascii="Calibri" w:eastAsia="Calibri" w:hAnsi="Calibri" w:cs="Calibri"/>
          <w:color w:val="auto"/>
          <w:sz w:val="12"/>
          <w:szCs w:val="12"/>
        </w:rPr>
        <w:t>Frederick H. Waddell</w:t>
      </w:r>
    </w:p>
    <w:p>
      <w:pPr>
        <w:spacing w:after="0" w:line="193" w:lineRule="auto"/>
        <w:ind w:right="1220"/>
        <w:jc w:val="center"/>
        <w:rPr>
          <w:color w:val="auto"/>
          <w:sz w:val="20"/>
          <w:szCs w:val="20"/>
        </w:rPr>
      </w:pPr>
      <w:r>
        <w:rPr>
          <w:rFonts w:ascii="Calibri" w:eastAsia="Calibri" w:hAnsi="Calibri" w:cs="Calibri"/>
          <w:color w:val="auto"/>
          <w:sz w:val="12"/>
          <w:szCs w:val="12"/>
        </w:rPr>
        <w:t>Director of AbbVie Inc.</w:t>
      </w:r>
    </w:p>
    <w:p>
      <w:pPr>
        <w:spacing w:after="0" w:line="20" w:lineRule="exact"/>
        <w:rPr>
          <w:color w:val="auto"/>
          <w:sz w:val="20"/>
          <w:szCs w:val="20"/>
        </w:rPr>
      </w:pPr>
      <w:r>
        <w:rPr>
          <w:color w:val="auto"/>
          <w:sz w:val="20"/>
          <w:szCs w:val="20"/>
        </w:rPr>
        <w:drawing>
          <wp:anchor simplePos="0" relativeHeight="251975680" behindDoc="1" locked="0" layoutInCell="0" allowOverlap="1">
            <wp:simplePos x="0" y="0"/>
            <wp:positionH relativeFrom="column">
              <wp:posOffset>2119630</wp:posOffset>
            </wp:positionH>
            <wp:positionV relativeFrom="paragraph">
              <wp:posOffset>439420</wp:posOffset>
            </wp:positionV>
            <wp:extent cx="400050" cy="74295"/>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0050" cy="74295"/>
                    </a:xfrm>
                    <a:prstGeom prst="rect">
                      <a:avLst/>
                    </a:prstGeom>
                    <a:noFill/>
                  </pic:spPr>
                </pic:pic>
              </a:graphicData>
            </a:graphic>
          </wp:anchor>
        </w:drawing>
      </w:r>
    </w:p>
    <w:p>
      <w:pPr>
        <w:spacing w:after="0" w:line="200" w:lineRule="exact"/>
        <w:rPr>
          <w:color w:val="auto"/>
          <w:sz w:val="20"/>
          <w:szCs w:val="20"/>
        </w:rPr>
      </w:pPr>
    </w:p>
    <w:p>
      <w:pPr>
        <w:sectPr>
          <w:type w:val="continuous"/>
          <w:pgSz w:w="11900" w:h="16838" w:orient="portrait"/>
          <w:pgMar w:top="759" w:right="299" w:bottom="1440" w:left="580" w:header="0" w:footer="0" w:gutter="0"/>
          <w:cols w:num="2" w:space="720" w:equalWidth="0">
            <w:col w:w="5860" w:space="720"/>
            <w:col w:w="4440" w:space="0"/>
          </w:cols>
        </w:sectPr>
      </w:pPr>
    </w:p>
    <w:p>
      <w:pPr>
        <w:spacing w:after="0" w:line="200" w:lineRule="exact"/>
        <w:rPr>
          <w:color w:val="auto"/>
          <w:sz w:val="20"/>
          <w:szCs w:val="20"/>
        </w:rPr>
      </w:pPr>
    </w:p>
    <w:p>
      <w:pPr>
        <w:spacing w:after="0" w:line="327" w:lineRule="exact"/>
        <w:rPr>
          <w:color w:val="auto"/>
          <w:sz w:val="20"/>
          <w:szCs w:val="20"/>
        </w:rPr>
      </w:pPr>
    </w:p>
    <w:tbl>
      <w:tblPr>
        <w:tblInd w:w="9060" w:type="dxa"/>
        <w:tblLayout w:type="fixed"/>
        <w:tblCellMar>
          <w:top w:w="0" w:type="dxa"/>
          <w:left w:w="0" w:type="dxa"/>
          <w:bottom w:w="0" w:type="dxa"/>
          <w:right w:w="0" w:type="dxa"/>
        </w:tblCellMar>
      </w:tblPr>
      <w:tblGrid>
        <w:gridCol w:w="1300"/>
        <w:gridCol w:w="640"/>
      </w:tblGrid>
      <w:tr>
        <w:tblPrEx>
          <w:tblInd w:w="9060" w:type="dxa"/>
          <w:tblLayout w:type="fixed"/>
        </w:tblPrEx>
        <w:trPr>
          <w:trHeight w:val="146"/>
        </w:trPr>
        <w:tc>
          <w:tcPr>
            <w:tcW w:w="1300" w:type="dxa"/>
            <w:vAlign w:val="bottom"/>
          </w:tcPr>
          <w:p>
            <w:pPr>
              <w:spacing w:after="0"/>
              <w:rPr>
                <w:color w:val="auto"/>
                <w:sz w:val="20"/>
                <w:szCs w:val="20"/>
              </w:rPr>
            </w:pPr>
            <w:r>
              <w:rPr>
                <w:rFonts w:ascii="Calibri" w:eastAsia="Calibri" w:hAnsi="Calibri" w:cs="Calibri"/>
                <w:i/>
                <w:iCs/>
                <w:color w:val="auto"/>
                <w:sz w:val="12"/>
                <w:szCs w:val="12"/>
              </w:rPr>
              <w:t xml:space="preserve">2024 Form 10-K </w:t>
            </w:r>
            <w:r>
              <w:rPr>
                <w:rFonts w:ascii="Calibri" w:eastAsia="Calibri" w:hAnsi="Calibri" w:cs="Calibri"/>
                <w:color w:val="auto"/>
                <w:sz w:val="12"/>
                <w:szCs w:val="12"/>
              </w:rPr>
              <w:t>|</w:t>
            </w:r>
          </w:p>
        </w:tc>
        <w:tc>
          <w:tcPr>
            <w:tcW w:w="640" w:type="dxa"/>
            <w:vAlign w:val="bottom"/>
          </w:tcPr>
          <w:p>
            <w:pPr>
              <w:spacing w:after="0"/>
              <w:jc w:val="right"/>
              <w:rPr>
                <w:color w:val="auto"/>
                <w:sz w:val="20"/>
                <w:szCs w:val="20"/>
              </w:rPr>
            </w:pPr>
            <w:r>
              <w:rPr>
                <w:rFonts w:ascii="Calibri" w:eastAsia="Calibri" w:hAnsi="Calibri" w:cs="Calibri"/>
                <w:b/>
                <w:bCs/>
                <w:i/>
                <w:iCs/>
                <w:color w:val="auto"/>
                <w:sz w:val="12"/>
                <w:szCs w:val="12"/>
              </w:rPr>
              <w:t>114</w:t>
            </w:r>
          </w:p>
        </w:tc>
      </w:tr>
    </w:tbl>
    <w:p>
      <w:pPr>
        <w:sectPr>
          <w:type w:val="continuous"/>
          <w:pgSz w:w="11900" w:h="16838" w:orient="portrait"/>
          <w:pgMar w:top="759" w:right="299" w:bottom="1440" w:left="580" w:header="0" w:footer="0" w:gutter="0"/>
          <w:cols w:num="1" w:space="720" w:equalWidth="0">
            <w:col w:w="11020" w:space="0"/>
          </w:cols>
        </w:sectPr>
      </w:pPr>
    </w:p>
    <w:bookmarkStart w:id="116" w:name="page117"/>
    <w:bookmarkEnd w:id="116"/>
    <w:p>
      <w:pPr>
        <w:spacing w:after="0"/>
        <w:jc w:val="right"/>
        <w:rPr>
          <w:color w:val="auto"/>
          <w:sz w:val="20"/>
          <w:szCs w:val="20"/>
        </w:rPr>
      </w:pPr>
      <w:r>
        <w:rPr>
          <w:rFonts w:ascii="Calibri" w:eastAsia="Calibri" w:hAnsi="Calibri" w:cs="Calibri"/>
          <w:b/>
          <w:bCs/>
          <w:color w:val="auto"/>
          <w:sz w:val="12"/>
          <w:szCs w:val="12"/>
        </w:rPr>
        <w:t>Exhibit 4.1</w:t>
      </w:r>
    </w:p>
    <w:p>
      <w:pPr>
        <w:spacing w:after="0" w:line="200" w:lineRule="exact"/>
        <w:rPr>
          <w:color w:val="auto"/>
          <w:sz w:val="20"/>
          <w:szCs w:val="20"/>
        </w:rPr>
      </w:pPr>
    </w:p>
    <w:p>
      <w:pPr>
        <w:spacing w:after="0" w:line="200" w:lineRule="exact"/>
        <w:rPr>
          <w:color w:val="auto"/>
          <w:sz w:val="20"/>
          <w:szCs w:val="20"/>
        </w:rPr>
      </w:pPr>
    </w:p>
    <w:p>
      <w:pPr>
        <w:spacing w:after="0" w:line="318" w:lineRule="exact"/>
        <w:rPr>
          <w:color w:val="auto"/>
          <w:sz w:val="20"/>
          <w:szCs w:val="20"/>
        </w:rPr>
      </w:pPr>
    </w:p>
    <w:p>
      <w:pPr>
        <w:spacing w:after="0"/>
        <w:jc w:val="center"/>
        <w:rPr>
          <w:color w:val="auto"/>
          <w:sz w:val="20"/>
          <w:szCs w:val="20"/>
        </w:rPr>
      </w:pPr>
      <w:r>
        <w:rPr>
          <w:rFonts w:ascii="Calibri" w:eastAsia="Calibri" w:hAnsi="Calibri" w:cs="Calibri"/>
          <w:b/>
          <w:bCs/>
          <w:color w:val="auto"/>
          <w:sz w:val="12"/>
          <w:szCs w:val="12"/>
        </w:rPr>
        <w:t>DESCRIPTION OF THE REGISTRANT’S SECURITIES REGISTERED PURSUANT TO SECTION 12 OF THE SECURITIES EXCHANGE ACT OF 1934</w:t>
      </w:r>
    </w:p>
    <w:p>
      <w:pPr>
        <w:spacing w:after="0" w:line="146" w:lineRule="exact"/>
        <w:rPr>
          <w:color w:val="auto"/>
          <w:sz w:val="20"/>
          <w:szCs w:val="20"/>
        </w:rPr>
      </w:pPr>
    </w:p>
    <w:p>
      <w:pPr>
        <w:spacing w:after="0" w:line="234" w:lineRule="auto"/>
        <w:ind w:right="120" w:firstLine="432"/>
        <w:jc w:val="both"/>
        <w:rPr>
          <w:color w:val="auto"/>
          <w:sz w:val="20"/>
          <w:szCs w:val="20"/>
        </w:rPr>
      </w:pPr>
      <w:r>
        <w:rPr>
          <w:rFonts w:ascii="Calibri" w:eastAsia="Calibri" w:hAnsi="Calibri" w:cs="Calibri"/>
          <w:color w:val="auto"/>
          <w:sz w:val="12"/>
          <w:szCs w:val="12"/>
        </w:rPr>
        <w:t>AbbVie Inc. (“AbbVie,” “we,” “us” and “our”) has the following classes of securites registered pursuant to Secton 12 of the Securites Exchange Act of 1934, as amended (the "Exchange Act"): Common Stock, the 2023 Notes, the May 2024 Notes, the June 2024 Notes, the 2027 Notes, the 2.625% November 2028 Notes, the 2.125% November 2028 Notes, the 2029 Notes and the 2031 Notes (each as defned below).</w:t>
      </w:r>
    </w:p>
    <w:p>
      <w:pPr>
        <w:spacing w:after="0" w:line="142" w:lineRule="exact"/>
        <w:rPr>
          <w:color w:val="auto"/>
          <w:sz w:val="20"/>
          <w:szCs w:val="20"/>
        </w:rPr>
      </w:pPr>
    </w:p>
    <w:p>
      <w:pPr>
        <w:spacing w:after="0"/>
        <w:jc w:val="center"/>
        <w:rPr>
          <w:color w:val="auto"/>
          <w:sz w:val="20"/>
          <w:szCs w:val="20"/>
        </w:rPr>
      </w:pPr>
      <w:r>
        <w:rPr>
          <w:rFonts w:ascii="Calibri" w:eastAsia="Calibri" w:hAnsi="Calibri" w:cs="Calibri"/>
          <w:b/>
          <w:bCs/>
          <w:color w:val="auto"/>
          <w:sz w:val="12"/>
          <w:szCs w:val="12"/>
        </w:rPr>
        <w:t>DESCRIPTION OF CAPITAL STOCK</w:t>
      </w:r>
    </w:p>
    <w:p>
      <w:pPr>
        <w:spacing w:after="0" w:line="146" w:lineRule="exact"/>
        <w:rPr>
          <w:color w:val="auto"/>
          <w:sz w:val="20"/>
          <w:szCs w:val="20"/>
        </w:rPr>
      </w:pPr>
    </w:p>
    <w:p>
      <w:pPr>
        <w:spacing w:after="0" w:line="234" w:lineRule="auto"/>
        <w:ind w:right="120" w:firstLine="432"/>
        <w:jc w:val="both"/>
        <w:rPr>
          <w:color w:val="auto"/>
          <w:sz w:val="20"/>
          <w:szCs w:val="20"/>
        </w:rPr>
      </w:pPr>
      <w:r>
        <w:rPr>
          <w:rFonts w:ascii="Calibri" w:eastAsia="Calibri" w:hAnsi="Calibri" w:cs="Calibri"/>
          <w:color w:val="auto"/>
          <w:sz w:val="12"/>
          <w:szCs w:val="12"/>
        </w:rPr>
        <w:t>The following descripton of the material terms of our capital stock is a summary only and is qualifed in its entrety by reference to the relevant provisions of the General Corporaton Law of Delaware, as amended (the “DGCL”), our Amended and Restated Certfcate of Incorporaton (the “Certfcate of Incorporaton”) and our Amended and Restated By-laws (as amended, the “By-laws”). You should refer to the Certfcate of Incorporaton and the By-laws, both of which we have fled as an exhibit to our Annual Report on Form 10-K. In additon, you should refer to the DGCL, which may also afect the terms of our capital stock.</w:t>
      </w:r>
    </w:p>
    <w:p>
      <w:pPr>
        <w:spacing w:after="0" w:line="143"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General</w:t>
      </w:r>
    </w:p>
    <w:p>
      <w:pPr>
        <w:spacing w:after="0" w:line="146" w:lineRule="exact"/>
        <w:rPr>
          <w:color w:val="auto"/>
          <w:sz w:val="20"/>
          <w:szCs w:val="20"/>
        </w:rPr>
      </w:pPr>
    </w:p>
    <w:p>
      <w:pPr>
        <w:spacing w:after="0" w:line="234" w:lineRule="auto"/>
        <w:ind w:right="40" w:firstLine="432"/>
        <w:rPr>
          <w:color w:val="auto"/>
          <w:sz w:val="20"/>
          <w:szCs w:val="20"/>
        </w:rPr>
      </w:pPr>
      <w:r>
        <w:rPr>
          <w:rFonts w:ascii="Calibri" w:eastAsia="Calibri" w:hAnsi="Calibri" w:cs="Calibri"/>
          <w:color w:val="auto"/>
          <w:sz w:val="12"/>
          <w:szCs w:val="12"/>
        </w:rPr>
        <w:t>AbbVie is authorized to issue up to 4 billion shares of common stock, par value $0.01 per share (“Common Stock”), and 200 million shares of preferred stock, par value $0.01 per share (“Preferred Stock”), all of which shares of Preferred Stock are undesignated. AbbVie’s board of directors may establish the rights and preferences of the Preferred Stock from tme to tme. The Common Stock is listed on the New York Stock Exchange and the Chicago Stock Exchange under the symbol “ABBV.”</w:t>
      </w:r>
    </w:p>
    <w:p>
      <w:pPr>
        <w:spacing w:after="0" w:line="143"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Common Stock</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Votng Rights</w:t>
      </w:r>
    </w:p>
    <w:p>
      <w:pPr>
        <w:spacing w:after="0" w:line="146" w:lineRule="exact"/>
        <w:rPr>
          <w:color w:val="auto"/>
          <w:sz w:val="20"/>
          <w:szCs w:val="20"/>
        </w:rPr>
      </w:pPr>
    </w:p>
    <w:p>
      <w:pPr>
        <w:spacing w:after="0" w:line="234" w:lineRule="auto"/>
        <w:ind w:right="80" w:firstLine="432"/>
        <w:jc w:val="both"/>
        <w:rPr>
          <w:color w:val="auto"/>
          <w:sz w:val="20"/>
          <w:szCs w:val="20"/>
        </w:rPr>
      </w:pPr>
      <w:r>
        <w:rPr>
          <w:rFonts w:ascii="Calibri" w:eastAsia="Calibri" w:hAnsi="Calibri" w:cs="Calibri"/>
          <w:color w:val="auto"/>
          <w:sz w:val="12"/>
          <w:szCs w:val="12"/>
        </w:rPr>
        <w:t>Each holder of Common Stock is enttled to one vote for each share on all maters to be voted upon by the common stockholders, and there are no cumulatve votng rights. Except as otherwise provided by law, the Certfcate of Incorporaton or the By-laws, in all maters other than the electon of directors, the afrmatve vote of a majority of the shares present in person or represented by proxy at the meetng and enttled to vote on the mater shall be the act of the stockholders.</w:t>
      </w:r>
    </w:p>
    <w:p>
      <w:pPr>
        <w:spacing w:after="0" w:line="143"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Dividend Rights</w:t>
      </w:r>
    </w:p>
    <w:p>
      <w:pPr>
        <w:spacing w:after="0" w:line="146" w:lineRule="exact"/>
        <w:rPr>
          <w:color w:val="auto"/>
          <w:sz w:val="20"/>
          <w:szCs w:val="20"/>
        </w:rPr>
      </w:pPr>
    </w:p>
    <w:p>
      <w:pPr>
        <w:spacing w:after="0" w:line="234" w:lineRule="auto"/>
        <w:ind w:right="60" w:firstLine="432"/>
        <w:jc w:val="both"/>
        <w:rPr>
          <w:color w:val="auto"/>
          <w:sz w:val="20"/>
          <w:szCs w:val="20"/>
        </w:rPr>
      </w:pPr>
      <w:r>
        <w:rPr>
          <w:rFonts w:ascii="Calibri" w:eastAsia="Calibri" w:hAnsi="Calibri" w:cs="Calibri"/>
          <w:color w:val="auto"/>
          <w:sz w:val="12"/>
          <w:szCs w:val="12"/>
        </w:rPr>
        <w:t>Subject to any preferental rights of any outstanding Preferred Stock, holders of Common Stock are enttled to receive ratably the dividends, if any, as may be declared from tme to tme by its board of directors out of funds legally available for that purpose.</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Liquidaton Rights</w:t>
      </w:r>
    </w:p>
    <w:p>
      <w:pPr>
        <w:spacing w:after="0" w:line="146" w:lineRule="exact"/>
        <w:rPr>
          <w:color w:val="auto"/>
          <w:sz w:val="20"/>
          <w:szCs w:val="20"/>
        </w:rPr>
      </w:pPr>
    </w:p>
    <w:p>
      <w:pPr>
        <w:spacing w:after="0" w:line="234" w:lineRule="auto"/>
        <w:ind w:right="100" w:firstLine="432"/>
        <w:rPr>
          <w:color w:val="auto"/>
          <w:sz w:val="20"/>
          <w:szCs w:val="20"/>
        </w:rPr>
      </w:pPr>
      <w:r>
        <w:rPr>
          <w:rFonts w:ascii="Calibri" w:eastAsia="Calibri" w:hAnsi="Calibri" w:cs="Calibri"/>
          <w:color w:val="auto"/>
          <w:sz w:val="12"/>
          <w:szCs w:val="12"/>
        </w:rPr>
        <w:t>If there is a liquidaton, dissoluton or winding up of AbbVie, holders of Common Stock would be enttled to a ratable distributon of its assets remaining afer the payment in full of liabilites and any preferental rights of any then outstanding Preferred Stock.</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Preemptve and Other Rights; Sinking Fund</w:t>
      </w:r>
    </w:p>
    <w:p>
      <w:pPr>
        <w:spacing w:after="0" w:line="146" w:lineRule="exact"/>
        <w:rPr>
          <w:color w:val="auto"/>
          <w:sz w:val="20"/>
          <w:szCs w:val="20"/>
        </w:rPr>
      </w:pPr>
    </w:p>
    <w:p>
      <w:pPr>
        <w:spacing w:after="0" w:line="234" w:lineRule="auto"/>
        <w:ind w:right="40" w:firstLine="432"/>
        <w:rPr>
          <w:color w:val="auto"/>
          <w:sz w:val="20"/>
          <w:szCs w:val="20"/>
        </w:rPr>
      </w:pPr>
      <w:r>
        <w:rPr>
          <w:rFonts w:ascii="Calibri" w:eastAsia="Calibri" w:hAnsi="Calibri" w:cs="Calibri"/>
          <w:color w:val="auto"/>
          <w:sz w:val="12"/>
          <w:szCs w:val="12"/>
        </w:rPr>
        <w:t>Holders of Common Stock have no preemptve or conversion rights or other subscripton rights, and there are no redempton or sinking fund provisions applicable to the common stock. The rights, preferences and privileges of the holders of Common Stock are subject to, and may be adversely afected by, the rights of the holders of shares of any series of Preferred Stock that AbbVie may designate and issue in the future.</w:t>
      </w:r>
    </w:p>
    <w:p>
      <w:pPr>
        <w:sectPr>
          <w:pgSz w:w="11900" w:h="16838" w:orient="portrait"/>
          <w:pgMar w:top="120" w:right="299" w:bottom="1440" w:left="300" w:header="0" w:footer="0" w:gutter="0"/>
          <w:cols w:num="1" w:space="720" w:equalWidth="0">
            <w:col w:w="11300" w:space="0"/>
          </w:cols>
        </w:sectPr>
      </w:pPr>
    </w:p>
    <w:bookmarkStart w:id="117" w:name="page118"/>
    <w:bookmarkEnd w:id="117"/>
    <w:p>
      <w:pPr>
        <w:spacing w:after="0"/>
        <w:rPr>
          <w:color w:val="auto"/>
          <w:sz w:val="20"/>
          <w:szCs w:val="20"/>
        </w:rPr>
      </w:pPr>
      <w:r>
        <w:rPr>
          <w:rFonts w:ascii="Calibri" w:eastAsia="Calibri" w:hAnsi="Calibri" w:cs="Calibri"/>
          <w:b/>
          <w:bCs/>
          <w:color w:val="auto"/>
          <w:sz w:val="12"/>
          <w:szCs w:val="12"/>
        </w:rPr>
        <w:t>Preferred Stock</w:t>
      </w:r>
    </w:p>
    <w:p>
      <w:pPr>
        <w:spacing w:after="0" w:line="146" w:lineRule="exact"/>
        <w:rPr>
          <w:color w:val="auto"/>
          <w:sz w:val="20"/>
          <w:szCs w:val="20"/>
        </w:rPr>
      </w:pPr>
    </w:p>
    <w:p>
      <w:pPr>
        <w:spacing w:after="0" w:line="234" w:lineRule="auto"/>
        <w:ind w:right="40" w:firstLine="432"/>
        <w:jc w:val="both"/>
        <w:rPr>
          <w:color w:val="auto"/>
          <w:sz w:val="20"/>
          <w:szCs w:val="20"/>
        </w:rPr>
      </w:pPr>
      <w:r>
        <w:rPr>
          <w:rFonts w:ascii="Calibri" w:eastAsia="Calibri" w:hAnsi="Calibri" w:cs="Calibri"/>
          <w:color w:val="auto"/>
          <w:sz w:val="12"/>
          <w:szCs w:val="12"/>
        </w:rPr>
        <w:t>Under the terms of the Certfcate of Incorporaton, our board of directors is authorized, subject to limitatons prescribed by the DGCL and the Certfcate of Incorporaton, to issue up to 200 million shares of Preferred Stock in one or more series without further acton by the holders of our Common Stock. Our board of directors has the discreton, subject to limitatons prescribed by the DGCL and the Certfcate of Incorporaton, to determine the rights, preferences, privileges and restrictons, including votng rights, dividend rights, conversion rights, redempton privileges and liquidaton preferences, of each series of Preferred Stock.</w:t>
      </w:r>
    </w:p>
    <w:p>
      <w:pPr>
        <w:spacing w:after="0" w:line="143"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Ant-Takeover Efects of Various Provisions of Delaware Law and AbbVie’s Certfcate of Incorporaton and By-Laws</w:t>
      </w:r>
    </w:p>
    <w:p>
      <w:pPr>
        <w:spacing w:after="0" w:line="146" w:lineRule="exact"/>
        <w:rPr>
          <w:color w:val="auto"/>
          <w:sz w:val="20"/>
          <w:szCs w:val="20"/>
        </w:rPr>
      </w:pPr>
    </w:p>
    <w:p>
      <w:pPr>
        <w:spacing w:after="0" w:line="234" w:lineRule="auto"/>
        <w:ind w:firstLine="432"/>
        <w:rPr>
          <w:color w:val="auto"/>
          <w:sz w:val="20"/>
          <w:szCs w:val="20"/>
        </w:rPr>
      </w:pPr>
      <w:r>
        <w:rPr>
          <w:rFonts w:ascii="Calibri" w:eastAsia="Calibri" w:hAnsi="Calibri" w:cs="Calibri"/>
          <w:color w:val="auto"/>
          <w:sz w:val="12"/>
          <w:szCs w:val="12"/>
        </w:rPr>
        <w:t>Provisions of the DGCL, the Certfcate of Incorporaton and the By-Laws could make it more difcult to acquire AbbVie by means of a tender ofer, a proxy contest or otherwise, or to remove incumbent ofcers and directors. These provisions, summarized below, are expected to discourage certain types of coercive takeover practces and takeover bids that AbbVie’s board of directors may consider inadequate and to encourage persons seeking to acquire control of AbbVie to frst negotate with our board of directors.</w:t>
      </w:r>
    </w:p>
    <w:p>
      <w:pPr>
        <w:spacing w:after="0" w:line="143"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Delaware Ant-Takeover Statute</w:t>
      </w:r>
    </w:p>
    <w:p>
      <w:pPr>
        <w:spacing w:after="0" w:line="146" w:lineRule="exact"/>
        <w:rPr>
          <w:color w:val="auto"/>
          <w:sz w:val="20"/>
          <w:szCs w:val="20"/>
        </w:rPr>
      </w:pPr>
    </w:p>
    <w:p>
      <w:pPr>
        <w:spacing w:after="0" w:line="235" w:lineRule="auto"/>
        <w:ind w:firstLine="432"/>
        <w:rPr>
          <w:color w:val="auto"/>
          <w:sz w:val="20"/>
          <w:szCs w:val="20"/>
        </w:rPr>
      </w:pPr>
      <w:r>
        <w:rPr>
          <w:rFonts w:ascii="Calibri" w:eastAsia="Calibri" w:hAnsi="Calibri" w:cs="Calibri"/>
          <w:color w:val="auto"/>
          <w:sz w:val="12"/>
          <w:szCs w:val="12"/>
        </w:rPr>
        <w:t>AbbVie is subject to Secton 203 of the DGCL, an ant-takeover statute. In general, Secton 203 of the DGCL prohibits a publicly held Delaware corporaton from engaging in a “business combinaton” with an “interested stockholder” for a period of three years following the tme the person became an interested stockholder, unless the business combinaton or the acquisiton of shares that resulted in a stockholder becoming an interested stockholder is approved in a prescribed manner. Generally, a “business combinaton” includes a merger, asset or stock sale, or other transacton resultng in a fnancial beneft to the interested stockholder. Generally, an “interested stockholder” is a person who, together with afliates and associates, owns (or within three years prior to the determinaton of interested stockholder status did own) ffeen percent (15%) or more of a corporaton’s votng stock. The existence of this provision would be expected to have an ant-takeover efect with respect to transactons not approved in advance by AbbVie’s board of directors, including discouraging atempts that might result in a premium over the market price for the shares of Common Stock held by AbbVie’s stockholders.</w:t>
      </w:r>
    </w:p>
    <w:p>
      <w:pPr>
        <w:spacing w:after="0" w:line="143"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Board Structure</w:t>
      </w:r>
    </w:p>
    <w:p>
      <w:pPr>
        <w:spacing w:after="0" w:line="146" w:lineRule="exact"/>
        <w:rPr>
          <w:color w:val="auto"/>
          <w:sz w:val="20"/>
          <w:szCs w:val="20"/>
        </w:rPr>
      </w:pPr>
    </w:p>
    <w:p>
      <w:pPr>
        <w:spacing w:after="0" w:line="235" w:lineRule="auto"/>
        <w:ind w:right="60" w:firstLine="432"/>
        <w:rPr>
          <w:color w:val="auto"/>
          <w:sz w:val="20"/>
          <w:szCs w:val="20"/>
        </w:rPr>
      </w:pPr>
      <w:r>
        <w:rPr>
          <w:rFonts w:ascii="Calibri" w:eastAsia="Calibri" w:hAnsi="Calibri" w:cs="Calibri"/>
          <w:color w:val="auto"/>
          <w:sz w:val="12"/>
          <w:szCs w:val="12"/>
        </w:rPr>
        <w:t>The Certfcate of Incorporaton and By-laws provide that AbbVie’s board of directors be divided into three classes. At any meetng of stockholders for the electon of directors at which a quorum is present, the electon will be determined by a majority of the votes cast by the stockholders enttled to vote in the electon, with directors not receiving a majority of the votes cast required to tender their resignatons for consideraton by AbbVie’s board of directors, except that in the case of a contested electon, the electon will be determined by a plurality of the votes cast by the stockholders enttled to vote in the electon. Under the classifed board provisions, it would take at least two electons of directors for any individual or group to gain control of our board of directors. Accordingly, these provisions could discourage a third party from initatng a proxy contest, making a tender ofer or otherwise atemptng to gain control of AbbVie.</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Removal of Directors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 By-laws provide that AbbVie’s stockholders may only remove its directors for cause.</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Amendments to Certfcate of Incorporaton</w:t>
      </w:r>
    </w:p>
    <w:p>
      <w:pPr>
        <w:spacing w:after="0" w:line="146" w:lineRule="exact"/>
        <w:rPr>
          <w:color w:val="auto"/>
          <w:sz w:val="20"/>
          <w:szCs w:val="20"/>
        </w:rPr>
      </w:pPr>
    </w:p>
    <w:p>
      <w:pPr>
        <w:spacing w:after="0" w:line="234" w:lineRule="auto"/>
        <w:ind w:right="100" w:firstLine="432"/>
        <w:rPr>
          <w:color w:val="auto"/>
          <w:sz w:val="20"/>
          <w:szCs w:val="20"/>
        </w:rPr>
      </w:pPr>
      <w:r>
        <w:rPr>
          <w:rFonts w:ascii="Calibri" w:eastAsia="Calibri" w:hAnsi="Calibri" w:cs="Calibri"/>
          <w:color w:val="auto"/>
          <w:sz w:val="12"/>
          <w:szCs w:val="12"/>
        </w:rPr>
        <w:t>The Certfcate of Incorporaton provides that the afrmatve vote of the holders of at least eighty percent (80%) of AbbVie’s votng stock then outstanding is required to amend certain provisions relatng to the number, term and removal of its directors, the flling of its board vacancies, the calling of special meetngs of stockholders, stockholder acton by writen consent, and director and ofcer indemnifcaton.</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2</w:t>
      </w:r>
    </w:p>
    <w:p>
      <w:pPr>
        <w:sectPr>
          <w:pgSz w:w="11900" w:h="16838" w:orient="portrait"/>
          <w:pgMar w:top="984" w:right="319" w:bottom="1440" w:left="300" w:header="0" w:footer="0" w:gutter="0"/>
          <w:cols w:num="1" w:space="720" w:equalWidth="0">
            <w:col w:w="11280" w:space="0"/>
          </w:cols>
        </w:sectPr>
      </w:pPr>
    </w:p>
    <w:bookmarkStart w:id="118" w:name="page119"/>
    <w:bookmarkEnd w:id="118"/>
    <w:p>
      <w:pPr>
        <w:spacing w:after="0"/>
        <w:ind w:left="420"/>
        <w:rPr>
          <w:color w:val="auto"/>
          <w:sz w:val="20"/>
          <w:szCs w:val="20"/>
        </w:rPr>
      </w:pPr>
      <w:r>
        <w:rPr>
          <w:rFonts w:ascii="Calibri" w:eastAsia="Calibri" w:hAnsi="Calibri" w:cs="Calibri"/>
          <w:b/>
          <w:bCs/>
          <w:i/>
          <w:iCs/>
          <w:color w:val="auto"/>
          <w:sz w:val="12"/>
          <w:szCs w:val="12"/>
        </w:rPr>
        <w:t>Amendments to By-Laws</w:t>
      </w:r>
    </w:p>
    <w:p>
      <w:pPr>
        <w:spacing w:after="0" w:line="146" w:lineRule="exact"/>
        <w:rPr>
          <w:color w:val="auto"/>
          <w:sz w:val="20"/>
          <w:szCs w:val="20"/>
        </w:rPr>
      </w:pPr>
    </w:p>
    <w:p>
      <w:pPr>
        <w:spacing w:after="0" w:line="234" w:lineRule="auto"/>
        <w:ind w:right="180" w:firstLine="432"/>
        <w:jc w:val="both"/>
        <w:rPr>
          <w:color w:val="auto"/>
          <w:sz w:val="20"/>
          <w:szCs w:val="20"/>
        </w:rPr>
      </w:pPr>
      <w:r>
        <w:rPr>
          <w:rFonts w:ascii="Calibri" w:eastAsia="Calibri" w:hAnsi="Calibri" w:cs="Calibri"/>
          <w:color w:val="auto"/>
          <w:sz w:val="12"/>
          <w:szCs w:val="12"/>
        </w:rPr>
        <w:t>The By-laws provide that they may be amended by AbbVie’s board of directors or by the afrmatve vote of holders of a majority of AbbVie’s votng stock then outstanding, except that the afrmatve vote of holders of at least eighty percent (80%) of AbbVie’s votng stock then outstanding is required to amend certain provisions relatng to the number, term and removal of AbbVie’s directors, the flling of its board vacancies, the calling of special meetngs of stockholders, stockholder acton by writen consent, and director and ofcer indemnifcaton.</w:t>
      </w:r>
    </w:p>
    <w:p>
      <w:pPr>
        <w:spacing w:after="0" w:line="143"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Size of Board and Vacancies</w:t>
      </w:r>
    </w:p>
    <w:p>
      <w:pPr>
        <w:spacing w:after="0" w:line="146" w:lineRule="exact"/>
        <w:rPr>
          <w:color w:val="auto"/>
          <w:sz w:val="20"/>
          <w:szCs w:val="20"/>
        </w:rPr>
      </w:pPr>
    </w:p>
    <w:p>
      <w:pPr>
        <w:spacing w:after="0" w:line="235" w:lineRule="auto"/>
        <w:ind w:right="80" w:firstLine="432"/>
        <w:rPr>
          <w:color w:val="auto"/>
          <w:sz w:val="20"/>
          <w:szCs w:val="20"/>
        </w:rPr>
      </w:pPr>
      <w:r>
        <w:rPr>
          <w:rFonts w:ascii="Calibri" w:eastAsia="Calibri" w:hAnsi="Calibri" w:cs="Calibri"/>
          <w:color w:val="auto"/>
          <w:sz w:val="12"/>
          <w:szCs w:val="12"/>
        </w:rPr>
        <w:t>The By-laws provide that the number of directors on our board of directors will be fxed exclusively by its board of directors. Any vacancies created in its board of directors resultng from any increase in the authorized number of directors or the death, resignaton, retrement, disqualifcaton, removal from ofce or other cause will be flled by a majority of AbbVie’s board of directors then in ofce, even if less than a quorum is present, or by a sole remaining director. Any director appointed to fll a vacancy on AbbVie’s board of directors will be appointed for a term expiring at the next electon of the class for which such director has been appointed, and untl his or her successor has been elected and qualifed.</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Special Stockholder Meetngs</w:t>
      </w:r>
    </w:p>
    <w:p>
      <w:pPr>
        <w:spacing w:after="0" w:line="146" w:lineRule="exact"/>
        <w:rPr>
          <w:color w:val="auto"/>
          <w:sz w:val="20"/>
          <w:szCs w:val="20"/>
        </w:rPr>
      </w:pPr>
    </w:p>
    <w:p>
      <w:pPr>
        <w:spacing w:after="0" w:line="234" w:lineRule="auto"/>
        <w:ind w:firstLine="432"/>
        <w:rPr>
          <w:color w:val="auto"/>
          <w:sz w:val="20"/>
          <w:szCs w:val="20"/>
        </w:rPr>
      </w:pPr>
      <w:r>
        <w:rPr>
          <w:rFonts w:ascii="Calibri" w:eastAsia="Calibri" w:hAnsi="Calibri" w:cs="Calibri"/>
          <w:color w:val="auto"/>
          <w:sz w:val="12"/>
          <w:szCs w:val="12"/>
        </w:rPr>
        <w:t>The Certfcate of Incorporaton provides that only the chairman of AbbVie’s board of directors, its chief executve ofcer, any president or its board of directors pursuant to a resoluton adopted by a majority of the entre board of directors may call special meetngs of AbbVie stockholders. Stockholders may not call special stockholder meetngs.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Stockholder Acton by Writen Consent</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 Certfcate of Incorporaton provides that any acton of AbbVie’s stockholders must be taken at an annual or special meetng of stockholders and may not be efected by writen consent of the stockholders.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Requirements for Advance Notfcaton of Stockholder Nominatons and Proposals</w:t>
      </w:r>
    </w:p>
    <w:p>
      <w:pPr>
        <w:spacing w:after="0" w:line="146" w:lineRule="exact"/>
        <w:rPr>
          <w:color w:val="auto"/>
          <w:sz w:val="20"/>
          <w:szCs w:val="20"/>
        </w:rPr>
      </w:pPr>
    </w:p>
    <w:p>
      <w:pPr>
        <w:spacing w:after="0" w:line="234" w:lineRule="auto"/>
        <w:ind w:right="280" w:firstLine="432"/>
        <w:rPr>
          <w:color w:val="auto"/>
          <w:sz w:val="20"/>
          <w:szCs w:val="20"/>
        </w:rPr>
      </w:pPr>
      <w:r>
        <w:rPr>
          <w:rFonts w:ascii="Calibri" w:eastAsia="Calibri" w:hAnsi="Calibri" w:cs="Calibri"/>
          <w:color w:val="auto"/>
          <w:sz w:val="12"/>
          <w:szCs w:val="12"/>
        </w:rPr>
        <w:t>The By-laws establish advance notce procedures with respect to stockholder proposals and nominaton of candidates for electon as directors other than nominatons made by or at the directon of its board of directors or a commitee of its board of directors.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No Cumulatve Votng</w:t>
      </w:r>
    </w:p>
    <w:p>
      <w:pPr>
        <w:spacing w:after="0" w:line="146" w:lineRule="exact"/>
        <w:rPr>
          <w:color w:val="auto"/>
          <w:sz w:val="20"/>
          <w:szCs w:val="20"/>
        </w:rPr>
      </w:pPr>
    </w:p>
    <w:p>
      <w:pPr>
        <w:spacing w:after="0" w:line="234" w:lineRule="auto"/>
        <w:ind w:right="140" w:firstLine="432"/>
        <w:rPr>
          <w:color w:val="auto"/>
          <w:sz w:val="20"/>
          <w:szCs w:val="20"/>
        </w:rPr>
      </w:pPr>
      <w:r>
        <w:rPr>
          <w:rFonts w:ascii="Calibri" w:eastAsia="Calibri" w:hAnsi="Calibri" w:cs="Calibri"/>
          <w:color w:val="auto"/>
          <w:sz w:val="12"/>
          <w:szCs w:val="12"/>
        </w:rPr>
        <w:t>The DGCL provides that stockholders are denied the right to cumulate votes in the electon of directors unless the company’s certfcate of incorporaton provides otherwise. The Certfcate of Incorporaton does not provide for cumulatve votng.</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Authorized but Unissued Shares</w:t>
      </w:r>
    </w:p>
    <w:p>
      <w:pPr>
        <w:spacing w:after="0" w:line="146" w:lineRule="exact"/>
        <w:rPr>
          <w:color w:val="auto"/>
          <w:sz w:val="20"/>
          <w:szCs w:val="20"/>
        </w:rPr>
      </w:pPr>
    </w:p>
    <w:p>
      <w:pPr>
        <w:spacing w:after="0" w:line="234" w:lineRule="auto"/>
        <w:ind w:right="120" w:firstLine="432"/>
        <w:jc w:val="both"/>
        <w:rPr>
          <w:color w:val="auto"/>
          <w:sz w:val="20"/>
          <w:szCs w:val="20"/>
        </w:rPr>
      </w:pPr>
      <w:r>
        <w:rPr>
          <w:rFonts w:ascii="Calibri" w:eastAsia="Calibri" w:hAnsi="Calibri" w:cs="Calibri"/>
          <w:color w:val="auto"/>
          <w:sz w:val="12"/>
          <w:szCs w:val="12"/>
        </w:rPr>
        <w:t>Our authorized but unissued shares of Common Stock and Preferred Stock are available for future issuance without shareholder approval. The existence of authorized but unissued shares of Common Stock and Preferred Stock could discourage atempts by third partes to obtain control of AbbVie through a merger, tender ofer, proxy contest or otherwise by making such atempts more difcult or more costly. For instance, our board of directors may be able to issue Preferred Stock with votng rights or conversion rights that, if exercised, could adversely afect the votng power of the holders of Common Stock.</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3" w:lineRule="exact"/>
        <w:rPr>
          <w:color w:val="auto"/>
          <w:sz w:val="20"/>
          <w:szCs w:val="20"/>
        </w:rPr>
      </w:pPr>
    </w:p>
    <w:p>
      <w:pPr>
        <w:spacing w:after="0"/>
        <w:ind w:right="-159"/>
        <w:jc w:val="center"/>
        <w:rPr>
          <w:color w:val="auto"/>
          <w:sz w:val="20"/>
          <w:szCs w:val="20"/>
        </w:rPr>
      </w:pPr>
      <w:r>
        <w:rPr>
          <w:rFonts w:ascii="Calibri" w:eastAsia="Calibri" w:hAnsi="Calibri" w:cs="Calibri"/>
          <w:color w:val="auto"/>
          <w:sz w:val="12"/>
          <w:szCs w:val="12"/>
        </w:rPr>
        <w:t>3</w:t>
      </w:r>
    </w:p>
    <w:p>
      <w:pPr>
        <w:sectPr>
          <w:pgSz w:w="11900" w:h="16838" w:orient="portrait"/>
          <w:pgMar w:top="984" w:right="359" w:bottom="1440" w:left="300" w:header="0" w:footer="0" w:gutter="0"/>
          <w:cols w:num="1" w:space="720" w:equalWidth="0">
            <w:col w:w="11240" w:space="0"/>
          </w:cols>
        </w:sectPr>
      </w:pPr>
    </w:p>
    <w:bookmarkStart w:id="119" w:name="page120"/>
    <w:bookmarkEnd w:id="119"/>
    <w:p>
      <w:pPr>
        <w:spacing w:after="0"/>
        <w:rPr>
          <w:color w:val="auto"/>
          <w:sz w:val="20"/>
          <w:szCs w:val="20"/>
        </w:rPr>
      </w:pPr>
      <w:r>
        <w:rPr>
          <w:rFonts w:ascii="Calibri" w:eastAsia="Calibri" w:hAnsi="Calibri" w:cs="Calibri"/>
          <w:b/>
          <w:bCs/>
          <w:color w:val="auto"/>
          <w:sz w:val="12"/>
          <w:szCs w:val="12"/>
        </w:rPr>
        <w:t>Other Maters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Limitatons on Liability, Indemnifcaton of Ofcers and Directors, and Insurance</w:t>
      </w:r>
    </w:p>
    <w:p>
      <w:pPr>
        <w:spacing w:after="0" w:line="146" w:lineRule="exact"/>
        <w:rPr>
          <w:color w:val="auto"/>
          <w:sz w:val="20"/>
          <w:szCs w:val="20"/>
        </w:rPr>
      </w:pPr>
    </w:p>
    <w:p>
      <w:pPr>
        <w:spacing w:after="0" w:line="235" w:lineRule="auto"/>
        <w:ind w:right="20" w:firstLine="432"/>
        <w:rPr>
          <w:color w:val="auto"/>
          <w:sz w:val="20"/>
          <w:szCs w:val="20"/>
        </w:rPr>
      </w:pPr>
      <w:r>
        <w:rPr>
          <w:rFonts w:ascii="Calibri" w:eastAsia="Calibri" w:hAnsi="Calibri" w:cs="Calibri"/>
          <w:color w:val="auto"/>
          <w:sz w:val="12"/>
          <w:szCs w:val="12"/>
        </w:rPr>
        <w:t>The DGCL authorizes corporatons to limit or eliminate the personal liability of directors to corporatons and their stockholders for monetary damages for breaches of directors’ fduciary dutes as directors, and the Certfcate of Incorporaton includes such an exculpaton provision. The Certfcate of Incorporaton and By-Laws include provisions that indemnify, to the fullest extent allowable under the DGCL, the personal liability of directors or ofcers for monetary damages for actons taken as a director or ofcer of AbbVie, or for serving at AbbVie’s request as a director or ofcer or another positon at another corporaton or enterprise, as the case may be. The Certfcate of Incorporaton and Bylaws also provide that AbbVie must indemnify and advance reasonable expenses to its directors and ofcers, subject to an undertaking from the indemnifed party as may be required under the DGCL. The By-laws expressly authorize AbbVie to carry directors’ and ofcers’ insurance to protect AbbVie, its directors, ofcers and certain employees for some liabilites.</w:t>
      </w:r>
    </w:p>
    <w:p>
      <w:pPr>
        <w:spacing w:after="0" w:line="147" w:lineRule="exact"/>
        <w:rPr>
          <w:color w:val="auto"/>
          <w:sz w:val="20"/>
          <w:szCs w:val="20"/>
        </w:rPr>
      </w:pPr>
    </w:p>
    <w:p>
      <w:pPr>
        <w:spacing w:after="0" w:line="235" w:lineRule="auto"/>
        <w:ind w:right="40" w:firstLine="432"/>
        <w:rPr>
          <w:color w:val="auto"/>
          <w:sz w:val="20"/>
          <w:szCs w:val="20"/>
        </w:rPr>
      </w:pPr>
      <w:r>
        <w:rPr>
          <w:rFonts w:ascii="Calibri" w:eastAsia="Calibri" w:hAnsi="Calibri" w:cs="Calibri"/>
          <w:color w:val="auto"/>
          <w:sz w:val="12"/>
          <w:szCs w:val="12"/>
        </w:rPr>
        <w:t>The limitaton of liability and indemnifcaton provisions that are in the Certfcate of Incorporaton and By-laws may discourage stockholders from bringing a lawsuit against directors for breach of their fduciary duty. These provisions may also have the efect of reducing the likelihood of derivatve litgaton against AbbVie’s directors and ofcers, even though such an acton, if successful, might otherwise beneft AbbVie and its stockholders. However, these provisions do not limit or eliminate AbbVie’s rights, or those of any stockholder, to seek non-monetary relief such as injuncton or rescission in the event of a breach of a director’s duty of care. The provisions also do not alter the liability of directors under the federal securites laws.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Exclusive Forum</w:t>
      </w:r>
    </w:p>
    <w:p>
      <w:pPr>
        <w:spacing w:after="0" w:line="146" w:lineRule="exact"/>
        <w:rPr>
          <w:color w:val="auto"/>
          <w:sz w:val="20"/>
          <w:szCs w:val="20"/>
        </w:rPr>
      </w:pPr>
    </w:p>
    <w:p>
      <w:pPr>
        <w:spacing w:after="0" w:line="235" w:lineRule="auto"/>
        <w:ind w:firstLine="432"/>
        <w:rPr>
          <w:color w:val="auto"/>
          <w:sz w:val="20"/>
          <w:szCs w:val="20"/>
        </w:rPr>
      </w:pPr>
      <w:r>
        <w:rPr>
          <w:rFonts w:ascii="Calibri" w:eastAsia="Calibri" w:hAnsi="Calibri" w:cs="Calibri"/>
          <w:color w:val="auto"/>
          <w:sz w:val="12"/>
          <w:szCs w:val="12"/>
        </w:rPr>
        <w:t>The Certfcate of Incorporaton provides that unless the board of directors otherwise determines, the Court of Chancery of the State of Delaware will be the sole and exclusive forum for any derivatve acton or proceeding brought on behalf of AbbVie, any acton assertng a claim of breach of a fduciary duty owed by any director or ofcer of AbbVie to AbbVie or AbbVie’s stockholders, creditors or other consttuents, any acton assertng a claim against AbbVie or any director or ofcer of AbbVie arising pursuant to any provision of the DGCL or the Certfcate of Incorporaton or By-laws, or any acton assertng a claim against AbbVie or any director or ofcer of AbbVie governed by the internal afairs doctrine. However, if the Court of Chancery of the State of Delaware dismisses any such acton for lack of subject mater jurisdicton, the acton may be brought in another court sitng in the State of Delaware. This exclusive forum provision is not intended to apply to any actons brought in federal court under the Securites Act of 1933, as amended, or under the Exchange Act.</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24"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4</w:t>
      </w:r>
    </w:p>
    <w:p>
      <w:pPr>
        <w:sectPr>
          <w:pgSz w:w="11900" w:h="16838" w:orient="portrait"/>
          <w:pgMar w:top="984" w:right="319" w:bottom="1440" w:left="300" w:header="0" w:footer="0" w:gutter="0"/>
          <w:cols w:num="1" w:space="720" w:equalWidth="0">
            <w:col w:w="11280" w:space="0"/>
          </w:cols>
        </w:sectPr>
      </w:pPr>
    </w:p>
    <w:bookmarkStart w:id="120" w:name="page121"/>
    <w:bookmarkEnd w:id="120"/>
    <w:p>
      <w:pPr>
        <w:spacing w:after="0"/>
        <w:jc w:val="center"/>
        <w:rPr>
          <w:color w:val="auto"/>
          <w:sz w:val="20"/>
          <w:szCs w:val="20"/>
        </w:rPr>
      </w:pPr>
      <w:r>
        <w:rPr>
          <w:rFonts w:ascii="Calibri" w:eastAsia="Calibri" w:hAnsi="Calibri" w:cs="Calibri"/>
          <w:b/>
          <w:bCs/>
          <w:color w:val="auto"/>
          <w:sz w:val="12"/>
          <w:szCs w:val="12"/>
        </w:rPr>
        <w:t>DESCRIPTION OF NOTES</w:t>
      </w:r>
    </w:p>
    <w:p>
      <w:pPr>
        <w:spacing w:after="0" w:line="146" w:lineRule="exact"/>
        <w:rPr>
          <w:color w:val="auto"/>
          <w:sz w:val="20"/>
          <w:szCs w:val="20"/>
        </w:rPr>
      </w:pPr>
    </w:p>
    <w:p>
      <w:pPr>
        <w:spacing w:after="0" w:line="235" w:lineRule="auto"/>
        <w:ind w:firstLine="432"/>
        <w:rPr>
          <w:color w:val="auto"/>
          <w:sz w:val="20"/>
          <w:szCs w:val="20"/>
        </w:rPr>
      </w:pPr>
      <w:r>
        <w:rPr>
          <w:rFonts w:ascii="Calibri" w:eastAsia="Calibri" w:hAnsi="Calibri" w:cs="Calibri"/>
          <w:color w:val="auto"/>
          <w:sz w:val="12"/>
          <w:szCs w:val="12"/>
        </w:rPr>
        <w:t>The following descripton of our 1.500% Senior Notes due 2023 (the “2023 Notes”), our 1.375% Senior Notes due 2024 (the “May 2024 Notes”), our 1.250% Senior Notes due 2024 (the “June 2024 Notes”), our 0.750% Senior Notes due 2027 (the “2027 Notes”), our 2.625% Senior Notes due 2028 (the “2.625% November 2028 Notes”), our 2.125% Senior Notes due 2028 (the “2.125% November 2028 Notes”), our 2.125% Senior Notes due 2029 (the “2029 Notes”) and our 1.250% Senior Notes due 2031 (the “2031 Notes,” and together with the 2023 Notes, the May 2024 Notes, the June 2024 Notes, the 2027 Notes, the 2.625% November 2028 Notes, the 2.125% November 2028 Notes and the 2029 Notes, the “Notes”) is a summary and does not purport to be complete and is subject to, and is qualifed in its entrety by reference to, all the provisions of the Notes and the Indenture, dated as of November 8, 2012, between AbbVie and U.S. Bank Natonal Associaton, as trustee (the “Trustee”) (the “Base Indenture”), as supplemented, in the case of the May 2024 Notes and the 2.125% November 2028 Notes, by Supplemental Indenture No. 4, dated as of November 17, 2016, among AbbVie, the Trustee, Elavon Financial Services DAC, U.K. Branch, as paying agent (the “London Paying Agent”), and Elavon Financial Services DAC, as transfer agent and registrar (“Supplemental Indenture No. 4”), as supplemented, in the case of the 2027 Notes and the 2031 Notes, by Supplemental Indenture No. 6, dated as of September 26, 2019, among AbbVie, the Trustee, U.S. Bank Natonal Associaton, as transfer agent and registrar (the “Registrar”), and the London Paying Agent (“Supplemental Indenture No. 6”), and as supplemented, in the case of the 2023 Notes, the June 2024 Notes, the 2.625% November 2028 Notes and the 2029 Notes, by Supplemental Indenture No. 9, dated as of May 14, 2020, among AbbVie, the Trustee, the Registrar and the London Paying Agent (“Supplemental Indenture No. 9”), which are incorporated by reference as exhibits to our Annual Report on Form 10-K, including the defnitons of certain terms therein and those terms made part thereof by the Trust Indenture Act of 1939, as amended (the “Trust Indenture Act”). The Base Indenture, together with Supplemental Indenture No. 4, Supplemental Indenture No. 6 or Supplemental Indenture No. 9, as applicable, is herein referred to as the “Indenture.” We encourage you to read the Indenture for additonal informaton. In this descripton all references to “AbbVie,” “we,” “our” and “us” mean AbbVie Inc. only.</w:t>
      </w:r>
    </w:p>
    <w:p>
      <w:pPr>
        <w:spacing w:after="0" w:line="146"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General</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AbbVie issued €409,028,000 aggregate principal amount of 2023 Notes on November 19, 2020. The 2023 Notes will mature on November 15, 2023. Interest on the 2023 Notes accrues at the rate of 1.500% per annum.</w:t>
      </w:r>
    </w:p>
    <w:p>
      <w:pPr>
        <w:spacing w:after="0" w:line="146" w:lineRule="exact"/>
        <w:rPr>
          <w:color w:val="auto"/>
          <w:sz w:val="20"/>
          <w:szCs w:val="20"/>
        </w:rPr>
      </w:pPr>
    </w:p>
    <w:p>
      <w:pPr>
        <w:spacing w:after="0"/>
        <w:ind w:left="420"/>
        <w:rPr>
          <w:color w:val="auto"/>
          <w:sz w:val="20"/>
          <w:szCs w:val="20"/>
        </w:rPr>
      </w:pPr>
      <w:r>
        <w:rPr>
          <w:rFonts w:ascii="Calibri" w:eastAsia="Calibri" w:hAnsi="Calibri" w:cs="Calibri"/>
          <w:color w:val="auto"/>
          <w:sz w:val="11"/>
          <w:szCs w:val="11"/>
        </w:rPr>
        <w:t>AbbVie issued €1,450,000,000 aggregate principal amount of May 2024 Notes on November 17, 2016. The May 2024 Notes will mature on May 17, 2024. Interest on the May 2024 Notes accrues at the rate of 1.375% per annum.</w:t>
      </w:r>
    </w:p>
    <w:p>
      <w:pPr>
        <w:spacing w:after="0" w:line="154" w:lineRule="exact"/>
        <w:rPr>
          <w:color w:val="auto"/>
          <w:sz w:val="20"/>
          <w:szCs w:val="20"/>
        </w:rPr>
      </w:pPr>
    </w:p>
    <w:p>
      <w:pPr>
        <w:spacing w:after="0"/>
        <w:ind w:left="420"/>
        <w:rPr>
          <w:color w:val="auto"/>
          <w:sz w:val="20"/>
          <w:szCs w:val="20"/>
        </w:rPr>
      </w:pPr>
      <w:r>
        <w:rPr>
          <w:rFonts w:ascii="Calibri" w:eastAsia="Calibri" w:hAnsi="Calibri" w:cs="Calibri"/>
          <w:color w:val="auto"/>
          <w:sz w:val="11"/>
          <w:szCs w:val="11"/>
        </w:rPr>
        <w:t>AbbVie issued €577,719,000 aggregate principal amount of June 2024 Notes on November 19, 2020. The June 2024 Notes will mature on June 1, 2024. Interest on the June 2024 Notes accrues at the rate of 1.250% per annum.</w:t>
      </w:r>
    </w:p>
    <w:p>
      <w:pPr>
        <w:spacing w:after="0" w:line="149"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AbbVie issued €750,000,000 aggregate principal amount of 2027 Notes on September 26, 2019. The 2027 Notes will mature on November 18, 2027. Interest on the 2027 Notes accrues at the rate of 0.750% per annum.</w:t>
      </w:r>
    </w:p>
    <w:p>
      <w:pPr>
        <w:spacing w:after="0" w:line="146" w:lineRule="exact"/>
        <w:rPr>
          <w:color w:val="auto"/>
          <w:sz w:val="20"/>
          <w:szCs w:val="20"/>
        </w:rPr>
      </w:pPr>
    </w:p>
    <w:p>
      <w:pPr>
        <w:spacing w:after="0" w:line="234" w:lineRule="auto"/>
        <w:ind w:right="160" w:firstLine="432"/>
        <w:rPr>
          <w:color w:val="auto"/>
          <w:sz w:val="20"/>
          <w:szCs w:val="20"/>
        </w:rPr>
      </w:pPr>
      <w:r>
        <w:rPr>
          <w:rFonts w:ascii="Calibri" w:eastAsia="Calibri" w:hAnsi="Calibri" w:cs="Calibri"/>
          <w:color w:val="auto"/>
          <w:sz w:val="12"/>
          <w:szCs w:val="12"/>
        </w:rPr>
        <w:t>AbbVie issued €427,793,000 aggregate principal amount of 2.625% November 2028 Notes on November 19, 2020. The 2.625% November 2028 Notes will mature on November 15, 2028. Interest on the 2.625% November 2028 Notes accrues at the rate of 2.625% per annum.</w:t>
      </w:r>
    </w:p>
    <w:p>
      <w:pPr>
        <w:spacing w:after="0" w:line="146" w:lineRule="exact"/>
        <w:rPr>
          <w:color w:val="auto"/>
          <w:sz w:val="20"/>
          <w:szCs w:val="20"/>
        </w:rPr>
      </w:pPr>
    </w:p>
    <w:p>
      <w:pPr>
        <w:spacing w:after="0" w:line="234" w:lineRule="auto"/>
        <w:ind w:right="160" w:firstLine="432"/>
        <w:rPr>
          <w:color w:val="auto"/>
          <w:sz w:val="20"/>
          <w:szCs w:val="20"/>
        </w:rPr>
      </w:pPr>
      <w:r>
        <w:rPr>
          <w:rFonts w:ascii="Calibri" w:eastAsia="Calibri" w:hAnsi="Calibri" w:cs="Calibri"/>
          <w:color w:val="auto"/>
          <w:sz w:val="12"/>
          <w:szCs w:val="12"/>
        </w:rPr>
        <w:t>AbbVie issued €750,000,000 aggregate principal amount of 2.125% November 2028 Notes on November 17, 2016. The 2.125% November 2028 Notes will mature on November 17, 2028. Interest on the 2.125% November 2028 Notes accrues at the rate of 2.125% per annum.</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AbbVie issued €506,088,000 aggregate principal amount of 2029 Notes on November 19, 2020. The 2029 Notes will mature on June 1, 2029. Interest on the 2029 Notes accrues at the rate of 2.125% per annum.</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5</w:t>
      </w:r>
    </w:p>
    <w:p>
      <w:pPr>
        <w:sectPr>
          <w:pgSz w:w="11900" w:h="16838" w:orient="portrait"/>
          <w:pgMar w:top="984" w:right="319" w:bottom="1440" w:left="300" w:header="0" w:footer="0" w:gutter="0"/>
          <w:cols w:num="1" w:space="720" w:equalWidth="0">
            <w:col w:w="11280" w:space="0"/>
          </w:cols>
        </w:sectPr>
      </w:pPr>
    </w:p>
    <w:bookmarkStart w:id="121" w:name="page122"/>
    <w:bookmarkEnd w:id="121"/>
    <w:p>
      <w:pPr>
        <w:spacing w:after="0"/>
        <w:ind w:left="420"/>
        <w:rPr>
          <w:color w:val="auto"/>
          <w:sz w:val="20"/>
          <w:szCs w:val="20"/>
        </w:rPr>
      </w:pPr>
      <w:r>
        <w:rPr>
          <w:rFonts w:ascii="Calibri" w:eastAsia="Calibri" w:hAnsi="Calibri" w:cs="Calibri"/>
          <w:color w:val="auto"/>
          <w:sz w:val="12"/>
          <w:szCs w:val="12"/>
        </w:rPr>
        <w:t>AbbVie issued €650,000,000 aggregate principal amount of 2031 Notes on September 26, 2019. The 2031 Notes will mature on November 18, 2031. Interest on the 2031 Notes accrues at the rate of 1.250% per annum.</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 Notes were issued in fully registered form only in denominatons of €100,000 and integral multples of €1,000 in excess thereof.</w:t>
      </w:r>
    </w:p>
    <w:p>
      <w:pPr>
        <w:spacing w:after="0" w:line="146" w:lineRule="exact"/>
        <w:rPr>
          <w:color w:val="auto"/>
          <w:sz w:val="20"/>
          <w:szCs w:val="20"/>
        </w:rPr>
      </w:pPr>
    </w:p>
    <w:p>
      <w:pPr>
        <w:spacing w:after="0" w:line="234" w:lineRule="auto"/>
        <w:ind w:right="80" w:firstLine="432"/>
        <w:jc w:val="both"/>
        <w:rPr>
          <w:color w:val="auto"/>
          <w:sz w:val="20"/>
          <w:szCs w:val="20"/>
        </w:rPr>
      </w:pPr>
      <w:r>
        <w:rPr>
          <w:rFonts w:ascii="Calibri" w:eastAsia="Calibri" w:hAnsi="Calibri" w:cs="Calibri"/>
          <w:color w:val="auto"/>
          <w:sz w:val="12"/>
          <w:szCs w:val="12"/>
        </w:rPr>
        <w:t>In the future, AbbVie may, without the consent of the holders, increase the principal amounts of any series of Notes. The Notes of each series and any additonal Notes of such series subsequently issued under the Indenture will be treated as a single series or class for all purposes under the Indenture, including, without limitaton, waivers, amendments and redemptons, provided that if any such additonal Notes are not fungible with the existng Notes for United States federal income tax purposes, such additonal Notes will have a separate CUSIP number.</w:t>
      </w:r>
    </w:p>
    <w:p>
      <w:pPr>
        <w:spacing w:after="0" w:line="148" w:lineRule="exact"/>
        <w:rPr>
          <w:color w:val="auto"/>
          <w:sz w:val="20"/>
          <w:szCs w:val="20"/>
        </w:rPr>
      </w:pPr>
    </w:p>
    <w:p>
      <w:pPr>
        <w:spacing w:after="0" w:line="235" w:lineRule="auto"/>
        <w:ind w:firstLine="432"/>
        <w:rPr>
          <w:color w:val="auto"/>
          <w:sz w:val="20"/>
          <w:szCs w:val="20"/>
        </w:rPr>
      </w:pPr>
      <w:r>
        <w:rPr>
          <w:rFonts w:ascii="Calibri" w:eastAsia="Calibri" w:hAnsi="Calibri" w:cs="Calibri"/>
          <w:color w:val="auto"/>
          <w:sz w:val="12"/>
          <w:szCs w:val="12"/>
        </w:rPr>
        <w:t>The Indenture limits neither the amount of debt that AbbVie may issue under the Indenture, nor the amount of other debt or securites that AbbVie or any of its subsidiaries may issue. AbbVie may issue debt securites under the Indenture from tme to tme in one or more series, each in an amount authorized prior to issuance. Other than the restrictons contained in the Indenture on secured debt and sale/leaseback transactons described below under “Certain Covenants of AbbVie,” and the restrictons described below under “Consolidaton, Merger and Sale of Assets,” the Indenture does not contain any covenants or other provisions designed to protect holders of the debt securites in the event AbbVie partcipates in a highly leveraged transacton. In additon, the Indenture does not limit AbbVie’s ability to guarantee any indebtedness of its subsidiaries or any other person.</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Interest</w:t>
      </w:r>
    </w:p>
    <w:p>
      <w:pPr>
        <w:spacing w:after="0" w:line="146" w:lineRule="exact"/>
        <w:rPr>
          <w:color w:val="auto"/>
          <w:sz w:val="20"/>
          <w:szCs w:val="20"/>
        </w:rPr>
      </w:pPr>
    </w:p>
    <w:p>
      <w:pPr>
        <w:spacing w:after="0" w:line="235" w:lineRule="auto"/>
        <w:ind w:right="60" w:firstLine="432"/>
        <w:rPr>
          <w:color w:val="auto"/>
          <w:sz w:val="20"/>
          <w:szCs w:val="20"/>
        </w:rPr>
      </w:pPr>
      <w:r>
        <w:rPr>
          <w:rFonts w:ascii="Calibri" w:eastAsia="Calibri" w:hAnsi="Calibri" w:cs="Calibri"/>
          <w:color w:val="auto"/>
          <w:sz w:val="12"/>
          <w:szCs w:val="12"/>
        </w:rPr>
        <w:t>Interest is payable in arrears on (i) June 1 of each year for the June 2024 Notes and the 2029 Notes, (ii) November 15 of each year for the 2023 Notes and the 2.625% November 2028 Notes, (iii) May 17 of each year for the May 2024 Notes, (iv) November 17 of each year for the 2.125% November 2028 Notes and (v) November 18 of each year for the 2027 Notes and the 2031 Notes, to the persons in whose names the Notes are registered at the close of business on the date that is (i) in the case of Notes represented by a global note in registered form (“Global Note”), the clearing system business day (which, for these purposes, is a day on which Euroclear SA/NV (“Euroclear”) and Clearstream Banking S.A. (“Clearstream, Luxembourg”) setle payments in euro) immediately prior to the relevant interest payment date and (ii) in all other cases, 15 calendar days prior to the relevant interest payment date (whether or not a business day) (such day, the “Record Date”).</w:t>
      </w:r>
    </w:p>
    <w:p>
      <w:pPr>
        <w:spacing w:after="0" w:line="147" w:lineRule="exact"/>
        <w:rPr>
          <w:color w:val="auto"/>
          <w:sz w:val="20"/>
          <w:szCs w:val="20"/>
        </w:rPr>
      </w:pPr>
    </w:p>
    <w:p>
      <w:pPr>
        <w:spacing w:after="0" w:line="234" w:lineRule="auto"/>
        <w:ind w:right="80" w:firstLine="432"/>
        <w:rPr>
          <w:color w:val="auto"/>
          <w:sz w:val="20"/>
          <w:szCs w:val="20"/>
        </w:rPr>
      </w:pPr>
      <w:r>
        <w:rPr>
          <w:rFonts w:ascii="Calibri" w:eastAsia="Calibri" w:hAnsi="Calibri" w:cs="Calibri"/>
          <w:color w:val="auto"/>
          <w:sz w:val="12"/>
          <w:szCs w:val="12"/>
        </w:rPr>
        <w:t>Interest on the Notes shall be determined on the basis of the actual number of days in the period for which interest is being calculated, and including the last date on which interest was paid or duly provided for on the Notes, but excluding the next following interest payment date. This payment conventon is referred to as ACTUAL/ACTUAL (ICMA) as defned in the rulebook of the Internatonal Capital Market Associaton.</w:t>
      </w:r>
    </w:p>
    <w:p>
      <w:pPr>
        <w:spacing w:after="0" w:line="146" w:lineRule="exact"/>
        <w:rPr>
          <w:color w:val="auto"/>
          <w:sz w:val="20"/>
          <w:szCs w:val="20"/>
        </w:rPr>
      </w:pPr>
    </w:p>
    <w:p>
      <w:pPr>
        <w:spacing w:after="0" w:line="234" w:lineRule="auto"/>
        <w:ind w:right="260" w:firstLine="432"/>
        <w:rPr>
          <w:color w:val="auto"/>
          <w:sz w:val="20"/>
          <w:szCs w:val="20"/>
        </w:rPr>
      </w:pPr>
      <w:r>
        <w:rPr>
          <w:rFonts w:ascii="Calibri" w:eastAsia="Calibri" w:hAnsi="Calibri" w:cs="Calibri"/>
          <w:color w:val="auto"/>
          <w:sz w:val="12"/>
          <w:szCs w:val="12"/>
        </w:rPr>
        <w:t>Unless otherwise indicated, the term “business day” means any day, other than a Saturday or Sunday, (i) which is not a day on which banking insttutons in The City of New York or London are authorized or required by law or executve order to close and (ii) on which the Trans-European Automated Realtme Gross Setlement Express Transfer system, or the TARGET2 system, or any successor thereto, operates.</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Optonal Redempton</w:t>
      </w:r>
    </w:p>
    <w:p>
      <w:pPr>
        <w:spacing w:after="0" w:line="146" w:lineRule="exact"/>
        <w:rPr>
          <w:color w:val="auto"/>
          <w:sz w:val="20"/>
          <w:szCs w:val="20"/>
        </w:rPr>
      </w:pPr>
    </w:p>
    <w:p>
      <w:pPr>
        <w:spacing w:after="0" w:line="234" w:lineRule="auto"/>
        <w:ind w:right="100" w:firstLine="432"/>
        <w:rPr>
          <w:color w:val="auto"/>
          <w:sz w:val="20"/>
          <w:szCs w:val="20"/>
        </w:rPr>
      </w:pPr>
      <w:r>
        <w:rPr>
          <w:rFonts w:ascii="Calibri" w:eastAsia="Calibri" w:hAnsi="Calibri" w:cs="Calibri"/>
          <w:color w:val="auto"/>
          <w:sz w:val="12"/>
          <w:szCs w:val="12"/>
        </w:rPr>
        <w:t>At any tme prior to the Par Call Date applicable to the 2027 Notes and the 2031 Notes, AbbVie may redeem some or all of the Notes of such series at its opton, in each case, at AbbVie’s opton, at a redempton price equal to the greater of:</w:t>
      </w:r>
    </w:p>
    <w:p>
      <w:pPr>
        <w:spacing w:after="0" w:line="142" w:lineRule="exact"/>
        <w:rPr>
          <w:color w:val="auto"/>
          <w:sz w:val="20"/>
          <w:szCs w:val="20"/>
        </w:rPr>
      </w:pPr>
    </w:p>
    <w:p>
      <w:pPr>
        <w:numPr>
          <w:ilvl w:val="0"/>
          <w:numId w:val="39"/>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100% of the principal amount of the Notes of that series to be redeemed; and</w:t>
      </w:r>
    </w:p>
    <w:p>
      <w:pPr>
        <w:spacing w:after="0" w:line="141" w:lineRule="exact"/>
        <w:rPr>
          <w:rFonts w:ascii="Calibri" w:eastAsia="Calibri" w:hAnsi="Calibri" w:cs="Calibri"/>
          <w:color w:val="auto"/>
          <w:sz w:val="12"/>
          <w:szCs w:val="12"/>
        </w:rPr>
      </w:pPr>
    </w:p>
    <w:p>
      <w:pPr>
        <w:numPr>
          <w:ilvl w:val="0"/>
          <w:numId w:val="39"/>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the sum of the present values of the remaining scheduled payments (through the Par Call Date with respect to such Notes assuming for such purpose that such Notes matured on the applicable</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6</w:t>
      </w:r>
    </w:p>
    <w:p>
      <w:pPr>
        <w:sectPr>
          <w:pgSz w:w="11900" w:h="16838" w:orient="portrait"/>
          <w:pgMar w:top="984" w:right="299" w:bottom="1440" w:left="300" w:header="0" w:footer="0" w:gutter="0"/>
          <w:cols w:num="1" w:space="720" w:equalWidth="0">
            <w:col w:w="11300" w:space="0"/>
          </w:cols>
        </w:sectPr>
      </w:pPr>
    </w:p>
    <w:bookmarkStart w:id="122" w:name="page123"/>
    <w:bookmarkEnd w:id="122"/>
    <w:p>
      <w:pPr>
        <w:spacing w:after="0" w:line="234" w:lineRule="auto"/>
        <w:ind w:left="860" w:right="240"/>
        <w:rPr>
          <w:color w:val="auto"/>
          <w:sz w:val="20"/>
          <w:szCs w:val="20"/>
        </w:rPr>
      </w:pPr>
      <w:r>
        <w:rPr>
          <w:rFonts w:ascii="Calibri" w:eastAsia="Calibri" w:hAnsi="Calibri" w:cs="Calibri"/>
          <w:color w:val="auto"/>
          <w:sz w:val="12"/>
          <w:szCs w:val="12"/>
        </w:rPr>
        <w:t>Par Call Date) of principal and interest on the Notes to be redeemed (exclusive of interest accrued to the date of redempton) discounted to the date of redempton on an annual basis (ACTUAL/ACTUAL (ICMA)) at the applicable Comparable Government Bond Rate (as defned below) plus 25 basis points for the 2027 Notes and 30 basis points for the 2031 Notes.</w:t>
      </w:r>
    </w:p>
    <w:p>
      <w:pPr>
        <w:spacing w:after="0" w:line="146" w:lineRule="exact"/>
        <w:rPr>
          <w:color w:val="auto"/>
          <w:sz w:val="20"/>
          <w:szCs w:val="20"/>
        </w:rPr>
      </w:pPr>
    </w:p>
    <w:p>
      <w:pPr>
        <w:spacing w:after="0" w:line="234" w:lineRule="auto"/>
        <w:ind w:right="60" w:firstLine="432"/>
        <w:rPr>
          <w:color w:val="auto"/>
          <w:sz w:val="20"/>
          <w:szCs w:val="20"/>
        </w:rPr>
      </w:pPr>
      <w:r>
        <w:rPr>
          <w:rFonts w:ascii="Calibri" w:eastAsia="Calibri" w:hAnsi="Calibri" w:cs="Calibri"/>
          <w:color w:val="auto"/>
          <w:sz w:val="12"/>
          <w:szCs w:val="12"/>
        </w:rPr>
        <w:t>At any tme prior to the Par Call Date applicable to the 2023 Notes, the May 2024 Notes, the June 2024 Notes, the 2.625% November 2028 Notes, the 2.125% November 2028 Notes and the 2029 Notes, AbbVie may redeem some or all of the Notes of such series at its opton, in each case, at AbbVie’s opton, at a redempton price equal to the greater of:</w:t>
      </w:r>
    </w:p>
    <w:p>
      <w:pPr>
        <w:spacing w:after="0" w:line="142" w:lineRule="exact"/>
        <w:rPr>
          <w:color w:val="auto"/>
          <w:sz w:val="20"/>
          <w:szCs w:val="20"/>
        </w:rPr>
      </w:pPr>
    </w:p>
    <w:p>
      <w:pPr>
        <w:numPr>
          <w:ilvl w:val="0"/>
          <w:numId w:val="40"/>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100% of the principal amount of the Notes of that series to be redeemed; and</w:t>
      </w:r>
    </w:p>
    <w:p>
      <w:pPr>
        <w:spacing w:after="0" w:line="146" w:lineRule="exact"/>
        <w:rPr>
          <w:rFonts w:ascii="Calibri" w:eastAsia="Calibri" w:hAnsi="Calibri" w:cs="Calibri"/>
          <w:color w:val="auto"/>
          <w:sz w:val="12"/>
          <w:szCs w:val="12"/>
        </w:rPr>
      </w:pPr>
    </w:p>
    <w:p>
      <w:pPr>
        <w:numPr>
          <w:ilvl w:val="0"/>
          <w:numId w:val="40"/>
        </w:numPr>
        <w:tabs>
          <w:tab w:val="left" w:pos="855"/>
        </w:tabs>
        <w:spacing w:after="0" w:line="234" w:lineRule="auto"/>
        <w:ind w:left="860" w:hanging="436"/>
        <w:rPr>
          <w:rFonts w:ascii="Calibri" w:eastAsia="Calibri" w:hAnsi="Calibri" w:cs="Calibri"/>
          <w:color w:val="auto"/>
          <w:sz w:val="12"/>
          <w:szCs w:val="12"/>
        </w:rPr>
      </w:pPr>
      <w:r>
        <w:rPr>
          <w:rFonts w:ascii="Calibri" w:eastAsia="Calibri" w:hAnsi="Calibri" w:cs="Calibri"/>
          <w:color w:val="auto"/>
          <w:sz w:val="12"/>
          <w:szCs w:val="12"/>
        </w:rPr>
        <w:t>the sum of the present values of the remaining scheduled payments of principal and interest on the Notes to be redeemed (exclusive of interest accrued to the date of redempton) discounted to the date of redempton on an annual basis (ACTUAL/ACTUAL (ICMA)) at the applicable Comparable Government Bond Rate (as defned below) plus 25 basis points for the 2023 Notes, the May 2024 Notes and the June 2024 Notes, 35 basis points for the 2.625% November 2028 Notes and 30 basis points for the 2.125% November 2028 Notes and the 2029 Notes.</w:t>
      </w:r>
    </w:p>
    <w:p>
      <w:pPr>
        <w:spacing w:after="0" w:line="143"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In each case, AbbVie will pay accrued and unpaid interest on the principal amount being redeemed to, but excluding, the date of redempton.</w:t>
      </w:r>
    </w:p>
    <w:p>
      <w:pPr>
        <w:spacing w:after="0" w:line="146" w:lineRule="exact"/>
        <w:rPr>
          <w:color w:val="auto"/>
          <w:sz w:val="20"/>
          <w:szCs w:val="20"/>
        </w:rPr>
      </w:pPr>
    </w:p>
    <w:p>
      <w:pPr>
        <w:spacing w:after="0" w:line="234" w:lineRule="auto"/>
        <w:ind w:right="360" w:firstLine="432"/>
        <w:rPr>
          <w:color w:val="auto"/>
          <w:sz w:val="20"/>
          <w:szCs w:val="20"/>
        </w:rPr>
      </w:pPr>
      <w:r>
        <w:rPr>
          <w:rFonts w:ascii="Calibri" w:eastAsia="Calibri" w:hAnsi="Calibri" w:cs="Calibri"/>
          <w:color w:val="auto"/>
          <w:sz w:val="12"/>
          <w:szCs w:val="12"/>
        </w:rPr>
        <w:t>In additon, at any tme on or afer the Par Call Date applicable to a series of Notes, AbbVie may redeem some or all of the Notes of such series, at its opton, in each case at a redempton price equal to 100% of the principal amount of the Notes of that series to be redeemed, plus, in each case, accrued and unpaid interest on the principal amount being redeemed to, but excluding, the date of redempton.</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For purposes of the foregoing discussion of optonal redempton, the following defnitons are applicable:</w:t>
      </w:r>
    </w:p>
    <w:p>
      <w:pPr>
        <w:spacing w:after="0" w:line="146" w:lineRule="exact"/>
        <w:rPr>
          <w:color w:val="auto"/>
          <w:sz w:val="20"/>
          <w:szCs w:val="20"/>
        </w:rPr>
      </w:pPr>
    </w:p>
    <w:p>
      <w:pPr>
        <w:spacing w:after="0" w:line="235" w:lineRule="auto"/>
        <w:ind w:right="280" w:firstLine="432"/>
        <w:rPr>
          <w:color w:val="auto"/>
          <w:sz w:val="20"/>
          <w:szCs w:val="20"/>
        </w:rPr>
      </w:pPr>
      <w:r>
        <w:rPr>
          <w:rFonts w:ascii="Calibri" w:eastAsia="Calibri" w:hAnsi="Calibri" w:cs="Calibri"/>
          <w:color w:val="auto"/>
          <w:sz w:val="12"/>
          <w:szCs w:val="12"/>
        </w:rPr>
        <w:t>“Comparable Government Bond” means, in relaton to any Comparable Government Bond Rate calculaton, at the discreton of an independent investment bank selected by us, a bond that is a direct obligaton of the Federal Republic of Germany (“German government bond”), whose maturity is closest to the maturity of the notes, or if such independent investment bank in its discreton determines that such similar bond is not in issue, such other German government bond as such independent investment bank may, with the advice of three brokers of, and/or market makers in, German government bonds selected by us, determine to be appropriate for determining the Comparable Government Bond Rate.</w:t>
      </w:r>
    </w:p>
    <w:p>
      <w:pPr>
        <w:spacing w:after="0" w:line="146" w:lineRule="exact"/>
        <w:rPr>
          <w:color w:val="auto"/>
          <w:sz w:val="20"/>
          <w:szCs w:val="20"/>
        </w:rPr>
      </w:pPr>
    </w:p>
    <w:p>
      <w:pPr>
        <w:spacing w:after="0" w:line="234" w:lineRule="auto"/>
        <w:ind w:right="160" w:firstLine="432"/>
        <w:rPr>
          <w:color w:val="auto"/>
          <w:sz w:val="20"/>
          <w:szCs w:val="20"/>
        </w:rPr>
      </w:pPr>
      <w:r>
        <w:rPr>
          <w:rFonts w:ascii="Calibri" w:eastAsia="Calibri" w:hAnsi="Calibri" w:cs="Calibri"/>
          <w:color w:val="auto"/>
          <w:sz w:val="12"/>
          <w:szCs w:val="12"/>
        </w:rPr>
        <w:t>“Comparable Government Bond Rate” means the yield to maturity, expressed as a percentage (rounded to three decimal places, with 0.0005 being rounded upwards), on the third business day prior to the date fxed for redempton, of the Comparable Government Bond on the basis of the middle market price of the Comparable Government Bond prevailing at 11:00 a.m. (London tme) on such business day as determined by an independent investment bank selected by us.</w:t>
      </w:r>
    </w:p>
    <w:p>
      <w:pPr>
        <w:spacing w:after="0" w:line="148" w:lineRule="exact"/>
        <w:rPr>
          <w:color w:val="auto"/>
          <w:sz w:val="20"/>
          <w:szCs w:val="20"/>
        </w:rPr>
      </w:pPr>
    </w:p>
    <w:p>
      <w:pPr>
        <w:spacing w:after="0" w:line="235" w:lineRule="auto"/>
        <w:ind w:right="40" w:firstLine="432"/>
        <w:rPr>
          <w:color w:val="auto"/>
          <w:sz w:val="20"/>
          <w:szCs w:val="20"/>
        </w:rPr>
      </w:pPr>
      <w:r>
        <w:rPr>
          <w:rFonts w:ascii="Calibri" w:eastAsia="Calibri" w:hAnsi="Calibri" w:cs="Calibri"/>
          <w:color w:val="auto"/>
          <w:sz w:val="12"/>
          <w:szCs w:val="12"/>
        </w:rPr>
        <w:t>“Par Call Date” means (i) with respect to the 2023 Notes, October 15, 2023 (one month prior to the maturity date of the 2023 Notes), (ii) with respect to the May 2024 Notes, February 17, 2024 (three months prior to the maturity date of the May 2024 Notes), (iii) with respect to the June 2024 Notes, March 1, 2024 (three months prior to the maturity date of the June 2024 Notes), (iv) with respect to the 2027 Notes, August 18, 2027 (three months prior to the maturity date of the 2027 Notes), (v) with respect to the 2.625% November 2028 Notes, August 15, 2028 (three months prior to the maturity date of the 2.625% November 2028 Notes), (vi) with respect to the 2.125% November 2028 Notes, August 17, 2028 (three months prior to the maturity date of the 2.125% November 2028 Notes), (vii) with respect to the 2029 Notes, March 1, 2029 (three months prior to the maturity date of the 2029 Notes) and (viii) with respect to the 2031 Notes, August 18, 2031 (three months prior to the maturity date of the 2031 Notes).</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7</w:t>
      </w:r>
    </w:p>
    <w:p>
      <w:pPr>
        <w:sectPr>
          <w:pgSz w:w="11900" w:h="16838" w:orient="portrait"/>
          <w:pgMar w:top="989" w:right="299" w:bottom="1440" w:left="300" w:header="0" w:footer="0" w:gutter="0"/>
          <w:cols w:num="1" w:space="720" w:equalWidth="0">
            <w:col w:w="11300" w:space="0"/>
          </w:cols>
        </w:sectPr>
      </w:pPr>
    </w:p>
    <w:bookmarkStart w:id="123" w:name="page124"/>
    <w:bookmarkEnd w:id="123"/>
    <w:p>
      <w:pPr>
        <w:spacing w:after="0" w:line="234" w:lineRule="auto"/>
        <w:ind w:right="40" w:firstLine="432"/>
        <w:rPr>
          <w:color w:val="auto"/>
          <w:sz w:val="20"/>
          <w:szCs w:val="20"/>
        </w:rPr>
      </w:pPr>
      <w:r>
        <w:rPr>
          <w:rFonts w:ascii="Calibri" w:eastAsia="Calibri" w:hAnsi="Calibri" w:cs="Calibri"/>
          <w:color w:val="auto"/>
          <w:sz w:val="12"/>
          <w:szCs w:val="12"/>
        </w:rPr>
        <w:t>In the case of the May 2024 Notes, the 2027 Notes, the 2.125% November 2028 Notes and the 2031 Notes, the notce of redempton will be mailed at least 30 but not more than 60 days before the redempton date (i) in the case of Notes represented by a Global Note, to and through Euroclear or Clearstream, Luxembourg for communicaton by them to the holders of interests in the Notes, or (ii) in the case of notes in defnitve form (“Defnitve Notes”), to each holder of record of the Notes to be redeemed at its registered address.</w:t>
      </w:r>
    </w:p>
    <w:p>
      <w:pPr>
        <w:spacing w:after="0" w:line="148" w:lineRule="exact"/>
        <w:rPr>
          <w:color w:val="auto"/>
          <w:sz w:val="20"/>
          <w:szCs w:val="20"/>
        </w:rPr>
      </w:pPr>
    </w:p>
    <w:p>
      <w:pPr>
        <w:spacing w:after="0" w:line="234" w:lineRule="auto"/>
        <w:ind w:right="20" w:firstLine="432"/>
        <w:jc w:val="both"/>
        <w:rPr>
          <w:color w:val="auto"/>
          <w:sz w:val="20"/>
          <w:szCs w:val="20"/>
        </w:rPr>
      </w:pPr>
      <w:r>
        <w:rPr>
          <w:rFonts w:ascii="Calibri" w:eastAsia="Calibri" w:hAnsi="Calibri" w:cs="Calibri"/>
          <w:color w:val="auto"/>
          <w:sz w:val="12"/>
          <w:szCs w:val="12"/>
        </w:rPr>
        <w:t>In the case of the 2023 Notes, the June 2024 Notes, the 2.625% November 2028 Notes and the 2029 Notes, the notce of redempton will be mailed at least 15 but not more than 60 days before the redempton date (i) in the case of Notes represented by a Global Note, to and through Euroclear or Clearstream, Luxembourg for communicaton by them to the holders of interests in the Notes, or (ii) in the case of Defnitve Notes, to each holder of record of the Notes to be redeemed at its registered address.</w:t>
      </w:r>
    </w:p>
    <w:p>
      <w:pPr>
        <w:spacing w:after="0" w:line="148" w:lineRule="exact"/>
        <w:rPr>
          <w:color w:val="auto"/>
          <w:sz w:val="20"/>
          <w:szCs w:val="20"/>
        </w:rPr>
      </w:pPr>
    </w:p>
    <w:p>
      <w:pPr>
        <w:spacing w:after="0" w:line="234" w:lineRule="auto"/>
        <w:ind w:right="400" w:firstLine="432"/>
        <w:rPr>
          <w:color w:val="auto"/>
          <w:sz w:val="20"/>
          <w:szCs w:val="20"/>
        </w:rPr>
      </w:pPr>
      <w:r>
        <w:rPr>
          <w:rFonts w:ascii="Calibri" w:eastAsia="Calibri" w:hAnsi="Calibri" w:cs="Calibri"/>
          <w:color w:val="auto"/>
          <w:sz w:val="12"/>
          <w:szCs w:val="12"/>
        </w:rPr>
        <w:t>The notce of redempton for the Notes will state, among other things, the series and amount of Notes to be redeemed, the redempton date, the redempton price and the place or places that payment will be made upon presentaton and surrender of Notes to be redeemed.</w:t>
      </w:r>
    </w:p>
    <w:p>
      <w:pPr>
        <w:spacing w:after="0" w:line="146" w:lineRule="exact"/>
        <w:rPr>
          <w:color w:val="auto"/>
          <w:sz w:val="20"/>
          <w:szCs w:val="20"/>
        </w:rPr>
      </w:pPr>
    </w:p>
    <w:p>
      <w:pPr>
        <w:spacing w:after="0" w:line="235" w:lineRule="auto"/>
        <w:ind w:right="40" w:firstLine="432"/>
        <w:rPr>
          <w:color w:val="auto"/>
          <w:sz w:val="20"/>
          <w:szCs w:val="20"/>
        </w:rPr>
      </w:pPr>
      <w:r>
        <w:rPr>
          <w:rFonts w:ascii="Calibri" w:eastAsia="Calibri" w:hAnsi="Calibri" w:cs="Calibri"/>
          <w:color w:val="auto"/>
          <w:sz w:val="12"/>
          <w:szCs w:val="12"/>
        </w:rPr>
        <w:t>Any redempton or notce of redempton in the case of the 2023 Notes, the June 2024 Notes, the 2.625% November 2028 Notes and the 2029 Notes may, at AbbVie’s discreton, be subject to one or more conditons precedent, and, at AbbVie’s discreton, the redempton date may be delayed untl such tme as any or all such conditons shall be satsfed. AbbVie shall provide writen notce to the Trustee prior to the close of business two business days prior to the redempton date if any such redempton has been rescinded or delayed, and upon receipt the Trustee shall provide such notce to each holder of the 2023 Notes, the June 2024 Notes, the 2.625% November 2028 Notes and the 2029 Notes, as applicable, in the same manner in which the notce of redempton was given.</w:t>
      </w:r>
    </w:p>
    <w:p>
      <w:pPr>
        <w:spacing w:after="0" w:line="146" w:lineRule="exact"/>
        <w:rPr>
          <w:color w:val="auto"/>
          <w:sz w:val="20"/>
          <w:szCs w:val="20"/>
        </w:rPr>
      </w:pPr>
    </w:p>
    <w:p>
      <w:pPr>
        <w:spacing w:after="0" w:line="235" w:lineRule="auto"/>
        <w:ind w:firstLine="432"/>
        <w:rPr>
          <w:color w:val="auto"/>
          <w:sz w:val="20"/>
          <w:szCs w:val="20"/>
        </w:rPr>
      </w:pPr>
      <w:r>
        <w:rPr>
          <w:rFonts w:ascii="Calibri" w:eastAsia="Calibri" w:hAnsi="Calibri" w:cs="Calibri"/>
          <w:color w:val="auto"/>
          <w:sz w:val="12"/>
          <w:szCs w:val="12"/>
        </w:rPr>
        <w:t>Unless AbbVie defaults in the payment of the redempton price, interest will cease to accrue on any Notes that have been called for redempton at the redempton date. If fewer than all of the Notes of a series are to be redeemed at any tme, (i) in the case of Notes represented by a Global Note, the Notes will be selected in accordance with the rules of Euroclear and/or Clearstream, Luxembourg (to be refected in the records of Euroclear and Clearstream, Luxembourg as either a pool factor or a reducton in nominal amount, at their discreton), or (ii) in the case of Defnitve Notes, the Trustee will select (in the case of the May 2024 Notes, the 2027 Notes, the 2.125% November 2028 Notes and the 2031 Notes, not more than 45 days prior to the redempton date, and in the case of the 2023 Notes, the June 2024 Notes, the 2.625% November 2028 Notes and the 2029 Notes, not more than 30 days prior to the redempton date), the partcular Notes or portons thereof for redempton from the outstanding Notes not previously redeemed by random lot.</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Payment of Additonal Amounts</w:t>
      </w:r>
    </w:p>
    <w:p>
      <w:pPr>
        <w:spacing w:after="0" w:line="146" w:lineRule="exact"/>
        <w:rPr>
          <w:color w:val="auto"/>
          <w:sz w:val="20"/>
          <w:szCs w:val="20"/>
        </w:rPr>
      </w:pPr>
    </w:p>
    <w:p>
      <w:pPr>
        <w:spacing w:after="0" w:line="234" w:lineRule="auto"/>
        <w:ind w:right="40" w:firstLine="432"/>
        <w:jc w:val="both"/>
        <w:rPr>
          <w:color w:val="auto"/>
          <w:sz w:val="20"/>
          <w:szCs w:val="20"/>
        </w:rPr>
      </w:pPr>
      <w:r>
        <w:rPr>
          <w:rFonts w:ascii="Calibri" w:eastAsia="Calibri" w:hAnsi="Calibri" w:cs="Calibri"/>
          <w:color w:val="auto"/>
          <w:sz w:val="12"/>
          <w:szCs w:val="12"/>
        </w:rPr>
        <w:t>AbbVie will, subject to the exceptons and limitatons set forth below, pay as additonal interest on each series of the Notes such additonal amounts as are necessary in order that the net amount of the principal of, and premium, if any, and interest on such Notes received by a benefcial owner who is not a U.S. person (as defned below), afer withholding or deducton for any future tax, assessment or other governmental charge imposed by the United States or a taxing authority in the United States, will not be less than the amount provided in the Notes to be then due and payable; provided, however, that the foregoing obligaton to pay additonal amounts shall not apply:</w:t>
      </w:r>
    </w:p>
    <w:p>
      <w:pPr>
        <w:spacing w:after="0" w:line="148" w:lineRule="exact"/>
        <w:rPr>
          <w:color w:val="auto"/>
          <w:sz w:val="20"/>
          <w:szCs w:val="20"/>
        </w:rPr>
      </w:pPr>
    </w:p>
    <w:p>
      <w:pPr>
        <w:numPr>
          <w:ilvl w:val="0"/>
          <w:numId w:val="41"/>
        </w:numPr>
        <w:tabs>
          <w:tab w:val="left" w:pos="664"/>
        </w:tabs>
        <w:spacing w:after="0" w:line="234" w:lineRule="auto"/>
        <w:ind w:left="860" w:right="40" w:hanging="436"/>
        <w:rPr>
          <w:rFonts w:ascii="Calibri" w:eastAsia="Calibri" w:hAnsi="Calibri" w:cs="Calibri"/>
          <w:color w:val="auto"/>
          <w:sz w:val="12"/>
          <w:szCs w:val="12"/>
        </w:rPr>
      </w:pPr>
      <w:r>
        <w:rPr>
          <w:rFonts w:ascii="Calibri" w:eastAsia="Calibri" w:hAnsi="Calibri" w:cs="Calibri"/>
          <w:color w:val="auto"/>
          <w:sz w:val="12"/>
          <w:szCs w:val="12"/>
        </w:rPr>
        <w:t>to any tax, assessment or other governmental charge that would not have been imposed but for the holder (or the benefcial owner for whose beneft such holder holds such Note), or a fduciary, setlor, benefciary, member or shareholder of the holder if the holder is an estate, trust, partnership or corporaton, or a person holding a power over an estate or trust administered by a fduciary holder, being considered as:</w:t>
      </w:r>
    </w:p>
    <w:p>
      <w:pPr>
        <w:spacing w:after="0" w:line="141" w:lineRule="exact"/>
        <w:rPr>
          <w:rFonts w:ascii="Calibri" w:eastAsia="Calibri" w:hAnsi="Calibri" w:cs="Calibri"/>
          <w:color w:val="auto"/>
          <w:sz w:val="12"/>
          <w:szCs w:val="12"/>
        </w:rPr>
      </w:pPr>
    </w:p>
    <w:p>
      <w:pPr>
        <w:numPr>
          <w:ilvl w:val="1"/>
          <w:numId w:val="41"/>
        </w:numPr>
        <w:tabs>
          <w:tab w:val="left" w:pos="1080"/>
        </w:tabs>
        <w:spacing w:after="0"/>
        <w:ind w:left="1080" w:hanging="224"/>
        <w:rPr>
          <w:rFonts w:ascii="Calibri" w:eastAsia="Calibri" w:hAnsi="Calibri" w:cs="Calibri"/>
          <w:color w:val="auto"/>
          <w:sz w:val="12"/>
          <w:szCs w:val="12"/>
        </w:rPr>
      </w:pPr>
      <w:r>
        <w:rPr>
          <w:rFonts w:ascii="Calibri" w:eastAsia="Calibri" w:hAnsi="Calibri" w:cs="Calibri"/>
          <w:color w:val="auto"/>
          <w:sz w:val="12"/>
          <w:szCs w:val="12"/>
        </w:rPr>
        <w:t>being or having been engaged in a trade or business in the United States or having or having had a permanent establishment in the United States;</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59"/>
        <w:jc w:val="center"/>
        <w:rPr>
          <w:color w:val="auto"/>
          <w:sz w:val="20"/>
          <w:szCs w:val="20"/>
        </w:rPr>
      </w:pPr>
      <w:r>
        <w:rPr>
          <w:rFonts w:ascii="Calibri" w:eastAsia="Calibri" w:hAnsi="Calibri" w:cs="Calibri"/>
          <w:color w:val="auto"/>
          <w:sz w:val="12"/>
          <w:szCs w:val="12"/>
        </w:rPr>
        <w:t>8</w:t>
      </w:r>
    </w:p>
    <w:p>
      <w:pPr>
        <w:sectPr>
          <w:pgSz w:w="11900" w:h="16838" w:orient="portrait"/>
          <w:pgMar w:top="989" w:right="339" w:bottom="1440" w:left="300" w:header="0" w:footer="0" w:gutter="0"/>
          <w:cols w:num="1" w:space="720" w:equalWidth="0">
            <w:col w:w="11260" w:space="0"/>
          </w:cols>
        </w:sectPr>
      </w:pPr>
    </w:p>
    <w:bookmarkStart w:id="124" w:name="page125"/>
    <w:bookmarkEnd w:id="124"/>
    <w:p>
      <w:pPr>
        <w:numPr>
          <w:ilvl w:val="1"/>
          <w:numId w:val="42"/>
        </w:numPr>
        <w:tabs>
          <w:tab w:val="left" w:pos="666"/>
        </w:tabs>
        <w:spacing w:after="0" w:line="234" w:lineRule="auto"/>
        <w:ind w:left="860" w:right="480" w:hanging="424"/>
        <w:rPr>
          <w:rFonts w:ascii="Calibri" w:eastAsia="Calibri" w:hAnsi="Calibri" w:cs="Calibri"/>
          <w:color w:val="auto"/>
          <w:sz w:val="12"/>
          <w:szCs w:val="12"/>
        </w:rPr>
      </w:pPr>
      <w:r>
        <w:rPr>
          <w:rFonts w:ascii="Calibri" w:eastAsia="Calibri" w:hAnsi="Calibri" w:cs="Calibri"/>
          <w:color w:val="auto"/>
          <w:sz w:val="12"/>
          <w:szCs w:val="12"/>
        </w:rPr>
        <w:t>having a current or former connecton with the United States (other than a connecton arising solely as a result of the ownership of the Notes or the receipt of any payment or the enforcement of any rights thereunder), including being or having been a citzen or resident of the United States;</w:t>
      </w:r>
    </w:p>
    <w:p>
      <w:pPr>
        <w:spacing w:after="0" w:line="146" w:lineRule="exact"/>
        <w:rPr>
          <w:rFonts w:ascii="Calibri" w:eastAsia="Calibri" w:hAnsi="Calibri" w:cs="Calibri"/>
          <w:color w:val="auto"/>
          <w:sz w:val="12"/>
          <w:szCs w:val="12"/>
        </w:rPr>
      </w:pPr>
    </w:p>
    <w:p>
      <w:pPr>
        <w:numPr>
          <w:ilvl w:val="1"/>
          <w:numId w:val="42"/>
        </w:numPr>
        <w:tabs>
          <w:tab w:val="left" w:pos="654"/>
        </w:tabs>
        <w:spacing w:after="0" w:line="234" w:lineRule="auto"/>
        <w:ind w:left="860" w:right="180" w:hanging="424"/>
        <w:rPr>
          <w:rFonts w:ascii="Calibri" w:eastAsia="Calibri" w:hAnsi="Calibri" w:cs="Calibri"/>
          <w:color w:val="auto"/>
          <w:sz w:val="12"/>
          <w:szCs w:val="12"/>
        </w:rPr>
      </w:pPr>
      <w:r>
        <w:rPr>
          <w:rFonts w:ascii="Calibri" w:eastAsia="Calibri" w:hAnsi="Calibri" w:cs="Calibri"/>
          <w:color w:val="auto"/>
          <w:sz w:val="12"/>
          <w:szCs w:val="12"/>
        </w:rPr>
        <w:t>being or having been a personal holding company, a passive foreign investment company or a controlled foreign corporaton for U.S. federal income tax purposes or a corporaton that has accumulated earnings to avoid U.S. federal income tax;</w:t>
      </w:r>
    </w:p>
    <w:p>
      <w:pPr>
        <w:spacing w:after="0" w:line="141" w:lineRule="exact"/>
        <w:rPr>
          <w:rFonts w:ascii="Calibri" w:eastAsia="Calibri" w:hAnsi="Calibri" w:cs="Calibri"/>
          <w:color w:val="auto"/>
          <w:sz w:val="12"/>
          <w:szCs w:val="12"/>
        </w:rPr>
      </w:pPr>
    </w:p>
    <w:p>
      <w:pPr>
        <w:numPr>
          <w:ilvl w:val="1"/>
          <w:numId w:val="42"/>
        </w:numPr>
        <w:tabs>
          <w:tab w:val="left" w:pos="680"/>
        </w:tabs>
        <w:spacing w:after="0"/>
        <w:ind w:left="680" w:hanging="244"/>
        <w:rPr>
          <w:rFonts w:ascii="Calibri" w:eastAsia="Calibri" w:hAnsi="Calibri" w:cs="Calibri"/>
          <w:color w:val="auto"/>
          <w:sz w:val="12"/>
          <w:szCs w:val="12"/>
        </w:rPr>
      </w:pPr>
      <w:r>
        <w:rPr>
          <w:rFonts w:ascii="Calibri" w:eastAsia="Calibri" w:hAnsi="Calibri" w:cs="Calibri"/>
          <w:color w:val="auto"/>
          <w:sz w:val="12"/>
          <w:szCs w:val="12"/>
        </w:rPr>
        <w:t>being or having been a “10-percent shareholder” of AbbVie as defned in secton 871(h)(3) of the U.S. Internal Revenue Code of 1986, as amended (the “Code”), or any successor provision; or</w:t>
      </w:r>
    </w:p>
    <w:p>
      <w:pPr>
        <w:spacing w:after="0" w:line="141" w:lineRule="exact"/>
        <w:rPr>
          <w:rFonts w:ascii="Calibri" w:eastAsia="Calibri" w:hAnsi="Calibri" w:cs="Calibri"/>
          <w:color w:val="auto"/>
          <w:sz w:val="12"/>
          <w:szCs w:val="12"/>
        </w:rPr>
      </w:pPr>
    </w:p>
    <w:p>
      <w:pPr>
        <w:numPr>
          <w:ilvl w:val="1"/>
          <w:numId w:val="42"/>
        </w:numPr>
        <w:tabs>
          <w:tab w:val="left" w:pos="680"/>
        </w:tabs>
        <w:spacing w:after="0"/>
        <w:ind w:left="680" w:hanging="244"/>
        <w:rPr>
          <w:rFonts w:ascii="Calibri" w:eastAsia="Calibri" w:hAnsi="Calibri" w:cs="Calibri"/>
          <w:color w:val="auto"/>
          <w:sz w:val="12"/>
          <w:szCs w:val="12"/>
        </w:rPr>
      </w:pPr>
      <w:r>
        <w:rPr>
          <w:rFonts w:ascii="Calibri" w:eastAsia="Calibri" w:hAnsi="Calibri" w:cs="Calibri"/>
          <w:color w:val="auto"/>
          <w:sz w:val="12"/>
          <w:szCs w:val="12"/>
        </w:rPr>
        <w:t>being a bank receiving payments on an extension of credit made pursuant to a loan agreement entered into in the ordinary course of its trade or business;</w:t>
      </w:r>
    </w:p>
    <w:p>
      <w:pPr>
        <w:spacing w:after="0" w:line="146" w:lineRule="exact"/>
        <w:rPr>
          <w:rFonts w:ascii="Calibri" w:eastAsia="Calibri" w:hAnsi="Calibri" w:cs="Calibri"/>
          <w:color w:val="auto"/>
          <w:sz w:val="12"/>
          <w:szCs w:val="12"/>
        </w:rPr>
      </w:pPr>
    </w:p>
    <w:p>
      <w:pPr>
        <w:numPr>
          <w:ilvl w:val="0"/>
          <w:numId w:val="43"/>
        </w:numPr>
        <w:tabs>
          <w:tab w:val="left" w:pos="244"/>
        </w:tabs>
        <w:spacing w:after="0" w:line="234" w:lineRule="auto"/>
        <w:ind w:left="440" w:hanging="436"/>
        <w:rPr>
          <w:rFonts w:ascii="Calibri" w:eastAsia="Calibri" w:hAnsi="Calibri" w:cs="Calibri"/>
          <w:color w:val="auto"/>
          <w:sz w:val="12"/>
          <w:szCs w:val="12"/>
        </w:rPr>
      </w:pPr>
      <w:r>
        <w:rPr>
          <w:rFonts w:ascii="Calibri" w:eastAsia="Calibri" w:hAnsi="Calibri" w:cs="Calibri"/>
          <w:color w:val="auto"/>
          <w:sz w:val="12"/>
          <w:szCs w:val="12"/>
        </w:rPr>
        <w:t>to any holder that is not the sole benefcial owner of the Notes, or a porton of the Notes, or that is a fduciary, partnership or limited liability company, but only to the extent that a benefcial owner with respect to the holder, a benefciary or setlor with respect to the fduciary, or a benefcial owner or member of the partnership or limited liability company would not have been enttled to the payment of an additonal amount had the benefciary, setlor, benefcial owner or member received directly its benefcial or distributve share of the payment;</w:t>
      </w:r>
    </w:p>
    <w:p>
      <w:pPr>
        <w:spacing w:after="0" w:line="147" w:lineRule="exact"/>
        <w:rPr>
          <w:rFonts w:ascii="Calibri" w:eastAsia="Calibri" w:hAnsi="Calibri" w:cs="Calibri"/>
          <w:color w:val="auto"/>
          <w:sz w:val="12"/>
          <w:szCs w:val="12"/>
        </w:rPr>
      </w:pPr>
    </w:p>
    <w:p>
      <w:pPr>
        <w:numPr>
          <w:ilvl w:val="0"/>
          <w:numId w:val="43"/>
        </w:numPr>
        <w:tabs>
          <w:tab w:val="left" w:pos="244"/>
        </w:tabs>
        <w:spacing w:after="0" w:line="234" w:lineRule="auto"/>
        <w:ind w:left="440" w:right="80" w:hanging="436"/>
        <w:rPr>
          <w:rFonts w:ascii="Calibri" w:eastAsia="Calibri" w:hAnsi="Calibri" w:cs="Calibri"/>
          <w:color w:val="auto"/>
          <w:sz w:val="12"/>
          <w:szCs w:val="12"/>
        </w:rPr>
      </w:pPr>
      <w:r>
        <w:rPr>
          <w:rFonts w:ascii="Calibri" w:eastAsia="Calibri" w:hAnsi="Calibri" w:cs="Calibri"/>
          <w:color w:val="auto"/>
          <w:sz w:val="12"/>
          <w:szCs w:val="12"/>
        </w:rPr>
        <w:t>to any tax, assessment or other governmental charge that would not have been imposed but for the failure of the holder or benefcial owner or any other person to comply with certfcaton, identfcaton or informaton reportng requirements concerning the natonality, residence, identty or connecton with the United States of the holder or benefcial owner of the Notes, if compliance is required by statute, by regulaton of the United States or any taxing authority therein or by an applicable income tax treaty to which the United States is a party as a preconditon to exempton from such tax, assessment or other governmental charge;</w:t>
      </w:r>
    </w:p>
    <w:p>
      <w:pPr>
        <w:spacing w:after="0" w:line="143" w:lineRule="exact"/>
        <w:rPr>
          <w:rFonts w:ascii="Calibri" w:eastAsia="Calibri" w:hAnsi="Calibri" w:cs="Calibri"/>
          <w:color w:val="auto"/>
          <w:sz w:val="12"/>
          <w:szCs w:val="12"/>
        </w:rPr>
      </w:pPr>
    </w:p>
    <w:p>
      <w:pPr>
        <w:numPr>
          <w:ilvl w:val="0"/>
          <w:numId w:val="43"/>
        </w:numPr>
        <w:tabs>
          <w:tab w:val="left" w:pos="240"/>
        </w:tabs>
        <w:spacing w:after="0"/>
        <w:ind w:left="240" w:hanging="236"/>
        <w:rPr>
          <w:rFonts w:ascii="Calibri" w:eastAsia="Calibri" w:hAnsi="Calibri" w:cs="Calibri"/>
          <w:color w:val="auto"/>
          <w:sz w:val="12"/>
          <w:szCs w:val="12"/>
        </w:rPr>
      </w:pPr>
      <w:r>
        <w:rPr>
          <w:rFonts w:ascii="Calibri" w:eastAsia="Calibri" w:hAnsi="Calibri" w:cs="Calibri"/>
          <w:color w:val="auto"/>
          <w:sz w:val="12"/>
          <w:szCs w:val="12"/>
        </w:rPr>
        <w:t>to any tax, assessment or other governmental charge that is imposed otherwise than by withholding by AbbVie or a paying agent from the payment;</w:t>
      </w:r>
    </w:p>
    <w:p>
      <w:pPr>
        <w:spacing w:after="0" w:line="146" w:lineRule="exact"/>
        <w:rPr>
          <w:rFonts w:ascii="Calibri" w:eastAsia="Calibri" w:hAnsi="Calibri" w:cs="Calibri"/>
          <w:color w:val="auto"/>
          <w:sz w:val="12"/>
          <w:szCs w:val="12"/>
        </w:rPr>
      </w:pPr>
    </w:p>
    <w:p>
      <w:pPr>
        <w:numPr>
          <w:ilvl w:val="0"/>
          <w:numId w:val="43"/>
        </w:numPr>
        <w:tabs>
          <w:tab w:val="left" w:pos="244"/>
        </w:tabs>
        <w:spacing w:after="0" w:line="234" w:lineRule="auto"/>
        <w:ind w:left="440" w:right="280" w:hanging="436"/>
        <w:rPr>
          <w:rFonts w:ascii="Calibri" w:eastAsia="Calibri" w:hAnsi="Calibri" w:cs="Calibri"/>
          <w:color w:val="auto"/>
          <w:sz w:val="12"/>
          <w:szCs w:val="12"/>
        </w:rPr>
      </w:pPr>
      <w:r>
        <w:rPr>
          <w:rFonts w:ascii="Calibri" w:eastAsia="Calibri" w:hAnsi="Calibri" w:cs="Calibri"/>
          <w:color w:val="auto"/>
          <w:sz w:val="12"/>
          <w:szCs w:val="12"/>
        </w:rPr>
        <w:t>to any tax, assessment or other governmental charge that would not have been imposed but for a change in law, regulaton, or administratve or judicial interpretaton that becomes efectve more than 15 days afer the payment becomes due or is duly provided for, whichever occurs later;</w:t>
      </w:r>
    </w:p>
    <w:p>
      <w:pPr>
        <w:spacing w:after="0" w:line="141" w:lineRule="exact"/>
        <w:rPr>
          <w:rFonts w:ascii="Calibri" w:eastAsia="Calibri" w:hAnsi="Calibri" w:cs="Calibri"/>
          <w:color w:val="auto"/>
          <w:sz w:val="12"/>
          <w:szCs w:val="12"/>
        </w:rPr>
      </w:pPr>
    </w:p>
    <w:p>
      <w:pPr>
        <w:numPr>
          <w:ilvl w:val="0"/>
          <w:numId w:val="43"/>
        </w:numPr>
        <w:tabs>
          <w:tab w:val="left" w:pos="240"/>
        </w:tabs>
        <w:spacing w:after="0"/>
        <w:ind w:left="240" w:hanging="236"/>
        <w:rPr>
          <w:rFonts w:ascii="Calibri" w:eastAsia="Calibri" w:hAnsi="Calibri" w:cs="Calibri"/>
          <w:color w:val="auto"/>
          <w:sz w:val="12"/>
          <w:szCs w:val="12"/>
        </w:rPr>
      </w:pPr>
      <w:r>
        <w:rPr>
          <w:rFonts w:ascii="Calibri" w:eastAsia="Calibri" w:hAnsi="Calibri" w:cs="Calibri"/>
          <w:color w:val="auto"/>
          <w:sz w:val="12"/>
          <w:szCs w:val="12"/>
        </w:rPr>
        <w:t>to any estate, inheritance, gif, sales, excise, transfer, wealth, capital gains or personal property tax or similar tax, assessment or other governmental charge;</w:t>
      </w:r>
    </w:p>
    <w:p>
      <w:pPr>
        <w:spacing w:after="0" w:line="146" w:lineRule="exact"/>
        <w:rPr>
          <w:rFonts w:ascii="Calibri" w:eastAsia="Calibri" w:hAnsi="Calibri" w:cs="Calibri"/>
          <w:color w:val="auto"/>
          <w:sz w:val="12"/>
          <w:szCs w:val="12"/>
        </w:rPr>
      </w:pPr>
    </w:p>
    <w:p>
      <w:pPr>
        <w:numPr>
          <w:ilvl w:val="0"/>
          <w:numId w:val="43"/>
        </w:numPr>
        <w:tabs>
          <w:tab w:val="left" w:pos="244"/>
        </w:tabs>
        <w:spacing w:after="0" w:line="234" w:lineRule="auto"/>
        <w:ind w:left="440" w:right="80" w:hanging="436"/>
        <w:rPr>
          <w:rFonts w:ascii="Calibri" w:eastAsia="Calibri" w:hAnsi="Calibri" w:cs="Calibri"/>
          <w:color w:val="auto"/>
          <w:sz w:val="12"/>
          <w:szCs w:val="12"/>
        </w:rPr>
      </w:pPr>
      <w:r>
        <w:rPr>
          <w:rFonts w:ascii="Calibri" w:eastAsia="Calibri" w:hAnsi="Calibri" w:cs="Calibri"/>
          <w:color w:val="auto"/>
          <w:sz w:val="12"/>
          <w:szCs w:val="12"/>
        </w:rPr>
        <w:t>to any tax, assessment or other governmental charge required to be withheld by any paying agent from any payment of principal of or interest on any Note, if such payment can be made without such withholding by at least one other paying agent;</w:t>
      </w:r>
    </w:p>
    <w:p>
      <w:pPr>
        <w:spacing w:after="0" w:line="146" w:lineRule="exact"/>
        <w:rPr>
          <w:rFonts w:ascii="Calibri" w:eastAsia="Calibri" w:hAnsi="Calibri" w:cs="Calibri"/>
          <w:color w:val="auto"/>
          <w:sz w:val="12"/>
          <w:szCs w:val="12"/>
        </w:rPr>
      </w:pPr>
    </w:p>
    <w:p>
      <w:pPr>
        <w:numPr>
          <w:ilvl w:val="0"/>
          <w:numId w:val="43"/>
        </w:numPr>
        <w:tabs>
          <w:tab w:val="left" w:pos="244"/>
        </w:tabs>
        <w:spacing w:after="0" w:line="234" w:lineRule="auto"/>
        <w:ind w:left="440" w:right="40" w:hanging="436"/>
        <w:rPr>
          <w:rFonts w:ascii="Calibri" w:eastAsia="Calibri" w:hAnsi="Calibri" w:cs="Calibri"/>
          <w:color w:val="auto"/>
          <w:sz w:val="12"/>
          <w:szCs w:val="12"/>
        </w:rPr>
      </w:pPr>
      <w:r>
        <w:rPr>
          <w:rFonts w:ascii="Calibri" w:eastAsia="Calibri" w:hAnsi="Calibri" w:cs="Calibri"/>
          <w:color w:val="auto"/>
          <w:sz w:val="12"/>
          <w:szCs w:val="12"/>
        </w:rPr>
        <w:t>to any tax, assessment or other governmental charge that would not have been imposed but for the presentaton by the holder of any Note, where presentaton is required, for payment on a date more than 30 days afer the date on which payment became due and payable or the date on which payment thereof is duly provided for, whichever occurs later;</w:t>
      </w:r>
    </w:p>
    <w:p>
      <w:pPr>
        <w:spacing w:after="0" w:line="146" w:lineRule="exact"/>
        <w:rPr>
          <w:rFonts w:ascii="Calibri" w:eastAsia="Calibri" w:hAnsi="Calibri" w:cs="Calibri"/>
          <w:color w:val="auto"/>
          <w:sz w:val="12"/>
          <w:szCs w:val="12"/>
        </w:rPr>
      </w:pPr>
    </w:p>
    <w:p>
      <w:pPr>
        <w:numPr>
          <w:ilvl w:val="0"/>
          <w:numId w:val="43"/>
        </w:numPr>
        <w:tabs>
          <w:tab w:val="left" w:pos="244"/>
        </w:tabs>
        <w:spacing w:after="0" w:line="234" w:lineRule="auto"/>
        <w:ind w:left="440" w:right="60" w:hanging="436"/>
        <w:rPr>
          <w:rFonts w:ascii="Calibri" w:eastAsia="Calibri" w:hAnsi="Calibri" w:cs="Calibri"/>
          <w:color w:val="auto"/>
          <w:sz w:val="12"/>
          <w:szCs w:val="12"/>
        </w:rPr>
      </w:pPr>
      <w:r>
        <w:rPr>
          <w:rFonts w:ascii="Calibri" w:eastAsia="Calibri" w:hAnsi="Calibri" w:cs="Calibri"/>
          <w:color w:val="auto"/>
          <w:sz w:val="12"/>
          <w:szCs w:val="12"/>
        </w:rPr>
        <w:t>to any tax, assessment or other governmental charge that would not have been imposed or withheld but for the benefcial owner being a bank (i) purchasing the Notes in the ordinary course of its lending business or (ii) that is neither (A) buying the Notes for investment purposes</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300"/>
        <w:jc w:val="center"/>
        <w:rPr>
          <w:color w:val="auto"/>
          <w:sz w:val="20"/>
          <w:szCs w:val="20"/>
        </w:rPr>
      </w:pPr>
      <w:r>
        <w:rPr>
          <w:rFonts w:ascii="Calibri" w:eastAsia="Calibri" w:hAnsi="Calibri" w:cs="Calibri"/>
          <w:color w:val="auto"/>
          <w:sz w:val="12"/>
          <w:szCs w:val="12"/>
        </w:rPr>
        <w:t>9</w:t>
      </w:r>
    </w:p>
    <w:p>
      <w:pPr>
        <w:sectPr>
          <w:pgSz w:w="11900" w:h="16838" w:orient="portrait"/>
          <w:pgMar w:top="989" w:right="319" w:bottom="1440" w:left="720" w:header="0" w:footer="0" w:gutter="0"/>
          <w:cols w:num="1" w:space="720" w:equalWidth="0">
            <w:col w:w="10860" w:space="0"/>
          </w:cols>
        </w:sectPr>
      </w:pPr>
    </w:p>
    <w:bookmarkStart w:id="125" w:name="page126"/>
    <w:bookmarkEnd w:id="125"/>
    <w:p>
      <w:pPr>
        <w:spacing w:after="0"/>
        <w:ind w:left="860"/>
        <w:rPr>
          <w:color w:val="auto"/>
          <w:sz w:val="20"/>
          <w:szCs w:val="20"/>
        </w:rPr>
      </w:pPr>
      <w:r>
        <w:rPr>
          <w:rFonts w:ascii="Calibri" w:eastAsia="Calibri" w:hAnsi="Calibri" w:cs="Calibri"/>
          <w:color w:val="auto"/>
          <w:sz w:val="12"/>
          <w:szCs w:val="12"/>
        </w:rPr>
        <w:t>only nor (B) buying the Notes for resale to a third-party that either is not a bank or holding the Notes for investment purposes only;</w:t>
      </w:r>
    </w:p>
    <w:p>
      <w:pPr>
        <w:spacing w:after="0" w:line="146" w:lineRule="exact"/>
        <w:rPr>
          <w:color w:val="auto"/>
          <w:sz w:val="20"/>
          <w:szCs w:val="20"/>
        </w:rPr>
      </w:pPr>
    </w:p>
    <w:p>
      <w:pPr>
        <w:numPr>
          <w:ilvl w:val="0"/>
          <w:numId w:val="44"/>
        </w:numPr>
        <w:tabs>
          <w:tab w:val="left" w:pos="723"/>
        </w:tabs>
        <w:spacing w:after="0" w:line="234" w:lineRule="auto"/>
        <w:ind w:left="860" w:right="160" w:hanging="436"/>
        <w:rPr>
          <w:rFonts w:ascii="Calibri" w:eastAsia="Calibri" w:hAnsi="Calibri" w:cs="Calibri"/>
          <w:color w:val="auto"/>
          <w:sz w:val="12"/>
          <w:szCs w:val="12"/>
        </w:rPr>
      </w:pPr>
      <w:r>
        <w:rPr>
          <w:rFonts w:ascii="Calibri" w:eastAsia="Calibri" w:hAnsi="Calibri" w:cs="Calibri"/>
          <w:color w:val="auto"/>
          <w:sz w:val="12"/>
          <w:szCs w:val="12"/>
        </w:rPr>
        <w:t>to any tax, assessment or other governmental charge imposed under Sectons 1471 through 1474 of the Code (or any amended or successor provisions), any current or future regulatons or ofcial interpretatons thereof, any agreement entered into pursuant to Secton 1471(b) of the Code, any intergovernmental agreement entered into in connecton with the implementaton of such sectons of the Code or any fscal or regulatory legislaton, rules or practces adopted pursuant to any such intergovernmental agreement; or</w:t>
      </w:r>
    </w:p>
    <w:p>
      <w:pPr>
        <w:spacing w:after="0" w:line="143" w:lineRule="exact"/>
        <w:rPr>
          <w:rFonts w:ascii="Calibri" w:eastAsia="Calibri" w:hAnsi="Calibri" w:cs="Calibri"/>
          <w:color w:val="auto"/>
          <w:sz w:val="12"/>
          <w:szCs w:val="12"/>
        </w:rPr>
      </w:pPr>
    </w:p>
    <w:p>
      <w:pPr>
        <w:numPr>
          <w:ilvl w:val="0"/>
          <w:numId w:val="44"/>
        </w:numPr>
        <w:tabs>
          <w:tab w:val="left" w:pos="720"/>
        </w:tabs>
        <w:spacing w:after="0"/>
        <w:ind w:left="720" w:hanging="296"/>
        <w:rPr>
          <w:rFonts w:ascii="Calibri" w:eastAsia="Calibri" w:hAnsi="Calibri" w:cs="Calibri"/>
          <w:color w:val="auto"/>
          <w:sz w:val="12"/>
          <w:szCs w:val="12"/>
        </w:rPr>
      </w:pPr>
      <w:r>
        <w:rPr>
          <w:rFonts w:ascii="Calibri" w:eastAsia="Calibri" w:hAnsi="Calibri" w:cs="Calibri"/>
          <w:color w:val="auto"/>
          <w:sz w:val="12"/>
          <w:szCs w:val="12"/>
        </w:rPr>
        <w:t>in the case of any combinaton of items (1), (2), (3), (4), (5), (6), (7), (8), (9) and (10).</w:t>
      </w:r>
    </w:p>
    <w:p>
      <w:pPr>
        <w:spacing w:after="0" w:line="146" w:lineRule="exact"/>
        <w:rPr>
          <w:color w:val="auto"/>
          <w:sz w:val="20"/>
          <w:szCs w:val="20"/>
        </w:rPr>
      </w:pPr>
    </w:p>
    <w:p>
      <w:pPr>
        <w:spacing w:after="0" w:line="271" w:lineRule="auto"/>
        <w:ind w:right="340" w:firstLine="432"/>
        <w:rPr>
          <w:color w:val="auto"/>
          <w:sz w:val="20"/>
          <w:szCs w:val="20"/>
        </w:rPr>
      </w:pPr>
      <w:r>
        <w:rPr>
          <w:rFonts w:ascii="Calibri" w:eastAsia="Calibri" w:hAnsi="Calibri" w:cs="Calibri"/>
          <w:color w:val="auto"/>
          <w:sz w:val="11"/>
          <w:szCs w:val="11"/>
        </w:rPr>
        <w:t>The Notes are subject in all cases to any tax, fscal or other law or regulaton or administratve or judicial interpretaton applicable to the Notes. Except as specifcally provided under this heading “—Payment of Additonal Amounts,” AbbVie is not required to make any payment for any tax, assessment or other governmental charge imposed by any government or a politcal subdivision or taxing authority of or in any government or politcal subdivision.</w:t>
      </w:r>
    </w:p>
    <w:p>
      <w:pPr>
        <w:spacing w:after="0" w:line="129" w:lineRule="exact"/>
        <w:rPr>
          <w:color w:val="auto"/>
          <w:sz w:val="20"/>
          <w:szCs w:val="20"/>
        </w:rPr>
      </w:pPr>
    </w:p>
    <w:p>
      <w:pPr>
        <w:spacing w:after="0" w:line="234" w:lineRule="auto"/>
        <w:ind w:right="220" w:firstLine="432"/>
        <w:rPr>
          <w:color w:val="auto"/>
          <w:sz w:val="20"/>
          <w:szCs w:val="20"/>
        </w:rPr>
      </w:pPr>
      <w:r>
        <w:rPr>
          <w:rFonts w:ascii="Calibri" w:eastAsia="Calibri" w:hAnsi="Calibri" w:cs="Calibri"/>
          <w:color w:val="auto"/>
          <w:sz w:val="12"/>
          <w:szCs w:val="12"/>
        </w:rPr>
        <w:t>As used under this heading “—Payment of Additonal Amounts” and under the heading “—Redempton for Tax Reasons”, the term “United States” means the United States of America, the states of the United States, and the District of Columbia, and the term “U.S. person” means any individual who is a citzen or resident of the United States for U.S. federal income tax purposes, a corporaton, partnership or other entty created or organized in or under the laws of the United States, any state of the United States or the District of Columbia, or any estate or trust the income of which is subject to U.S. federal income taxaton regardless of its source.</w:t>
      </w:r>
    </w:p>
    <w:p>
      <w:pPr>
        <w:spacing w:after="0" w:line="143"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Redempton for Tax Reasons</w:t>
      </w:r>
    </w:p>
    <w:p>
      <w:pPr>
        <w:spacing w:after="0" w:line="146" w:lineRule="exact"/>
        <w:rPr>
          <w:color w:val="auto"/>
          <w:sz w:val="20"/>
          <w:szCs w:val="20"/>
        </w:rPr>
      </w:pPr>
    </w:p>
    <w:p>
      <w:pPr>
        <w:spacing w:after="0" w:line="235" w:lineRule="auto"/>
        <w:ind w:firstLine="432"/>
        <w:rPr>
          <w:color w:val="auto"/>
          <w:sz w:val="20"/>
          <w:szCs w:val="20"/>
        </w:rPr>
      </w:pPr>
      <w:r>
        <w:rPr>
          <w:rFonts w:ascii="Calibri" w:eastAsia="Calibri" w:hAnsi="Calibri" w:cs="Calibri"/>
          <w:color w:val="auto"/>
          <w:sz w:val="12"/>
          <w:szCs w:val="12"/>
        </w:rPr>
        <w:t>If, as a result of any change in, or amendment to, the laws (or any regulatons or rulings promulgated under the laws) of the United States (or any taxing authority in the United States), or any change in, or amendment to, an ofcial positon or judicial precedent regarding the applicaton or interpretaton of such laws, regulatons or rulings, which change or amendment is announced or becomes efectve on or afer (i) in the case of the May 2024 Notes, the 2027 Notes, the 2.125% November 2028 Notes and the 2031 Notes, the inital issuance of such series of Notes and (ii) in the case of the 2023 Notes, the June 2024 Notes, the 2.625% November 2028 Notes and the 2029 Notes, October 25, 2019, AbbVie becomes or, based upon a writen opinion of independent counsel selected by it, will become obligated to pay additonal amounts as described under the heading “—Payment of Additonal Amounts” with respect to such series of Notes, then AbbVie may at any tme at its opton redeem, in whole, but not in part, the Notes of such series on not less than 30 nor more than 60 days’ prior notce, (i) in the case of Notes represented by a Global Note, to and through Euroclear or Clearstream, Luxembourg for communicaton by them to the holders of interests in the Notes to be so redeemed, or (ii) in the case of Defnitve Notes, to each holder of record of the Notes to be redeemed at its registered address, at a redempton price equal to 100% of their principal amount plus accrued and unpaid interest to the redempton date.</w:t>
      </w:r>
    </w:p>
    <w:p>
      <w:pPr>
        <w:spacing w:after="0" w:line="143"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Open Market Purchases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AbbVie or any of its afliates may at any tme and from tme to tme purchase Notes in the open market or otherwise.</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Sinking Fund</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There is no provision for a sinking fund for any of the Notes.</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10</w:t>
      </w:r>
    </w:p>
    <w:p>
      <w:pPr>
        <w:sectPr>
          <w:pgSz w:w="11900" w:h="16838" w:orient="portrait"/>
          <w:pgMar w:top="984" w:right="319" w:bottom="1440" w:left="300" w:header="0" w:footer="0" w:gutter="0"/>
          <w:cols w:num="1" w:space="720" w:equalWidth="0">
            <w:col w:w="11280" w:space="0"/>
          </w:cols>
        </w:sectPr>
      </w:pPr>
    </w:p>
    <w:bookmarkStart w:id="126" w:name="page127"/>
    <w:bookmarkEnd w:id="126"/>
    <w:p>
      <w:pPr>
        <w:spacing w:after="0"/>
        <w:rPr>
          <w:color w:val="auto"/>
          <w:sz w:val="20"/>
          <w:szCs w:val="20"/>
        </w:rPr>
      </w:pPr>
      <w:r>
        <w:rPr>
          <w:rFonts w:ascii="Calibri" w:eastAsia="Calibri" w:hAnsi="Calibri" w:cs="Calibri"/>
          <w:b/>
          <w:bCs/>
          <w:color w:val="auto"/>
          <w:sz w:val="12"/>
          <w:szCs w:val="12"/>
        </w:rPr>
        <w:t>Ranking</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 Notes are unsecured, unsubordinated obligatons of AbbVie and:</w:t>
      </w:r>
    </w:p>
    <w:p>
      <w:pPr>
        <w:spacing w:after="0" w:line="142" w:lineRule="exact"/>
        <w:rPr>
          <w:color w:val="auto"/>
          <w:sz w:val="20"/>
          <w:szCs w:val="20"/>
        </w:rPr>
      </w:pPr>
    </w:p>
    <w:p>
      <w:pPr>
        <w:numPr>
          <w:ilvl w:val="0"/>
          <w:numId w:val="4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rank equally in right of payment with all of AbbVie’s existng and future unsecured, unsubordinated indebtedness, liabilites and other obligatons;</w:t>
      </w:r>
    </w:p>
    <w:p>
      <w:pPr>
        <w:spacing w:after="0" w:line="141" w:lineRule="exact"/>
        <w:rPr>
          <w:rFonts w:ascii="Calibri" w:eastAsia="Calibri" w:hAnsi="Calibri" w:cs="Calibri"/>
          <w:color w:val="auto"/>
          <w:sz w:val="12"/>
          <w:szCs w:val="12"/>
        </w:rPr>
      </w:pPr>
    </w:p>
    <w:p>
      <w:pPr>
        <w:numPr>
          <w:ilvl w:val="0"/>
          <w:numId w:val="4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rank senior in right of payment to all of AbbVie’s future indebtedness that is subordinated to the Notes;</w:t>
      </w:r>
    </w:p>
    <w:p>
      <w:pPr>
        <w:spacing w:after="0" w:line="141" w:lineRule="exact"/>
        <w:rPr>
          <w:rFonts w:ascii="Calibri" w:eastAsia="Calibri" w:hAnsi="Calibri" w:cs="Calibri"/>
          <w:color w:val="auto"/>
          <w:sz w:val="12"/>
          <w:szCs w:val="12"/>
        </w:rPr>
      </w:pPr>
    </w:p>
    <w:p>
      <w:pPr>
        <w:numPr>
          <w:ilvl w:val="0"/>
          <w:numId w:val="4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are efectvely subordinated in right of payment to all of AbbVie’s existng and future secured indebtedness, to the extent of the value of the assets securing such indebtedness; and</w:t>
      </w:r>
    </w:p>
    <w:p>
      <w:pPr>
        <w:spacing w:after="0" w:line="141" w:lineRule="exact"/>
        <w:rPr>
          <w:rFonts w:ascii="Calibri" w:eastAsia="Calibri" w:hAnsi="Calibri" w:cs="Calibri"/>
          <w:color w:val="auto"/>
          <w:sz w:val="12"/>
          <w:szCs w:val="12"/>
        </w:rPr>
      </w:pPr>
    </w:p>
    <w:p>
      <w:pPr>
        <w:numPr>
          <w:ilvl w:val="0"/>
          <w:numId w:val="4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are structurally subordinated in right of payment to all existng and future indebtedness, liabilites and other obligatons of AbbVie’s subsidiaries.</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Issuance in Euro</w:t>
      </w:r>
    </w:p>
    <w:p>
      <w:pPr>
        <w:spacing w:after="0" w:line="146" w:lineRule="exact"/>
        <w:rPr>
          <w:color w:val="auto"/>
          <w:sz w:val="20"/>
          <w:szCs w:val="20"/>
        </w:rPr>
      </w:pPr>
    </w:p>
    <w:p>
      <w:pPr>
        <w:spacing w:after="0" w:line="259" w:lineRule="auto"/>
        <w:ind w:firstLine="432"/>
        <w:rPr>
          <w:color w:val="auto"/>
          <w:sz w:val="20"/>
          <w:szCs w:val="20"/>
        </w:rPr>
      </w:pPr>
      <w:r>
        <w:rPr>
          <w:rFonts w:ascii="Calibri" w:eastAsia="Calibri" w:hAnsi="Calibri" w:cs="Calibri"/>
          <w:color w:val="auto"/>
          <w:sz w:val="11"/>
          <w:szCs w:val="11"/>
        </w:rPr>
        <w:t>All payments of principal of, and premium, if any, and interest on, the Notes, including payments made upon any redempton of the Notes, are payable in euro. If, on or afer the date of the inital issuance of the Notes, we are unable to obtain euro in amounts sufcient to make a required payment under the Notes due to the impositon of exchange controls or other circumstances beyond our control (including the dissoluton of the European Monetary Union) or if the euro is no longer being used by the then member states of the European Monetary Union that have adopted the euro as their currency or for the setlement of transactons by public insttutons of or within the internatonal banking community, then all payments in respect of the Notes will be made in U.S. dollars untl the euro is again available to us or so used. In such circumstances, the amount payable on any date in euro will be converted into U.S. dollars at the rate mandated by the U.S. Federal Reserve Board as of the close of business on the second business day prior to the relevant payment date or, in the event the U.S. Federal Reserve Board has not mandated a rate of conversion, on the basis of the then most recent U.S. dollar/euro exchange rate available on or prior to the second business day prior to the relevant payment date as determined by us in our sole discreton. Any payment in respect of the Notes so made in U.S. dollar will not consttute an Event of Default under the Notes or the Indenture. Neither the Trustee nor the London Paying Agent shall have any responsibility for any calculaton or conversion in connecton with the foregoing.</w:t>
      </w:r>
    </w:p>
    <w:p>
      <w:pPr>
        <w:spacing w:after="0" w:line="133"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Certain Covenants of AbbVie</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b/>
          <w:bCs/>
          <w:i/>
          <w:iCs/>
          <w:color w:val="auto"/>
          <w:sz w:val="12"/>
          <w:szCs w:val="12"/>
        </w:rPr>
        <w:t>Restrictons on Secured Debt</w:t>
      </w:r>
    </w:p>
    <w:p>
      <w:pPr>
        <w:spacing w:after="0" w:line="146" w:lineRule="exact"/>
        <w:rPr>
          <w:color w:val="auto"/>
          <w:sz w:val="20"/>
          <w:szCs w:val="20"/>
        </w:rPr>
      </w:pPr>
    </w:p>
    <w:p>
      <w:pPr>
        <w:spacing w:after="0" w:line="235" w:lineRule="auto"/>
        <w:ind w:right="20" w:firstLine="432"/>
        <w:rPr>
          <w:color w:val="auto"/>
          <w:sz w:val="20"/>
          <w:szCs w:val="20"/>
        </w:rPr>
      </w:pPr>
      <w:r>
        <w:rPr>
          <w:rFonts w:ascii="Calibri" w:eastAsia="Calibri" w:hAnsi="Calibri" w:cs="Calibri"/>
          <w:color w:val="auto"/>
          <w:sz w:val="12"/>
          <w:szCs w:val="12"/>
        </w:rPr>
        <w:t>If AbbVie or any Domestc Subsidiary incurs, issues, assumes or guarantees any indebtedness for borrowed money represented by notes, bonds, debentures or other similar evidences of indebtedness for borrowed money (called “Debt”) and that Debt is secured by a Mortgage on any Principal Domestc Property or any shares of stock or Debt of any Domestc Subsidiary, AbbVie will secure, or cause its Domestc Subsidiary to secure, the Notes equally and ratably with, or prior to, such secured Debt, so long as such secured Debt shall be so secured, unless, afer giving efect thereto, the aggregate amount of all such secured Debt, plus all Atributable Debt in respect of Sale and Leaseback Transactons involving Principal Domestc Propertes (other than Sale and Leaseback Transactons permited pursuant to the second bullet under the heading “Restrictons on Sale and Leasebacks” below), would not exceed 15% of AbbVie’s Consolidated Net Assets. This restricton does not apply to, and there shall be excluded from secured Debt in any computaton under this restricton, Debt secured by:</w:t>
      </w:r>
    </w:p>
    <w:p>
      <w:pPr>
        <w:spacing w:after="0" w:line="142" w:lineRule="exact"/>
        <w:rPr>
          <w:color w:val="auto"/>
          <w:sz w:val="20"/>
          <w:szCs w:val="20"/>
        </w:rPr>
      </w:pPr>
    </w:p>
    <w:p>
      <w:pPr>
        <w:numPr>
          <w:ilvl w:val="0"/>
          <w:numId w:val="46"/>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Mortgages on property of, or on any shares of stock or Debt of, any Person existng at the tme such Person becomes a Domestc Subsidiary;</w:t>
      </w:r>
    </w:p>
    <w:p>
      <w:pPr>
        <w:spacing w:after="0" w:line="141" w:lineRule="exact"/>
        <w:rPr>
          <w:rFonts w:ascii="Calibri" w:eastAsia="Calibri" w:hAnsi="Calibri" w:cs="Calibri"/>
          <w:color w:val="auto"/>
          <w:sz w:val="12"/>
          <w:szCs w:val="12"/>
        </w:rPr>
      </w:pPr>
    </w:p>
    <w:p>
      <w:pPr>
        <w:numPr>
          <w:ilvl w:val="0"/>
          <w:numId w:val="46"/>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Mortgages in favor of AbbVie or any Subsidiary thereof;</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11</w:t>
      </w:r>
    </w:p>
    <w:p>
      <w:pPr>
        <w:sectPr>
          <w:pgSz w:w="11900" w:h="16838" w:orient="portrait"/>
          <w:pgMar w:top="984" w:right="319" w:bottom="1440" w:left="300" w:header="0" w:footer="0" w:gutter="0"/>
          <w:cols w:num="1" w:space="720" w:equalWidth="0">
            <w:col w:w="11280" w:space="0"/>
          </w:cols>
        </w:sectPr>
      </w:pPr>
    </w:p>
    <w:bookmarkStart w:id="127" w:name="page128"/>
    <w:bookmarkEnd w:id="127"/>
    <w:p>
      <w:pPr>
        <w:numPr>
          <w:ilvl w:val="0"/>
          <w:numId w:val="47"/>
        </w:numPr>
        <w:tabs>
          <w:tab w:val="left" w:pos="435"/>
        </w:tabs>
        <w:spacing w:after="0" w:line="234" w:lineRule="auto"/>
        <w:ind w:left="440" w:right="340" w:hanging="436"/>
        <w:rPr>
          <w:rFonts w:ascii="Calibri" w:eastAsia="Calibri" w:hAnsi="Calibri" w:cs="Calibri"/>
          <w:color w:val="auto"/>
          <w:sz w:val="12"/>
          <w:szCs w:val="12"/>
        </w:rPr>
      </w:pPr>
      <w:r>
        <w:rPr>
          <w:rFonts w:ascii="Calibri" w:eastAsia="Calibri" w:hAnsi="Calibri" w:cs="Calibri"/>
          <w:color w:val="auto"/>
          <w:sz w:val="12"/>
          <w:szCs w:val="12"/>
        </w:rPr>
        <w:t>Mortgages on property of AbbVie or a Domestc Subsidiary in favor of the United States of America or any State thereof, or any department, agency or instrumentality or politcal subdivision of the United States of America or any State thereof, or in favor of any other country, or any politcal subdivision thereof, to secure partal, progress, advance or other payments pursuant to any contract or statute;</w:t>
      </w:r>
    </w:p>
    <w:p>
      <w:pPr>
        <w:spacing w:after="0" w:line="141" w:lineRule="exact"/>
        <w:rPr>
          <w:rFonts w:ascii="Calibri" w:eastAsia="Calibri" w:hAnsi="Calibri" w:cs="Calibri"/>
          <w:color w:val="auto"/>
          <w:sz w:val="12"/>
          <w:szCs w:val="12"/>
        </w:rPr>
      </w:pPr>
    </w:p>
    <w:p>
      <w:pPr>
        <w:numPr>
          <w:ilvl w:val="0"/>
          <w:numId w:val="47"/>
        </w:numPr>
        <w:tabs>
          <w:tab w:val="left" w:pos="440"/>
        </w:tabs>
        <w:spacing w:after="0"/>
        <w:ind w:left="440" w:hanging="436"/>
        <w:rPr>
          <w:rFonts w:ascii="Calibri" w:eastAsia="Calibri" w:hAnsi="Calibri" w:cs="Calibri"/>
          <w:color w:val="auto"/>
          <w:sz w:val="12"/>
          <w:szCs w:val="12"/>
        </w:rPr>
      </w:pPr>
      <w:r>
        <w:rPr>
          <w:rFonts w:ascii="Calibri" w:eastAsia="Calibri" w:hAnsi="Calibri" w:cs="Calibri"/>
          <w:color w:val="auto"/>
          <w:sz w:val="12"/>
          <w:szCs w:val="12"/>
        </w:rPr>
        <w:t>Mortgages on property, shares of stock or Debt existng at the tme of acquisiton thereof (including acquisiton through merger or consolidaton);</w:t>
      </w:r>
    </w:p>
    <w:p>
      <w:pPr>
        <w:spacing w:after="0" w:line="146" w:lineRule="exact"/>
        <w:rPr>
          <w:rFonts w:ascii="Calibri" w:eastAsia="Calibri" w:hAnsi="Calibri" w:cs="Calibri"/>
          <w:color w:val="auto"/>
          <w:sz w:val="12"/>
          <w:szCs w:val="12"/>
        </w:rPr>
      </w:pPr>
    </w:p>
    <w:p>
      <w:pPr>
        <w:numPr>
          <w:ilvl w:val="0"/>
          <w:numId w:val="47"/>
        </w:numPr>
        <w:tabs>
          <w:tab w:val="left" w:pos="435"/>
        </w:tabs>
        <w:spacing w:after="0" w:line="234" w:lineRule="auto"/>
        <w:ind w:left="440" w:right="200" w:hanging="436"/>
        <w:jc w:val="both"/>
        <w:rPr>
          <w:rFonts w:ascii="Calibri" w:eastAsia="Calibri" w:hAnsi="Calibri" w:cs="Calibri"/>
          <w:color w:val="auto"/>
          <w:sz w:val="12"/>
          <w:szCs w:val="12"/>
        </w:rPr>
      </w:pPr>
      <w:r>
        <w:rPr>
          <w:rFonts w:ascii="Calibri" w:eastAsia="Calibri" w:hAnsi="Calibri" w:cs="Calibri"/>
          <w:color w:val="auto"/>
          <w:sz w:val="12"/>
          <w:szCs w:val="12"/>
        </w:rPr>
        <w:t>Mortgages to secure the payment of all or any part of the cost of acquisiton, constructon, development or improvement of the underlying property, or to secure debt incurred to provide funds for any such purpose, provided that the commitment of the creditor to extend the credit secured by any such Mortgage shall have been obtained not later than 365 days afer the later of (a) the completon of the acquisiton, constructon, development or improvement of such property or (b) the placing in operaton of such property;</w:t>
      </w:r>
    </w:p>
    <w:p>
      <w:pPr>
        <w:spacing w:after="0" w:line="143" w:lineRule="exact"/>
        <w:rPr>
          <w:rFonts w:ascii="Calibri" w:eastAsia="Calibri" w:hAnsi="Calibri" w:cs="Calibri"/>
          <w:color w:val="auto"/>
          <w:sz w:val="12"/>
          <w:szCs w:val="12"/>
        </w:rPr>
      </w:pPr>
    </w:p>
    <w:p>
      <w:pPr>
        <w:numPr>
          <w:ilvl w:val="0"/>
          <w:numId w:val="47"/>
        </w:numPr>
        <w:tabs>
          <w:tab w:val="left" w:pos="440"/>
        </w:tabs>
        <w:spacing w:after="0"/>
        <w:ind w:left="440" w:hanging="436"/>
        <w:rPr>
          <w:rFonts w:ascii="Calibri" w:eastAsia="Calibri" w:hAnsi="Calibri" w:cs="Calibri"/>
          <w:color w:val="auto"/>
          <w:sz w:val="12"/>
          <w:szCs w:val="12"/>
        </w:rPr>
      </w:pPr>
      <w:r>
        <w:rPr>
          <w:rFonts w:ascii="Calibri" w:eastAsia="Calibri" w:hAnsi="Calibri" w:cs="Calibri"/>
          <w:color w:val="auto"/>
          <w:sz w:val="12"/>
          <w:szCs w:val="12"/>
        </w:rPr>
        <w:t>with respect to each series of Notes, Mortgages existng on the frst date on which a Note of such series was authentcated by the Trustee under the Indenture;</w:t>
      </w:r>
    </w:p>
    <w:p>
      <w:pPr>
        <w:spacing w:after="0" w:line="141" w:lineRule="exact"/>
        <w:rPr>
          <w:rFonts w:ascii="Calibri" w:eastAsia="Calibri" w:hAnsi="Calibri" w:cs="Calibri"/>
          <w:color w:val="auto"/>
          <w:sz w:val="12"/>
          <w:szCs w:val="12"/>
        </w:rPr>
      </w:pPr>
    </w:p>
    <w:p>
      <w:pPr>
        <w:numPr>
          <w:ilvl w:val="0"/>
          <w:numId w:val="47"/>
        </w:numPr>
        <w:tabs>
          <w:tab w:val="left" w:pos="440"/>
        </w:tabs>
        <w:spacing w:after="0"/>
        <w:ind w:left="440" w:hanging="436"/>
        <w:rPr>
          <w:rFonts w:ascii="Calibri" w:eastAsia="Calibri" w:hAnsi="Calibri" w:cs="Calibri"/>
          <w:color w:val="auto"/>
          <w:sz w:val="12"/>
          <w:szCs w:val="12"/>
        </w:rPr>
      </w:pPr>
      <w:r>
        <w:rPr>
          <w:rFonts w:ascii="Calibri" w:eastAsia="Calibri" w:hAnsi="Calibri" w:cs="Calibri"/>
          <w:color w:val="auto"/>
          <w:sz w:val="12"/>
          <w:szCs w:val="12"/>
        </w:rPr>
        <w:t>Mortgages incurred in connecton with polluton control, industrial revenue or similar fnancings;</w:t>
      </w:r>
    </w:p>
    <w:p>
      <w:pPr>
        <w:spacing w:after="0" w:line="146" w:lineRule="exact"/>
        <w:rPr>
          <w:rFonts w:ascii="Calibri" w:eastAsia="Calibri" w:hAnsi="Calibri" w:cs="Calibri"/>
          <w:color w:val="auto"/>
          <w:sz w:val="12"/>
          <w:szCs w:val="12"/>
        </w:rPr>
      </w:pPr>
    </w:p>
    <w:p>
      <w:pPr>
        <w:numPr>
          <w:ilvl w:val="0"/>
          <w:numId w:val="47"/>
        </w:numPr>
        <w:tabs>
          <w:tab w:val="left" w:pos="435"/>
        </w:tabs>
        <w:spacing w:after="0" w:line="234" w:lineRule="auto"/>
        <w:ind w:left="440" w:right="40" w:hanging="436"/>
        <w:rPr>
          <w:rFonts w:ascii="Calibri" w:eastAsia="Calibri" w:hAnsi="Calibri" w:cs="Calibri"/>
          <w:color w:val="auto"/>
          <w:sz w:val="12"/>
          <w:szCs w:val="12"/>
        </w:rPr>
      </w:pPr>
      <w:r>
        <w:rPr>
          <w:rFonts w:ascii="Calibri" w:eastAsia="Calibri" w:hAnsi="Calibri" w:cs="Calibri"/>
          <w:color w:val="auto"/>
          <w:sz w:val="12"/>
          <w:szCs w:val="12"/>
        </w:rPr>
        <w:t>Mortgages created in substtuton of or as replacements for any Mortgages referred to in the foregoing list, inclusive, provided that, based on a good faith determinaton of an ofcer of AbbVie, the property encumbered under any such substtute or replacement Mortgage is substantally similar in nature to the property encumbered by the otherwise permited Mortgage which is being replaced; and</w:t>
      </w:r>
    </w:p>
    <w:p>
      <w:pPr>
        <w:spacing w:after="0" w:line="146" w:lineRule="exact"/>
        <w:rPr>
          <w:rFonts w:ascii="Calibri" w:eastAsia="Calibri" w:hAnsi="Calibri" w:cs="Calibri"/>
          <w:color w:val="auto"/>
          <w:sz w:val="12"/>
          <w:szCs w:val="12"/>
        </w:rPr>
      </w:pPr>
    </w:p>
    <w:p>
      <w:pPr>
        <w:numPr>
          <w:ilvl w:val="0"/>
          <w:numId w:val="47"/>
        </w:numPr>
        <w:tabs>
          <w:tab w:val="left" w:pos="435"/>
        </w:tabs>
        <w:spacing w:after="0" w:line="235" w:lineRule="auto"/>
        <w:ind w:left="440" w:hanging="436"/>
        <w:rPr>
          <w:rFonts w:ascii="Calibri" w:eastAsia="Calibri" w:hAnsi="Calibri" w:cs="Calibri"/>
          <w:color w:val="auto"/>
          <w:sz w:val="12"/>
          <w:szCs w:val="12"/>
        </w:rPr>
      </w:pPr>
      <w:r>
        <w:rPr>
          <w:rFonts w:ascii="Calibri" w:eastAsia="Calibri" w:hAnsi="Calibri" w:cs="Calibri"/>
          <w:color w:val="auto"/>
          <w:sz w:val="12"/>
          <w:szCs w:val="12"/>
        </w:rPr>
        <w:t>any extension, renewal or replacement (or successive extensions, renewals or replacements), as a whole or in part, of any Debt secured by any Mortgage referred to in the foregoing list, inclusive, provided that (i) such extension, renewal or replacement Mortgage shall be limited to all or a part of the same property, shares of stock or debt that secured the Mortgage extended, renewed or replaced (plus improvements on such property, and plus any property relatng to a specifc project, the completon of which is funded pursuant to clause (ii)(b) below), and (ii) the Debt secured by such Mortgage at such tme is not increased (other than (a) by an amount equal to any related fnancing costs (including, but not limited to, the accrued interest and premium, if any, on the Debt being refnanced) and (b) where an additonal principal amount of Debt is incurred to provide funds for the completon of a specifc project that is subject to a Mortgage securing the Debt being extended, refnanced or renewed, by an amount equal to such additonal principal amount).</w:t>
      </w:r>
    </w:p>
    <w:p>
      <w:pPr>
        <w:spacing w:after="0" w:line="142" w:lineRule="exact"/>
        <w:rPr>
          <w:color w:val="auto"/>
          <w:sz w:val="20"/>
          <w:szCs w:val="20"/>
        </w:rPr>
      </w:pPr>
    </w:p>
    <w:p>
      <w:pPr>
        <w:spacing w:after="0"/>
        <w:rPr>
          <w:color w:val="auto"/>
          <w:sz w:val="20"/>
          <w:szCs w:val="20"/>
        </w:rPr>
      </w:pPr>
      <w:r>
        <w:rPr>
          <w:rFonts w:ascii="Calibri" w:eastAsia="Calibri" w:hAnsi="Calibri" w:cs="Calibri"/>
          <w:b/>
          <w:bCs/>
          <w:i/>
          <w:iCs/>
          <w:color w:val="auto"/>
          <w:sz w:val="12"/>
          <w:szCs w:val="12"/>
        </w:rPr>
        <w:t>Restrictons on Sales and Leasebacks</w:t>
      </w:r>
    </w:p>
    <w:p>
      <w:pPr>
        <w:spacing w:after="0" w:line="142" w:lineRule="exact"/>
        <w:rPr>
          <w:color w:val="auto"/>
          <w:sz w:val="20"/>
          <w:szCs w:val="20"/>
        </w:rPr>
      </w:pPr>
    </w:p>
    <w:p>
      <w:pPr>
        <w:spacing w:after="0"/>
        <w:rPr>
          <w:color w:val="auto"/>
          <w:sz w:val="20"/>
          <w:szCs w:val="20"/>
        </w:rPr>
      </w:pPr>
      <w:r>
        <w:rPr>
          <w:rFonts w:ascii="Calibri" w:eastAsia="Calibri" w:hAnsi="Calibri" w:cs="Calibri"/>
          <w:color w:val="auto"/>
          <w:sz w:val="12"/>
          <w:szCs w:val="12"/>
        </w:rPr>
        <w:t>Neither AbbVie nor any Domestc Subsidiary may enter into any Sale and Leaseback Transacton unless either:</w:t>
      </w:r>
    </w:p>
    <w:p>
      <w:pPr>
        <w:spacing w:after="0" w:line="146" w:lineRule="exact"/>
        <w:rPr>
          <w:color w:val="auto"/>
          <w:sz w:val="20"/>
          <w:szCs w:val="20"/>
        </w:rPr>
      </w:pPr>
    </w:p>
    <w:p>
      <w:pPr>
        <w:numPr>
          <w:ilvl w:val="0"/>
          <w:numId w:val="48"/>
        </w:numPr>
        <w:tabs>
          <w:tab w:val="left" w:pos="435"/>
        </w:tabs>
        <w:spacing w:after="0" w:line="234" w:lineRule="auto"/>
        <w:ind w:left="440" w:right="300" w:hanging="436"/>
        <w:rPr>
          <w:rFonts w:ascii="Calibri" w:eastAsia="Calibri" w:hAnsi="Calibri" w:cs="Calibri"/>
          <w:color w:val="auto"/>
          <w:sz w:val="12"/>
          <w:szCs w:val="12"/>
        </w:rPr>
      </w:pPr>
      <w:r>
        <w:rPr>
          <w:rFonts w:ascii="Calibri" w:eastAsia="Calibri" w:hAnsi="Calibri" w:cs="Calibri"/>
          <w:color w:val="auto"/>
          <w:sz w:val="12"/>
          <w:szCs w:val="12"/>
        </w:rPr>
        <w:t>AbbVie or such Domestc Subsidiary could incur Debt secured by a Mortgage under the restrictons described above under “Restrictons on Secured Debt” on the Principal Domestc Property to be leased back in an amount equal to the Atributable Debt with respect to such Sale and Leaseback Transacton without equally and ratably securing the Notes; or</w:t>
      </w:r>
    </w:p>
    <w:p>
      <w:pPr>
        <w:spacing w:after="0" w:line="146" w:lineRule="exact"/>
        <w:rPr>
          <w:rFonts w:ascii="Calibri" w:eastAsia="Calibri" w:hAnsi="Calibri" w:cs="Calibri"/>
          <w:color w:val="auto"/>
          <w:sz w:val="12"/>
          <w:szCs w:val="12"/>
        </w:rPr>
      </w:pPr>
    </w:p>
    <w:p>
      <w:pPr>
        <w:numPr>
          <w:ilvl w:val="0"/>
          <w:numId w:val="48"/>
        </w:numPr>
        <w:tabs>
          <w:tab w:val="left" w:pos="435"/>
        </w:tabs>
        <w:spacing w:after="0" w:line="234" w:lineRule="auto"/>
        <w:ind w:left="440" w:right="140" w:hanging="436"/>
        <w:rPr>
          <w:rFonts w:ascii="Calibri" w:eastAsia="Calibri" w:hAnsi="Calibri" w:cs="Calibri"/>
          <w:color w:val="auto"/>
          <w:sz w:val="12"/>
          <w:szCs w:val="12"/>
        </w:rPr>
      </w:pPr>
      <w:r>
        <w:rPr>
          <w:rFonts w:ascii="Calibri" w:eastAsia="Calibri" w:hAnsi="Calibri" w:cs="Calibri"/>
          <w:color w:val="auto"/>
          <w:sz w:val="12"/>
          <w:szCs w:val="12"/>
        </w:rPr>
        <w:t>AbbVie, within 180 days afer the sale or transfer by AbbVie or by any such Domestc Subsidiary, applies to the retrement of AbbVie’s Funded Debt, an amount equal to the greater of (1) the net proceeds of the sale of the Principal Domestc Property sold and leased back pursuant to such arrangement; or (2) the fair market value of the Principal Domestc Property so sold and leased</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260"/>
        <w:jc w:val="center"/>
        <w:rPr>
          <w:color w:val="auto"/>
          <w:sz w:val="20"/>
          <w:szCs w:val="20"/>
        </w:rPr>
      </w:pPr>
      <w:r>
        <w:rPr>
          <w:rFonts w:ascii="Calibri" w:eastAsia="Calibri" w:hAnsi="Calibri" w:cs="Calibri"/>
          <w:color w:val="auto"/>
          <w:sz w:val="12"/>
          <w:szCs w:val="12"/>
        </w:rPr>
        <w:t>12</w:t>
      </w:r>
    </w:p>
    <w:p>
      <w:pPr>
        <w:sectPr>
          <w:pgSz w:w="11900" w:h="16838" w:orient="portrait"/>
          <w:pgMar w:top="989" w:right="359" w:bottom="1440" w:left="720" w:header="0" w:footer="0" w:gutter="0"/>
          <w:cols w:num="1" w:space="720" w:equalWidth="0">
            <w:col w:w="10820" w:space="0"/>
          </w:cols>
        </w:sectPr>
      </w:pPr>
    </w:p>
    <w:bookmarkStart w:id="128" w:name="page129"/>
    <w:bookmarkEnd w:id="128"/>
    <w:p>
      <w:pPr>
        <w:spacing w:after="0" w:line="234" w:lineRule="auto"/>
        <w:ind w:left="860"/>
        <w:rPr>
          <w:color w:val="auto"/>
          <w:sz w:val="20"/>
          <w:szCs w:val="20"/>
        </w:rPr>
      </w:pPr>
      <w:r>
        <w:rPr>
          <w:rFonts w:ascii="Calibri" w:eastAsia="Calibri" w:hAnsi="Calibri" w:cs="Calibri"/>
          <w:color w:val="auto"/>
          <w:sz w:val="12"/>
          <w:szCs w:val="12"/>
        </w:rPr>
        <w:t>back at the tme of entering into such arrangements (as determined by any two of the following: the chairman of the board of AbbVie, its chief executve ofcer, an executve vice president, a senior vice president or a vice president, and the chief fnancial ofcer, the treasurer or an assistant treasurer), subject to credits for certain voluntary retrements of Funded Debt.</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Certain Defnitons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 following are the meanings of terms that are important in understanding the restrictve covenants of AbbVie:</w:t>
      </w:r>
    </w:p>
    <w:p>
      <w:pPr>
        <w:spacing w:after="0" w:line="146" w:lineRule="exact"/>
        <w:rPr>
          <w:color w:val="auto"/>
          <w:sz w:val="20"/>
          <w:szCs w:val="20"/>
        </w:rPr>
      </w:pPr>
    </w:p>
    <w:p>
      <w:pPr>
        <w:numPr>
          <w:ilvl w:val="0"/>
          <w:numId w:val="49"/>
        </w:numPr>
        <w:tabs>
          <w:tab w:val="left" w:pos="855"/>
        </w:tabs>
        <w:spacing w:after="0" w:line="235" w:lineRule="auto"/>
        <w:ind w:left="860" w:hanging="436"/>
        <w:rPr>
          <w:rFonts w:ascii="Calibri" w:eastAsia="Calibri" w:hAnsi="Calibri" w:cs="Calibri"/>
          <w:color w:val="auto"/>
          <w:sz w:val="12"/>
          <w:szCs w:val="12"/>
        </w:rPr>
      </w:pPr>
      <w:r>
        <w:rPr>
          <w:rFonts w:ascii="Calibri" w:eastAsia="Calibri" w:hAnsi="Calibri" w:cs="Calibri"/>
          <w:color w:val="auto"/>
          <w:sz w:val="12"/>
          <w:szCs w:val="12"/>
        </w:rPr>
        <w:t>“Atributable Debt” means (except as otherwise provided in this paragraph), as to any partcular lease under which any Person is at the tme liable for a term of more than 12 months, at any date as of which the amount thereof is to be determined (the “Determinaton Date”), the total net amount of rent required to be paid by such Person under such lease during the remaining term thereof (excluding any subsequent renewal or other extension optons held by the lessee), discounted from the respectve due dates thereof to the Determinaton Date at the rate of 8% per annum, compounded monthly. The net amount of rent required to be paid under any such lease for any such period shall be the aggregate amount of the rent payable by the lessee with respect to such period afer excluding amounts required to be paid on account of maintenance and repairs, services, insurance, taxes, assessments, water rates and similar charges and contngent rents (such as those based on sales or monetary infaton). If any lease is terminable by the lessee upon the payment of a penalty, if under the terms of the lease the terminaton right is not exercisable untl afer the Determinaton Date, and if the amount of such penalty discounted to the Determinaton Date at the rate of 8% per annum compounded monthly is less than the net amount of rentals payable afer the tme as of which such terminaton could occur (the “Terminaton Time”) discounted to the Determinaton Date at the rate of 8% per annum compounded monthly, then such discounted penalty amount shall be used instead of such discounted amount of net rentals payable afer the Terminaton Time in calculatng the Atributable Debt for such lease. If any lease is terminable by the lessee upon the payment of a penalty, if such terminaton right is exercisable on the Determinaton Date, and if the amount of the net rentals payable under such lease afer the Determinaton Date discounted to the Determinaton Date at the rate of 8% per annum compounded monthly is greater than the amount of such penalty, the “Atributable Debt” for such lease as of such Determinaton Date shall be equal to the amount of such penalty.</w:t>
      </w:r>
    </w:p>
    <w:p>
      <w:pPr>
        <w:spacing w:after="0" w:line="150" w:lineRule="exact"/>
        <w:rPr>
          <w:rFonts w:ascii="Calibri" w:eastAsia="Calibri" w:hAnsi="Calibri" w:cs="Calibri"/>
          <w:color w:val="auto"/>
          <w:sz w:val="12"/>
          <w:szCs w:val="12"/>
        </w:rPr>
      </w:pPr>
    </w:p>
    <w:p>
      <w:pPr>
        <w:numPr>
          <w:ilvl w:val="0"/>
          <w:numId w:val="49"/>
        </w:numPr>
        <w:tabs>
          <w:tab w:val="left" w:pos="855"/>
        </w:tabs>
        <w:spacing w:after="0" w:line="235" w:lineRule="auto"/>
        <w:ind w:left="860" w:right="60" w:hanging="436"/>
        <w:rPr>
          <w:rFonts w:ascii="Calibri" w:eastAsia="Calibri" w:hAnsi="Calibri" w:cs="Calibri"/>
          <w:color w:val="auto"/>
          <w:sz w:val="12"/>
          <w:szCs w:val="12"/>
        </w:rPr>
      </w:pPr>
      <w:r>
        <w:rPr>
          <w:rFonts w:ascii="Calibri" w:eastAsia="Calibri" w:hAnsi="Calibri" w:cs="Calibri"/>
          <w:color w:val="auto"/>
          <w:sz w:val="12"/>
          <w:szCs w:val="12"/>
        </w:rPr>
        <w:t>“Consolidated Net Assets” means the aggregate amount of assets (less applicable reserves and other properly deductble items) afer deductng therefrom all current liabilites, as set forth on the consolidated balance sheet of AbbVie and its consolidated Subsidiaries prepared as of the end of a fscal quarter in accordance with generally accepted accountng principles, which AbbVie shall have most recently fled with the Securites and Exchange Commission or otherwise distributed to its shareholders prior to the tme as of which “Consolidated Net Assets” shall be determined (which calculaton shall give pro forma efect to any acquisiton by or dispositon of assets of AbbVie or any of its Subsidiaries involving the payment or receipt by AbbVie or any of its Subsidiaries, as applicable, of consideraton (whether in the form of cash or non-cash consideraton) in excess of $500,000,000 that has occurred since the end of such fscal quarter, as if such acquisiton or dispositon had occurred on the last day of such fscal quarter).</w:t>
      </w:r>
    </w:p>
    <w:p>
      <w:pPr>
        <w:spacing w:after="0" w:line="146" w:lineRule="exact"/>
        <w:rPr>
          <w:rFonts w:ascii="Calibri" w:eastAsia="Calibri" w:hAnsi="Calibri" w:cs="Calibri"/>
          <w:color w:val="auto"/>
          <w:sz w:val="12"/>
          <w:szCs w:val="12"/>
        </w:rPr>
      </w:pPr>
    </w:p>
    <w:p>
      <w:pPr>
        <w:numPr>
          <w:ilvl w:val="0"/>
          <w:numId w:val="49"/>
        </w:numPr>
        <w:tabs>
          <w:tab w:val="left" w:pos="855"/>
        </w:tabs>
        <w:spacing w:after="0" w:line="234" w:lineRule="auto"/>
        <w:ind w:left="860" w:right="120" w:hanging="436"/>
        <w:rPr>
          <w:rFonts w:ascii="Calibri" w:eastAsia="Calibri" w:hAnsi="Calibri" w:cs="Calibri"/>
          <w:color w:val="auto"/>
          <w:sz w:val="12"/>
          <w:szCs w:val="12"/>
        </w:rPr>
      </w:pPr>
      <w:r>
        <w:rPr>
          <w:rFonts w:ascii="Calibri" w:eastAsia="Calibri" w:hAnsi="Calibri" w:cs="Calibri"/>
          <w:color w:val="auto"/>
          <w:sz w:val="12"/>
          <w:szCs w:val="12"/>
        </w:rPr>
        <w:t>“Domestc Subsidiary” means any Subsidiary of AbbVie that transacts substantally all of its business or maintains substantally all of its property within the United States of America (excluding its territories and possessions and Puerto Rico); provided, however, that the term shall not include any Subsidiary which (1) is engaged primarily in the fnancing of operatons outside of the United States of America or in leasing personal property or fnancing inventory, receivables or other property or (2) does not own a Principal Domestc Property.</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3"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13</w:t>
      </w:r>
    </w:p>
    <w:p>
      <w:pPr>
        <w:sectPr>
          <w:pgSz w:w="11900" w:h="16838" w:orient="portrait"/>
          <w:pgMar w:top="989" w:right="299" w:bottom="1440" w:left="300" w:header="0" w:footer="0" w:gutter="0"/>
          <w:cols w:num="1" w:space="720" w:equalWidth="0">
            <w:col w:w="11300" w:space="0"/>
          </w:cols>
        </w:sectPr>
      </w:pPr>
    </w:p>
    <w:bookmarkStart w:id="129" w:name="page130"/>
    <w:bookmarkEnd w:id="129"/>
    <w:p>
      <w:pPr>
        <w:numPr>
          <w:ilvl w:val="0"/>
          <w:numId w:val="50"/>
        </w:numPr>
        <w:tabs>
          <w:tab w:val="left" w:pos="435"/>
        </w:tabs>
        <w:spacing w:after="0" w:line="234" w:lineRule="auto"/>
        <w:ind w:left="440" w:hanging="436"/>
        <w:rPr>
          <w:rFonts w:ascii="Calibri" w:eastAsia="Calibri" w:hAnsi="Calibri" w:cs="Calibri"/>
          <w:color w:val="auto"/>
          <w:sz w:val="12"/>
          <w:szCs w:val="12"/>
        </w:rPr>
      </w:pPr>
      <w:r>
        <w:rPr>
          <w:rFonts w:ascii="Calibri" w:eastAsia="Calibri" w:hAnsi="Calibri" w:cs="Calibri"/>
          <w:color w:val="auto"/>
          <w:sz w:val="12"/>
          <w:szCs w:val="12"/>
        </w:rPr>
        <w:t>“Funded Debt” means indebtedness of AbbVie (other than the Notes or indebtedness subordinated in right of payment to the Notes) or indebtedness of a wholly-owned Domestc Subsidiary for borrowed money, having a stated maturity more than 12 months from the date of applicaton of Sale and Leaseback Transacton proceeds or which is extendible at the opton of the obligor thereon to a date more than 12 months from the date of such applicaton.</w:t>
      </w:r>
    </w:p>
    <w:p>
      <w:pPr>
        <w:spacing w:after="0" w:line="143" w:lineRule="exact"/>
        <w:rPr>
          <w:rFonts w:ascii="Calibri" w:eastAsia="Calibri" w:hAnsi="Calibri" w:cs="Calibri"/>
          <w:color w:val="auto"/>
          <w:sz w:val="12"/>
          <w:szCs w:val="12"/>
        </w:rPr>
      </w:pPr>
    </w:p>
    <w:p>
      <w:pPr>
        <w:numPr>
          <w:ilvl w:val="0"/>
          <w:numId w:val="50"/>
        </w:numPr>
        <w:tabs>
          <w:tab w:val="left" w:pos="440"/>
        </w:tabs>
        <w:spacing w:after="0"/>
        <w:ind w:left="440" w:hanging="436"/>
        <w:rPr>
          <w:rFonts w:ascii="Calibri" w:eastAsia="Calibri" w:hAnsi="Calibri" w:cs="Calibri"/>
          <w:color w:val="auto"/>
          <w:sz w:val="12"/>
          <w:szCs w:val="12"/>
        </w:rPr>
      </w:pPr>
      <w:r>
        <w:rPr>
          <w:rFonts w:ascii="Calibri" w:eastAsia="Calibri" w:hAnsi="Calibri" w:cs="Calibri"/>
          <w:color w:val="auto"/>
          <w:sz w:val="12"/>
          <w:szCs w:val="12"/>
        </w:rPr>
        <w:t>“Mortgage” means any mortgage, pledge, lien, security interest, conditonal sale or other ttle retenton agreement or other similar encumbrance.</w:t>
      </w:r>
    </w:p>
    <w:p>
      <w:pPr>
        <w:spacing w:after="0" w:line="146" w:lineRule="exact"/>
        <w:rPr>
          <w:rFonts w:ascii="Calibri" w:eastAsia="Calibri" w:hAnsi="Calibri" w:cs="Calibri"/>
          <w:color w:val="auto"/>
          <w:sz w:val="12"/>
          <w:szCs w:val="12"/>
        </w:rPr>
      </w:pPr>
    </w:p>
    <w:p>
      <w:pPr>
        <w:numPr>
          <w:ilvl w:val="0"/>
          <w:numId w:val="50"/>
        </w:numPr>
        <w:tabs>
          <w:tab w:val="left" w:pos="435"/>
        </w:tabs>
        <w:spacing w:after="0" w:line="234" w:lineRule="auto"/>
        <w:ind w:left="440" w:right="80" w:hanging="436"/>
        <w:rPr>
          <w:rFonts w:ascii="Calibri" w:eastAsia="Calibri" w:hAnsi="Calibri" w:cs="Calibri"/>
          <w:color w:val="auto"/>
          <w:sz w:val="12"/>
          <w:szCs w:val="12"/>
        </w:rPr>
      </w:pPr>
      <w:r>
        <w:rPr>
          <w:rFonts w:ascii="Calibri" w:eastAsia="Calibri" w:hAnsi="Calibri" w:cs="Calibri"/>
          <w:color w:val="auto"/>
          <w:sz w:val="12"/>
          <w:szCs w:val="12"/>
        </w:rPr>
        <w:t>“Person” means any individual, partnership, corporaton (including a business trust), joint stock company, trust, unincorporated associaton, joint venture, limited liability company or other entty, or a government or any politcal subdivision or agency thereof.</w:t>
      </w:r>
    </w:p>
    <w:p>
      <w:pPr>
        <w:spacing w:after="0" w:line="146" w:lineRule="exact"/>
        <w:rPr>
          <w:rFonts w:ascii="Calibri" w:eastAsia="Calibri" w:hAnsi="Calibri" w:cs="Calibri"/>
          <w:color w:val="auto"/>
          <w:sz w:val="12"/>
          <w:szCs w:val="12"/>
        </w:rPr>
      </w:pPr>
    </w:p>
    <w:p>
      <w:pPr>
        <w:numPr>
          <w:ilvl w:val="0"/>
          <w:numId w:val="50"/>
        </w:numPr>
        <w:tabs>
          <w:tab w:val="left" w:pos="435"/>
        </w:tabs>
        <w:spacing w:after="0" w:line="235" w:lineRule="auto"/>
        <w:ind w:left="440" w:hanging="436"/>
        <w:rPr>
          <w:rFonts w:ascii="Calibri" w:eastAsia="Calibri" w:hAnsi="Calibri" w:cs="Calibri"/>
          <w:color w:val="auto"/>
          <w:sz w:val="12"/>
          <w:szCs w:val="12"/>
        </w:rPr>
      </w:pPr>
      <w:r>
        <w:rPr>
          <w:rFonts w:ascii="Calibri" w:eastAsia="Calibri" w:hAnsi="Calibri" w:cs="Calibri"/>
          <w:color w:val="auto"/>
          <w:sz w:val="12"/>
          <w:szCs w:val="12"/>
        </w:rPr>
        <w:t>“Principal Domestc Property” means any building, structure or other facility, together with the land upon which it is erected and fxtures comprising a part thereof, used primarily for manufacturing, processing, research, warehousing or distributon and located in the United States of America (excluding its territories and possessions and Puerto Rico), owned or leased by AbbVie or any Domestc Subsidiary and having a net book value which, on the date the determinaton as to whether a property is a Principal Domestc Property is being made, exceeds 2% of Consolidated Net Assets of AbbVie other than any such building, structure or other facility or a porton thereof (i) which is an air or water polluton control facility fnanced by State or local governmental obligatons or (ii) which the chairman of the board, chief executve ofcer, an executve vice president, a senior vice president or a vice president and the chief fnancial ofcer, treasurer or assistant treasurer of AbbVie determine in good faith, at any tme on or prior to such date, is not of material importance to the total business conducted, or assets owned, by AbbVie and its Subsidiaries as an entrety.</w:t>
      </w:r>
    </w:p>
    <w:p>
      <w:pPr>
        <w:spacing w:after="0" w:line="147" w:lineRule="exact"/>
        <w:rPr>
          <w:rFonts w:ascii="Calibri" w:eastAsia="Calibri" w:hAnsi="Calibri" w:cs="Calibri"/>
          <w:color w:val="auto"/>
          <w:sz w:val="12"/>
          <w:szCs w:val="12"/>
        </w:rPr>
      </w:pPr>
    </w:p>
    <w:p>
      <w:pPr>
        <w:numPr>
          <w:ilvl w:val="0"/>
          <w:numId w:val="50"/>
        </w:numPr>
        <w:tabs>
          <w:tab w:val="left" w:pos="435"/>
        </w:tabs>
        <w:spacing w:after="0" w:line="235" w:lineRule="auto"/>
        <w:ind w:left="440" w:right="160" w:hanging="436"/>
        <w:rPr>
          <w:rFonts w:ascii="Calibri" w:eastAsia="Calibri" w:hAnsi="Calibri" w:cs="Calibri"/>
          <w:color w:val="auto"/>
          <w:sz w:val="12"/>
          <w:szCs w:val="12"/>
        </w:rPr>
      </w:pPr>
      <w:r>
        <w:rPr>
          <w:rFonts w:ascii="Calibri" w:eastAsia="Calibri" w:hAnsi="Calibri" w:cs="Calibri"/>
          <w:color w:val="auto"/>
          <w:sz w:val="12"/>
          <w:szCs w:val="12"/>
        </w:rPr>
        <w:t>“Sale and Leaseback Transacton” means any arrangement with any bank, insurance company or other lender or investor (not including AbbVie or any Subsidiary) or to which any such lender or investor is a party, providing for the leasing by AbbVie or any Domestc Subsidiary for a period, including renewals, in excess of three years of any Principal Domestc Property which has been or is to be sold or transferred, more than 180 days afer the acquisiton thereof or the completon of constructon and commencement of full operaton thereof, by AbbVie or any Domestc Subsidiary to such lender or investor or to any person to whom funds have been or are to be advanced by such lender or investor on the security of such Principal Domestc Property.</w:t>
      </w:r>
    </w:p>
    <w:p>
      <w:pPr>
        <w:spacing w:after="0" w:line="146" w:lineRule="exact"/>
        <w:rPr>
          <w:rFonts w:ascii="Calibri" w:eastAsia="Calibri" w:hAnsi="Calibri" w:cs="Calibri"/>
          <w:color w:val="auto"/>
          <w:sz w:val="12"/>
          <w:szCs w:val="12"/>
        </w:rPr>
      </w:pPr>
    </w:p>
    <w:p>
      <w:pPr>
        <w:numPr>
          <w:ilvl w:val="0"/>
          <w:numId w:val="50"/>
        </w:numPr>
        <w:tabs>
          <w:tab w:val="left" w:pos="435"/>
        </w:tabs>
        <w:spacing w:after="0" w:line="260" w:lineRule="auto"/>
        <w:ind w:left="440" w:right="60" w:hanging="436"/>
        <w:rPr>
          <w:rFonts w:ascii="Calibri" w:eastAsia="Calibri" w:hAnsi="Calibri" w:cs="Calibri"/>
          <w:color w:val="auto"/>
          <w:sz w:val="11"/>
          <w:szCs w:val="11"/>
        </w:rPr>
      </w:pPr>
      <w:r>
        <w:rPr>
          <w:rFonts w:ascii="Calibri" w:eastAsia="Calibri" w:hAnsi="Calibri" w:cs="Calibri"/>
          <w:color w:val="auto"/>
          <w:sz w:val="11"/>
          <w:szCs w:val="11"/>
        </w:rPr>
        <w:t>“Subsidiary” means any Person which is a corporaton, partnership, joint venture, limited liability company, trust or estate, and of which AbbVie directly or indirectly owns or controls stock or other interests, which under ordinary circumstances (not dependent upon the happening of a contngency) has the votng power to elect a majority of the board of directors, managers, trustees or equivalent of such Person; provided, however, that the term shall not include any such Person if and for so long as (i) such Person does not own a Principal Domestc Property and (ii) the chairman of the board, chief executve ofcer, an executve vice president, a senior vice president or a vice president and the chief fnancial ofcer, treasurer or assistant treasurer of AbbVie determine in good faith at least annually that the existng aggregate investments by AbbVie and its Domestc Subsidiaries (including all guarantees and other extensions of credit) in such Person are not of material importance to the total business conducted, or assets owned, by AbbVie and its Subsidiaries, as an entrety.</w:t>
      </w:r>
    </w:p>
    <w:p>
      <w:pPr>
        <w:spacing w:after="0" w:line="136" w:lineRule="exact"/>
        <w:rPr>
          <w:rFonts w:ascii="Calibri" w:eastAsia="Calibri" w:hAnsi="Calibri" w:cs="Calibri"/>
          <w:color w:val="auto"/>
          <w:sz w:val="11"/>
          <w:szCs w:val="11"/>
        </w:rPr>
      </w:pPr>
    </w:p>
    <w:p>
      <w:pPr>
        <w:numPr>
          <w:ilvl w:val="0"/>
          <w:numId w:val="50"/>
        </w:numPr>
        <w:tabs>
          <w:tab w:val="left" w:pos="435"/>
        </w:tabs>
        <w:spacing w:after="0" w:line="234" w:lineRule="auto"/>
        <w:ind w:left="440" w:right="80" w:hanging="436"/>
        <w:rPr>
          <w:rFonts w:ascii="Calibri" w:eastAsia="Calibri" w:hAnsi="Calibri" w:cs="Calibri"/>
          <w:color w:val="auto"/>
          <w:sz w:val="12"/>
          <w:szCs w:val="12"/>
        </w:rPr>
      </w:pPr>
      <w:r>
        <w:rPr>
          <w:rFonts w:ascii="Calibri" w:eastAsia="Calibri" w:hAnsi="Calibri" w:cs="Calibri"/>
          <w:color w:val="auto"/>
          <w:sz w:val="12"/>
          <w:szCs w:val="12"/>
        </w:rPr>
        <w:t>“Trustee” means the Person named as the “Trustee” in the Indenture untl a successor Trustee shall have become such pursuant to the applicable provisions of the Indenture, and thereafer “Trustee” shall mean or include each Person who is then a Trustee under the Indenture, and if at any tme there is more than one such Person, “Trustee” as used with respect to the Notes of any series shall mean the Trustee with respect to the Notes of that series.</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3" w:lineRule="exact"/>
        <w:rPr>
          <w:color w:val="auto"/>
          <w:sz w:val="20"/>
          <w:szCs w:val="20"/>
        </w:rPr>
      </w:pPr>
    </w:p>
    <w:p>
      <w:pPr>
        <w:spacing w:after="0"/>
        <w:ind w:right="300"/>
        <w:jc w:val="center"/>
        <w:rPr>
          <w:color w:val="auto"/>
          <w:sz w:val="20"/>
          <w:szCs w:val="20"/>
        </w:rPr>
      </w:pPr>
      <w:r>
        <w:rPr>
          <w:rFonts w:ascii="Calibri" w:eastAsia="Calibri" w:hAnsi="Calibri" w:cs="Calibri"/>
          <w:color w:val="auto"/>
          <w:sz w:val="12"/>
          <w:szCs w:val="12"/>
        </w:rPr>
        <w:t>14</w:t>
      </w:r>
    </w:p>
    <w:p>
      <w:pPr>
        <w:sectPr>
          <w:pgSz w:w="11900" w:h="16838" w:orient="portrait"/>
          <w:pgMar w:top="989" w:right="319" w:bottom="1440" w:left="720" w:header="0" w:footer="0" w:gutter="0"/>
          <w:cols w:num="1" w:space="720" w:equalWidth="0">
            <w:col w:w="10860" w:space="0"/>
          </w:cols>
        </w:sectPr>
      </w:pPr>
    </w:p>
    <w:bookmarkStart w:id="130" w:name="page131"/>
    <w:bookmarkEnd w:id="130"/>
    <w:p>
      <w:pPr>
        <w:spacing w:after="0"/>
        <w:rPr>
          <w:color w:val="auto"/>
          <w:sz w:val="20"/>
          <w:szCs w:val="20"/>
        </w:rPr>
      </w:pPr>
      <w:r>
        <w:rPr>
          <w:rFonts w:ascii="Calibri" w:eastAsia="Calibri" w:hAnsi="Calibri" w:cs="Calibri"/>
          <w:b/>
          <w:bCs/>
          <w:color w:val="auto"/>
          <w:sz w:val="12"/>
          <w:szCs w:val="12"/>
        </w:rPr>
        <w:t>Consolidaton, Merger and Sale of Assets</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AbbVie shall not consolidate with or merge into any other Person or convey, transfer or lease its propertes and assets substantally as an entrety to any Person, unless:</w:t>
      </w:r>
    </w:p>
    <w:p>
      <w:pPr>
        <w:spacing w:after="0" w:line="146" w:lineRule="exact"/>
        <w:rPr>
          <w:color w:val="auto"/>
          <w:sz w:val="20"/>
          <w:szCs w:val="20"/>
        </w:rPr>
      </w:pPr>
    </w:p>
    <w:p>
      <w:pPr>
        <w:numPr>
          <w:ilvl w:val="0"/>
          <w:numId w:val="51"/>
        </w:numPr>
        <w:tabs>
          <w:tab w:val="left" w:pos="855"/>
        </w:tabs>
        <w:spacing w:after="0" w:line="234" w:lineRule="auto"/>
        <w:ind w:left="860" w:right="300" w:hanging="436"/>
        <w:rPr>
          <w:rFonts w:ascii="Calibri" w:eastAsia="Calibri" w:hAnsi="Calibri" w:cs="Calibri"/>
          <w:color w:val="auto"/>
          <w:sz w:val="12"/>
          <w:szCs w:val="12"/>
        </w:rPr>
      </w:pPr>
      <w:r>
        <w:rPr>
          <w:rFonts w:ascii="Calibri" w:eastAsia="Calibri" w:hAnsi="Calibri" w:cs="Calibri"/>
          <w:color w:val="auto"/>
          <w:sz w:val="12"/>
          <w:szCs w:val="12"/>
        </w:rPr>
        <w:t>the Person formed by such consolidaton or into which AbbVie is merged or the Person which acquires by conveyance or transfer, or which leases, AbbVie’s propertes and assets substantally as an entrety shall be a corporaton, limited liability company or partnership, shall be organized and validly existng under the laws of the United States of America, any State thereof or the District of Columbia and shall expressly assume AbbVie’s obligatons on the Notes under a supplemental indenture;</w:t>
      </w:r>
    </w:p>
    <w:p>
      <w:pPr>
        <w:spacing w:after="0" w:line="147" w:lineRule="exact"/>
        <w:rPr>
          <w:rFonts w:ascii="Calibri" w:eastAsia="Calibri" w:hAnsi="Calibri" w:cs="Calibri"/>
          <w:color w:val="auto"/>
          <w:sz w:val="12"/>
          <w:szCs w:val="12"/>
        </w:rPr>
      </w:pPr>
    </w:p>
    <w:p>
      <w:pPr>
        <w:numPr>
          <w:ilvl w:val="0"/>
          <w:numId w:val="51"/>
        </w:numPr>
        <w:tabs>
          <w:tab w:val="left" w:pos="855"/>
        </w:tabs>
        <w:spacing w:after="0" w:line="234" w:lineRule="auto"/>
        <w:ind w:left="860" w:right="480" w:hanging="436"/>
        <w:rPr>
          <w:rFonts w:ascii="Calibri" w:eastAsia="Calibri" w:hAnsi="Calibri" w:cs="Calibri"/>
          <w:color w:val="auto"/>
          <w:sz w:val="12"/>
          <w:szCs w:val="12"/>
        </w:rPr>
      </w:pPr>
      <w:r>
        <w:rPr>
          <w:rFonts w:ascii="Calibri" w:eastAsia="Calibri" w:hAnsi="Calibri" w:cs="Calibri"/>
          <w:color w:val="auto"/>
          <w:sz w:val="12"/>
          <w:szCs w:val="12"/>
        </w:rPr>
        <w:t>immediately afer giving efect to such transacton and treatng any indebtedness which becomes an obligaton of AbbVie or a Subsidiary as a result of such transacton as having been incurred by AbbVie or such Subsidiary at the tme of such transacton, no event of default, and no event which, afer notce or lapse of tme or both, would become an event of default, shall have happened and be contnuing;</w:t>
      </w:r>
    </w:p>
    <w:p>
      <w:pPr>
        <w:spacing w:after="0" w:line="146" w:lineRule="exact"/>
        <w:rPr>
          <w:rFonts w:ascii="Calibri" w:eastAsia="Calibri" w:hAnsi="Calibri" w:cs="Calibri"/>
          <w:color w:val="auto"/>
          <w:sz w:val="12"/>
          <w:szCs w:val="12"/>
        </w:rPr>
      </w:pPr>
    </w:p>
    <w:p>
      <w:pPr>
        <w:numPr>
          <w:ilvl w:val="0"/>
          <w:numId w:val="51"/>
        </w:numPr>
        <w:tabs>
          <w:tab w:val="left" w:pos="855"/>
        </w:tabs>
        <w:spacing w:after="0" w:line="234" w:lineRule="auto"/>
        <w:ind w:left="860" w:right="280" w:hanging="436"/>
        <w:rPr>
          <w:rFonts w:ascii="Calibri" w:eastAsia="Calibri" w:hAnsi="Calibri" w:cs="Calibri"/>
          <w:color w:val="auto"/>
          <w:sz w:val="12"/>
          <w:szCs w:val="12"/>
        </w:rPr>
      </w:pPr>
      <w:r>
        <w:rPr>
          <w:rFonts w:ascii="Calibri" w:eastAsia="Calibri" w:hAnsi="Calibri" w:cs="Calibri"/>
          <w:color w:val="auto"/>
          <w:sz w:val="12"/>
          <w:szCs w:val="12"/>
        </w:rPr>
        <w:t>if, as a result of any such consolidaton or merger or such conveyance, transfer or lease, AbbVie’s propertes or assets would become subject to a mortgage, pledge, lien, security interest or other encumbrance which would not be permited by the Indenture, AbbVie or such successor Person, as the case may be, shall take such steps as shall be necessary to efectvely secure the Notes equally and ratably with, or prior to, all indebtedness secured thereby; and</w:t>
      </w:r>
    </w:p>
    <w:p>
      <w:pPr>
        <w:spacing w:after="0" w:line="143" w:lineRule="exact"/>
        <w:rPr>
          <w:rFonts w:ascii="Calibri" w:eastAsia="Calibri" w:hAnsi="Calibri" w:cs="Calibri"/>
          <w:color w:val="auto"/>
          <w:sz w:val="12"/>
          <w:szCs w:val="12"/>
        </w:rPr>
      </w:pPr>
    </w:p>
    <w:p>
      <w:pPr>
        <w:numPr>
          <w:ilvl w:val="0"/>
          <w:numId w:val="51"/>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AbbVie has delivered to the Trustee an ofcers’ certfcate and an opinion of counsel statng compliance with these provisions.</w:t>
      </w:r>
    </w:p>
    <w:p>
      <w:pPr>
        <w:spacing w:after="0" w:line="146" w:lineRule="exact"/>
        <w:rPr>
          <w:color w:val="auto"/>
          <w:sz w:val="20"/>
          <w:szCs w:val="20"/>
        </w:rPr>
      </w:pPr>
    </w:p>
    <w:p>
      <w:pPr>
        <w:spacing w:after="0" w:line="235" w:lineRule="auto"/>
        <w:ind w:right="80" w:firstLine="432"/>
        <w:jc w:val="both"/>
        <w:rPr>
          <w:color w:val="auto"/>
          <w:sz w:val="20"/>
          <w:szCs w:val="20"/>
        </w:rPr>
      </w:pPr>
      <w:r>
        <w:rPr>
          <w:rFonts w:ascii="Calibri" w:eastAsia="Calibri" w:hAnsi="Calibri" w:cs="Calibri"/>
          <w:color w:val="auto"/>
          <w:sz w:val="12"/>
          <w:szCs w:val="12"/>
        </w:rPr>
        <w:t>Upon any consolidaton of AbbVie with, or merger of AbbVie into, any other Person or any conveyance, transfer or lease of the propertes and assets of AbbVie substantally as an entrety in accordance with the above provisions, the successor Person formed by such consolidaton or into which AbbVie is merged or to which such conveyance, transfer or lease is made shall succeed to, and be substtuted for, and may exercise every right and power of, AbbVie under the Indenture with the same efect as if such successor Person had been named in the Indenture, and thereafer, except in the case of a lease, the predecessor Person shall be relieved of all obligatons and covenants under the Indenture and the Notes.</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Events of Default</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 Indenture defnes an event of default with respect to any series of Notes as being:</w:t>
      </w:r>
    </w:p>
    <w:p>
      <w:pPr>
        <w:spacing w:after="0" w:line="142" w:lineRule="exact"/>
        <w:rPr>
          <w:color w:val="auto"/>
          <w:sz w:val="20"/>
          <w:szCs w:val="20"/>
        </w:rPr>
      </w:pPr>
    </w:p>
    <w:p>
      <w:pPr>
        <w:numPr>
          <w:ilvl w:val="0"/>
          <w:numId w:val="52"/>
        </w:numPr>
        <w:tabs>
          <w:tab w:val="left" w:pos="660"/>
        </w:tabs>
        <w:spacing w:after="0"/>
        <w:ind w:left="660" w:hanging="236"/>
        <w:rPr>
          <w:rFonts w:ascii="Calibri" w:eastAsia="Calibri" w:hAnsi="Calibri" w:cs="Calibri"/>
          <w:color w:val="auto"/>
          <w:sz w:val="12"/>
          <w:szCs w:val="12"/>
        </w:rPr>
      </w:pPr>
      <w:r>
        <w:rPr>
          <w:rFonts w:ascii="Calibri" w:eastAsia="Calibri" w:hAnsi="Calibri" w:cs="Calibri"/>
          <w:color w:val="auto"/>
          <w:sz w:val="12"/>
          <w:szCs w:val="12"/>
        </w:rPr>
        <w:t>failure to pay interest or premium on that series of Notes when due, contnued for a period of 30 days;</w:t>
      </w:r>
    </w:p>
    <w:p>
      <w:pPr>
        <w:spacing w:after="0" w:line="141" w:lineRule="exact"/>
        <w:rPr>
          <w:rFonts w:ascii="Calibri" w:eastAsia="Calibri" w:hAnsi="Calibri" w:cs="Calibri"/>
          <w:color w:val="auto"/>
          <w:sz w:val="12"/>
          <w:szCs w:val="12"/>
        </w:rPr>
      </w:pPr>
    </w:p>
    <w:p>
      <w:pPr>
        <w:numPr>
          <w:ilvl w:val="0"/>
          <w:numId w:val="52"/>
        </w:numPr>
        <w:tabs>
          <w:tab w:val="left" w:pos="660"/>
        </w:tabs>
        <w:spacing w:after="0"/>
        <w:ind w:left="660" w:hanging="236"/>
        <w:rPr>
          <w:rFonts w:ascii="Calibri" w:eastAsia="Calibri" w:hAnsi="Calibri" w:cs="Calibri"/>
          <w:color w:val="auto"/>
          <w:sz w:val="12"/>
          <w:szCs w:val="12"/>
        </w:rPr>
      </w:pPr>
      <w:r>
        <w:rPr>
          <w:rFonts w:ascii="Calibri" w:eastAsia="Calibri" w:hAnsi="Calibri" w:cs="Calibri"/>
          <w:color w:val="auto"/>
          <w:sz w:val="12"/>
          <w:szCs w:val="12"/>
        </w:rPr>
        <w:t>failure to pay the principal on that series of Notes when due;</w:t>
      </w:r>
    </w:p>
    <w:p>
      <w:pPr>
        <w:spacing w:after="0" w:line="146" w:lineRule="exact"/>
        <w:rPr>
          <w:rFonts w:ascii="Calibri" w:eastAsia="Calibri" w:hAnsi="Calibri" w:cs="Calibri"/>
          <w:color w:val="auto"/>
          <w:sz w:val="12"/>
          <w:szCs w:val="12"/>
        </w:rPr>
      </w:pPr>
    </w:p>
    <w:p>
      <w:pPr>
        <w:numPr>
          <w:ilvl w:val="0"/>
          <w:numId w:val="52"/>
        </w:numPr>
        <w:tabs>
          <w:tab w:val="left" w:pos="664"/>
        </w:tabs>
        <w:spacing w:after="0" w:line="235" w:lineRule="auto"/>
        <w:ind w:left="860" w:hanging="436"/>
        <w:rPr>
          <w:rFonts w:ascii="Calibri" w:eastAsia="Calibri" w:hAnsi="Calibri" w:cs="Calibri"/>
          <w:color w:val="auto"/>
          <w:sz w:val="12"/>
          <w:szCs w:val="12"/>
        </w:rPr>
      </w:pPr>
      <w:r>
        <w:rPr>
          <w:rFonts w:ascii="Calibri" w:eastAsia="Calibri" w:hAnsi="Calibri" w:cs="Calibri"/>
          <w:color w:val="auto"/>
          <w:sz w:val="12"/>
          <w:szCs w:val="12"/>
        </w:rPr>
        <w:t>failure to perform, or breach, under any other covenant or warranty applicable to that series of Notes and not otherwise specifcally dealt with in the defniton of “event of default,” contnued for a period of 90 days afer the giving of writen notce to AbbVie by the Trustee or to AbbVie and the Trustee by holders of at least 25% in principal amount of outstanding Notes of that series (provided that, in the case of the 2023 Notes, the June 2024 Notes, the 2027 Notes, the 2.625% November 2028 Notes, the 2029 Notes and the 2031 Notes, such notce may not be given with respect to any acton taken, and reported publicly or to holders of the 2023 Notes, the June 2024 Notes, the 2027 Notes, the 2.625% November 2028 Notes, the 2029 Notes or the 2031 Notes, as applicable, more than two years prior to such notce); or</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39"/>
        <w:jc w:val="center"/>
        <w:rPr>
          <w:color w:val="auto"/>
          <w:sz w:val="20"/>
          <w:szCs w:val="20"/>
        </w:rPr>
      </w:pPr>
      <w:r>
        <w:rPr>
          <w:rFonts w:ascii="Calibri" w:eastAsia="Calibri" w:hAnsi="Calibri" w:cs="Calibri"/>
          <w:color w:val="auto"/>
          <w:sz w:val="12"/>
          <w:szCs w:val="12"/>
        </w:rPr>
        <w:t>15</w:t>
      </w:r>
    </w:p>
    <w:p>
      <w:pPr>
        <w:sectPr>
          <w:pgSz w:w="11900" w:h="16838" w:orient="portrait"/>
          <w:pgMar w:top="984" w:right="319" w:bottom="1440" w:left="300" w:header="0" w:footer="0" w:gutter="0"/>
          <w:cols w:num="1" w:space="720" w:equalWidth="0">
            <w:col w:w="11280" w:space="0"/>
          </w:cols>
        </w:sectPr>
      </w:pPr>
    </w:p>
    <w:bookmarkStart w:id="131" w:name="page132"/>
    <w:bookmarkEnd w:id="131"/>
    <w:p>
      <w:pPr>
        <w:tabs>
          <w:tab w:val="left" w:pos="640"/>
        </w:tabs>
        <w:spacing w:after="0"/>
        <w:ind w:left="420"/>
        <w:rPr>
          <w:color w:val="auto"/>
          <w:sz w:val="20"/>
          <w:szCs w:val="20"/>
        </w:rPr>
      </w:pPr>
      <w:r>
        <w:rPr>
          <w:rFonts w:ascii="Calibri" w:eastAsia="Calibri" w:hAnsi="Calibri" w:cs="Calibri"/>
          <w:color w:val="auto"/>
          <w:sz w:val="12"/>
          <w:szCs w:val="12"/>
        </w:rPr>
        <w:t>(4)</w:t>
      </w:r>
      <w:r>
        <w:rPr>
          <w:color w:val="auto"/>
          <w:sz w:val="20"/>
          <w:szCs w:val="20"/>
        </w:rPr>
        <w:tab/>
      </w:r>
      <w:r>
        <w:rPr>
          <w:rFonts w:ascii="Calibri" w:eastAsia="Calibri" w:hAnsi="Calibri" w:cs="Calibri"/>
          <w:color w:val="auto"/>
          <w:sz w:val="11"/>
          <w:szCs w:val="11"/>
        </w:rPr>
        <w:t>specifed events of bankruptcy, insolvency or reorganizaton of AbbVie.</w:t>
      </w:r>
    </w:p>
    <w:p>
      <w:pPr>
        <w:spacing w:after="0" w:line="146" w:lineRule="exact"/>
        <w:rPr>
          <w:color w:val="auto"/>
          <w:sz w:val="20"/>
          <w:szCs w:val="20"/>
        </w:rPr>
      </w:pPr>
    </w:p>
    <w:p>
      <w:pPr>
        <w:spacing w:after="0" w:line="234" w:lineRule="auto"/>
        <w:ind w:right="180" w:firstLine="432"/>
        <w:rPr>
          <w:color w:val="auto"/>
          <w:sz w:val="20"/>
          <w:szCs w:val="20"/>
        </w:rPr>
      </w:pPr>
      <w:r>
        <w:rPr>
          <w:rFonts w:ascii="Calibri" w:eastAsia="Calibri" w:hAnsi="Calibri" w:cs="Calibri"/>
          <w:color w:val="auto"/>
          <w:sz w:val="12"/>
          <w:szCs w:val="12"/>
        </w:rPr>
        <w:t>The Trustee is required to give holders of the partcular series of Notes writen notce of a default with respect to that series as and to the extent provided by the Trust Indenture Act. In the case of any default of the character described above in clause (3) of the immediately preceding paragraph, no such notce to holders must be given untl at least 60 days afer the occurrence of that default.</w:t>
      </w:r>
    </w:p>
    <w:p>
      <w:pPr>
        <w:spacing w:after="0" w:line="146" w:lineRule="exact"/>
        <w:rPr>
          <w:color w:val="auto"/>
          <w:sz w:val="20"/>
          <w:szCs w:val="20"/>
        </w:rPr>
      </w:pPr>
    </w:p>
    <w:p>
      <w:pPr>
        <w:spacing w:after="0" w:line="234" w:lineRule="auto"/>
        <w:ind w:right="20" w:firstLine="432"/>
        <w:rPr>
          <w:color w:val="auto"/>
          <w:sz w:val="20"/>
          <w:szCs w:val="20"/>
        </w:rPr>
      </w:pPr>
      <w:r>
        <w:rPr>
          <w:rFonts w:ascii="Calibri" w:eastAsia="Calibri" w:hAnsi="Calibri" w:cs="Calibri"/>
          <w:color w:val="auto"/>
          <w:sz w:val="12"/>
          <w:szCs w:val="12"/>
        </w:rPr>
        <w:t>AbbVie is required annually to deliver to the Trustee a certfcate statng whether or not the signers have any knowledge of any default by AbbVie in its performance and observance of any terms, provisions and conditons of the Indenture.</w:t>
      </w:r>
    </w:p>
    <w:p>
      <w:pPr>
        <w:spacing w:after="0" w:line="146" w:lineRule="exact"/>
        <w:rPr>
          <w:color w:val="auto"/>
          <w:sz w:val="20"/>
          <w:szCs w:val="20"/>
        </w:rPr>
      </w:pPr>
    </w:p>
    <w:p>
      <w:pPr>
        <w:spacing w:after="0" w:line="235" w:lineRule="auto"/>
        <w:ind w:firstLine="432"/>
        <w:rPr>
          <w:color w:val="auto"/>
          <w:sz w:val="20"/>
          <w:szCs w:val="20"/>
        </w:rPr>
      </w:pPr>
      <w:r>
        <w:rPr>
          <w:rFonts w:ascii="Calibri" w:eastAsia="Calibri" w:hAnsi="Calibri" w:cs="Calibri"/>
          <w:color w:val="auto"/>
          <w:sz w:val="12"/>
          <w:szCs w:val="12"/>
        </w:rPr>
        <w:t>In case an event of default (other than an event of default involving an event of bankruptcy, insolvency or reorganizaton of AbbVie) shall occur and be contnuing with respect to any series of Notes, the Trustee or the holders of not less than 25% in principal amount of the partcular series of Notes then outstanding may declare the principal amount of such series of Notes to be immediately due and payable. If an event of default relatng to any event of bankruptcy, insolvency or reorganizaton of AbbVie occurs, the principal of all the Notes then outstanding will become immediately due and payable without any acton on the part of the Trustee or any holder. The holders of a majority in principal amount of the outstanding series of Notes afected by the default may in some cases rescind this accelerated payment requirement. Depending on the terms of AbbVie’s other indebtedness, an event of default in respect of the Notes may give rise to cross defaults on its other indebtedness.</w:t>
      </w:r>
    </w:p>
    <w:p>
      <w:pPr>
        <w:spacing w:after="0" w:line="147" w:lineRule="exact"/>
        <w:rPr>
          <w:color w:val="auto"/>
          <w:sz w:val="20"/>
          <w:szCs w:val="20"/>
        </w:rPr>
      </w:pPr>
    </w:p>
    <w:p>
      <w:pPr>
        <w:spacing w:after="0"/>
        <w:ind w:left="420"/>
        <w:rPr>
          <w:color w:val="auto"/>
          <w:sz w:val="20"/>
          <w:szCs w:val="20"/>
        </w:rPr>
      </w:pPr>
      <w:r>
        <w:rPr>
          <w:rFonts w:ascii="Calibri" w:eastAsia="Calibri" w:hAnsi="Calibri" w:cs="Calibri"/>
          <w:color w:val="auto"/>
          <w:sz w:val="11"/>
          <w:szCs w:val="11"/>
        </w:rPr>
        <w:t>Any past default with respect to a series of Notes may be waived on behalf of all holders of that series of Notes by at least a majority in principal amount of the holders of the outstanding Notes of that series, except a default:</w:t>
      </w:r>
    </w:p>
    <w:p>
      <w:pPr>
        <w:spacing w:after="0" w:line="149" w:lineRule="exact"/>
        <w:rPr>
          <w:color w:val="auto"/>
          <w:sz w:val="20"/>
          <w:szCs w:val="20"/>
        </w:rPr>
      </w:pPr>
    </w:p>
    <w:p>
      <w:pPr>
        <w:numPr>
          <w:ilvl w:val="0"/>
          <w:numId w:val="53"/>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in the payment of the principal of or any premium or interest on that series of Notes; or</w:t>
      </w:r>
    </w:p>
    <w:p>
      <w:pPr>
        <w:spacing w:after="0" w:line="141" w:lineRule="exact"/>
        <w:rPr>
          <w:rFonts w:ascii="Calibri" w:eastAsia="Calibri" w:hAnsi="Calibri" w:cs="Calibri"/>
          <w:color w:val="auto"/>
          <w:sz w:val="12"/>
          <w:szCs w:val="12"/>
        </w:rPr>
      </w:pPr>
    </w:p>
    <w:p>
      <w:pPr>
        <w:numPr>
          <w:ilvl w:val="0"/>
          <w:numId w:val="53"/>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in respect of a covenant or provision which under the Indenture cannot be modifed or amended without the consent of the holder of each outstanding Note of that series afected.</w:t>
      </w:r>
    </w:p>
    <w:p>
      <w:pPr>
        <w:spacing w:after="0" w:line="146" w:lineRule="exact"/>
        <w:rPr>
          <w:color w:val="auto"/>
          <w:sz w:val="20"/>
          <w:szCs w:val="20"/>
        </w:rPr>
      </w:pPr>
    </w:p>
    <w:p>
      <w:pPr>
        <w:spacing w:after="0" w:line="234" w:lineRule="auto"/>
        <w:ind w:right="60" w:firstLine="432"/>
        <w:rPr>
          <w:color w:val="auto"/>
          <w:sz w:val="20"/>
          <w:szCs w:val="20"/>
        </w:rPr>
      </w:pPr>
      <w:r>
        <w:rPr>
          <w:rFonts w:ascii="Calibri" w:eastAsia="Calibri" w:hAnsi="Calibri" w:cs="Calibri"/>
          <w:color w:val="auto"/>
          <w:sz w:val="12"/>
          <w:szCs w:val="12"/>
        </w:rPr>
        <w:t>Any default that is so waived will cease to exist and any event of default arising from that default will be deemed to be cured and shall cease to exist for every purpose under the Indenture, but no such waiver will extend to any subsequent or other default or impair any right consequent thereon.</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A holder of Notes of any series is able to pursue any remedy under the Indenture only if:</w:t>
      </w:r>
    </w:p>
    <w:p>
      <w:pPr>
        <w:spacing w:after="0" w:line="142" w:lineRule="exact"/>
        <w:rPr>
          <w:color w:val="auto"/>
          <w:sz w:val="20"/>
          <w:szCs w:val="20"/>
        </w:rPr>
      </w:pPr>
    </w:p>
    <w:p>
      <w:pPr>
        <w:numPr>
          <w:ilvl w:val="0"/>
          <w:numId w:val="54"/>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such holder has previously given writen notce to the Trustee of a contnuing event of default with respect to that series of Notes;</w:t>
      </w:r>
    </w:p>
    <w:p>
      <w:pPr>
        <w:spacing w:after="0" w:line="146" w:lineRule="exact"/>
        <w:rPr>
          <w:rFonts w:ascii="Calibri" w:eastAsia="Calibri" w:hAnsi="Calibri" w:cs="Calibri"/>
          <w:color w:val="auto"/>
          <w:sz w:val="12"/>
          <w:szCs w:val="12"/>
        </w:rPr>
      </w:pPr>
    </w:p>
    <w:p>
      <w:pPr>
        <w:numPr>
          <w:ilvl w:val="0"/>
          <w:numId w:val="54"/>
        </w:numPr>
        <w:tabs>
          <w:tab w:val="left" w:pos="855"/>
        </w:tabs>
        <w:spacing w:after="0" w:line="234" w:lineRule="auto"/>
        <w:ind w:left="860" w:right="60" w:hanging="436"/>
        <w:rPr>
          <w:rFonts w:ascii="Calibri" w:eastAsia="Calibri" w:hAnsi="Calibri" w:cs="Calibri"/>
          <w:color w:val="auto"/>
          <w:sz w:val="12"/>
          <w:szCs w:val="12"/>
        </w:rPr>
      </w:pPr>
      <w:r>
        <w:rPr>
          <w:rFonts w:ascii="Calibri" w:eastAsia="Calibri" w:hAnsi="Calibri" w:cs="Calibri"/>
          <w:color w:val="auto"/>
          <w:sz w:val="12"/>
          <w:szCs w:val="12"/>
        </w:rPr>
        <w:t>the holders of not less than 25% in principal amount of the outstanding Notes of that series shall have made writen request to the Trustee to insttute proceedings in respect of such event of default in its own name as Trustee under the Indenture;</w:t>
      </w:r>
    </w:p>
    <w:p>
      <w:pPr>
        <w:spacing w:after="0" w:line="141" w:lineRule="exact"/>
        <w:rPr>
          <w:rFonts w:ascii="Calibri" w:eastAsia="Calibri" w:hAnsi="Calibri" w:cs="Calibri"/>
          <w:color w:val="auto"/>
          <w:sz w:val="12"/>
          <w:szCs w:val="12"/>
        </w:rPr>
      </w:pPr>
    </w:p>
    <w:p>
      <w:pPr>
        <w:numPr>
          <w:ilvl w:val="0"/>
          <w:numId w:val="54"/>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such holders or holders making the request have ofered to the Trustee reasonable indemnity against the costs, expenses and liabilites to be incurred in compliance with such request;</w:t>
      </w:r>
    </w:p>
    <w:p>
      <w:pPr>
        <w:spacing w:after="0" w:line="141" w:lineRule="exact"/>
        <w:rPr>
          <w:rFonts w:ascii="Calibri" w:eastAsia="Calibri" w:hAnsi="Calibri" w:cs="Calibri"/>
          <w:color w:val="auto"/>
          <w:sz w:val="12"/>
          <w:szCs w:val="12"/>
        </w:rPr>
      </w:pPr>
    </w:p>
    <w:p>
      <w:pPr>
        <w:numPr>
          <w:ilvl w:val="0"/>
          <w:numId w:val="54"/>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the Trustee for 60 days afer its receipt of such notce, request and ofer of indemnity has failed to insttute any such proceeding; and</w:t>
      </w:r>
    </w:p>
    <w:p>
      <w:pPr>
        <w:spacing w:after="0" w:line="141" w:lineRule="exact"/>
        <w:rPr>
          <w:rFonts w:ascii="Calibri" w:eastAsia="Calibri" w:hAnsi="Calibri" w:cs="Calibri"/>
          <w:color w:val="auto"/>
          <w:sz w:val="12"/>
          <w:szCs w:val="12"/>
        </w:rPr>
      </w:pPr>
    </w:p>
    <w:p>
      <w:pPr>
        <w:numPr>
          <w:ilvl w:val="0"/>
          <w:numId w:val="54"/>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during that 60-day period, the holders of a majority in principal amount of that series of Notes do not give the Trustee a directon inconsistent with such request.</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Holders of Notes, however, are enttled at any tme to bring a lawsuit for the payment of principal and interest due on their Notes on or afer its due date.</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239"/>
        <w:jc w:val="center"/>
        <w:rPr>
          <w:color w:val="auto"/>
          <w:sz w:val="20"/>
          <w:szCs w:val="20"/>
        </w:rPr>
      </w:pPr>
      <w:r>
        <w:rPr>
          <w:rFonts w:ascii="Calibri" w:eastAsia="Calibri" w:hAnsi="Calibri" w:cs="Calibri"/>
          <w:color w:val="auto"/>
          <w:sz w:val="12"/>
          <w:szCs w:val="12"/>
        </w:rPr>
        <w:t>16</w:t>
      </w:r>
    </w:p>
    <w:p>
      <w:pPr>
        <w:sectPr>
          <w:pgSz w:w="11900" w:h="16838" w:orient="portrait"/>
          <w:pgMar w:top="984" w:right="419" w:bottom="1440" w:left="300" w:header="0" w:footer="0" w:gutter="0"/>
          <w:cols w:num="1" w:space="720" w:equalWidth="0">
            <w:col w:w="11180" w:space="0"/>
          </w:cols>
        </w:sectPr>
      </w:pPr>
    </w:p>
    <w:bookmarkStart w:id="132" w:name="page133"/>
    <w:bookmarkEnd w:id="132"/>
    <w:p>
      <w:pPr>
        <w:spacing w:after="0" w:line="234" w:lineRule="auto"/>
        <w:ind w:firstLine="432"/>
        <w:rPr>
          <w:color w:val="auto"/>
          <w:sz w:val="20"/>
          <w:szCs w:val="20"/>
        </w:rPr>
      </w:pPr>
      <w:r>
        <w:rPr>
          <w:rFonts w:ascii="Calibri" w:eastAsia="Calibri" w:hAnsi="Calibri" w:cs="Calibri"/>
          <w:color w:val="auto"/>
          <w:sz w:val="12"/>
          <w:szCs w:val="12"/>
        </w:rPr>
        <w:t>Any tme period in the Indenture to cure any actual or alleged default or event of default with respect to the 2023 Notes, the June 2024 Notes, the 2027 Notes, the 2.625% November 2028 Notes, the 2029 Notes or the 2031 Notes may be extended or stayed by a court of competent jurisdicton.</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Modifcaton of the Indenture</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AbbVie and the Trustee may modify the Indenture or any supplemental indenture without the consent of the holders of the Notes for one or more of the following purposes:</w:t>
      </w:r>
    </w:p>
    <w:p>
      <w:pPr>
        <w:spacing w:after="0" w:line="142" w:lineRule="exact"/>
        <w:rPr>
          <w:color w:val="auto"/>
          <w:sz w:val="20"/>
          <w:szCs w:val="20"/>
        </w:rPr>
      </w:pPr>
    </w:p>
    <w:p>
      <w:pPr>
        <w:numPr>
          <w:ilvl w:val="0"/>
          <w:numId w:val="5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to evidence the succession of another Person to AbbVie and the assumpton by any such successor of the obligatons of AbbVie in the Indenture or any supplemental indenture, and in the Notes;</w:t>
      </w:r>
    </w:p>
    <w:p>
      <w:pPr>
        <w:spacing w:after="0" w:line="141" w:lineRule="exact"/>
        <w:rPr>
          <w:rFonts w:ascii="Calibri" w:eastAsia="Calibri" w:hAnsi="Calibri" w:cs="Calibri"/>
          <w:color w:val="auto"/>
          <w:sz w:val="12"/>
          <w:szCs w:val="12"/>
        </w:rPr>
      </w:pPr>
    </w:p>
    <w:p>
      <w:pPr>
        <w:numPr>
          <w:ilvl w:val="0"/>
          <w:numId w:val="5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to add to the covenants of AbbVie for the beneft of the holders of all or any series of Notes or to surrender any right or power conferred upon AbbVie by the Indenture or any supplemental indenture;</w:t>
      </w:r>
    </w:p>
    <w:p>
      <w:pPr>
        <w:spacing w:after="0" w:line="141" w:lineRule="exact"/>
        <w:rPr>
          <w:rFonts w:ascii="Calibri" w:eastAsia="Calibri" w:hAnsi="Calibri" w:cs="Calibri"/>
          <w:color w:val="auto"/>
          <w:sz w:val="12"/>
          <w:szCs w:val="12"/>
        </w:rPr>
      </w:pPr>
    </w:p>
    <w:p>
      <w:pPr>
        <w:numPr>
          <w:ilvl w:val="0"/>
          <w:numId w:val="5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to add any additonal events of default for the beneft of holders of all or any series of Notes;</w:t>
      </w:r>
    </w:p>
    <w:p>
      <w:pPr>
        <w:spacing w:after="0" w:line="141" w:lineRule="exact"/>
        <w:rPr>
          <w:rFonts w:ascii="Calibri" w:eastAsia="Calibri" w:hAnsi="Calibri" w:cs="Calibri"/>
          <w:color w:val="auto"/>
          <w:sz w:val="12"/>
          <w:szCs w:val="12"/>
        </w:rPr>
      </w:pPr>
    </w:p>
    <w:p>
      <w:pPr>
        <w:numPr>
          <w:ilvl w:val="0"/>
          <w:numId w:val="5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to add to or change any of the provisions of the Indenture or any supplemental indenture to such extent as shall be necessary to permit or facilitate the issuance of debt securites in certain other forms;</w:t>
      </w:r>
    </w:p>
    <w:p>
      <w:pPr>
        <w:spacing w:after="0" w:line="146" w:lineRule="exact"/>
        <w:rPr>
          <w:rFonts w:ascii="Calibri" w:eastAsia="Calibri" w:hAnsi="Calibri" w:cs="Calibri"/>
          <w:color w:val="auto"/>
          <w:sz w:val="12"/>
          <w:szCs w:val="12"/>
        </w:rPr>
      </w:pPr>
    </w:p>
    <w:p>
      <w:pPr>
        <w:numPr>
          <w:ilvl w:val="0"/>
          <w:numId w:val="55"/>
        </w:numPr>
        <w:tabs>
          <w:tab w:val="left" w:pos="855"/>
        </w:tabs>
        <w:spacing w:after="0" w:line="234" w:lineRule="auto"/>
        <w:ind w:left="860" w:right="160" w:hanging="436"/>
        <w:jc w:val="both"/>
        <w:rPr>
          <w:rFonts w:ascii="Calibri" w:eastAsia="Calibri" w:hAnsi="Calibri" w:cs="Calibri"/>
          <w:color w:val="auto"/>
          <w:sz w:val="12"/>
          <w:szCs w:val="12"/>
        </w:rPr>
      </w:pPr>
      <w:r>
        <w:rPr>
          <w:rFonts w:ascii="Calibri" w:eastAsia="Calibri" w:hAnsi="Calibri" w:cs="Calibri"/>
          <w:color w:val="auto"/>
          <w:sz w:val="12"/>
          <w:szCs w:val="12"/>
        </w:rPr>
        <w:t>to add to, change or eliminate any of the provisions of the Indenture or any supplemental indenture in respect of one or more series of Notes, provided that any such additon, change or eliminaton (i) shall neither (A) apply to any Note of any series created prior to the executon of such supplemental indenture afectng such modifcaton and enttled to the beneft of such provision nor (B) modify the rights of the holder of any such Note with respect to such provision or (ii) shall become efectve only when there is no such Note outstanding;</w:t>
      </w:r>
    </w:p>
    <w:p>
      <w:pPr>
        <w:spacing w:after="0" w:line="147" w:lineRule="exact"/>
        <w:rPr>
          <w:rFonts w:ascii="Calibri" w:eastAsia="Calibri" w:hAnsi="Calibri" w:cs="Calibri"/>
          <w:color w:val="auto"/>
          <w:sz w:val="12"/>
          <w:szCs w:val="12"/>
        </w:rPr>
      </w:pPr>
    </w:p>
    <w:p>
      <w:pPr>
        <w:numPr>
          <w:ilvl w:val="0"/>
          <w:numId w:val="55"/>
        </w:numPr>
        <w:tabs>
          <w:tab w:val="left" w:pos="855"/>
        </w:tabs>
        <w:spacing w:after="0" w:line="234" w:lineRule="auto"/>
        <w:ind w:left="860" w:right="260" w:hanging="436"/>
        <w:rPr>
          <w:rFonts w:ascii="Calibri" w:eastAsia="Calibri" w:hAnsi="Calibri" w:cs="Calibri"/>
          <w:color w:val="auto"/>
          <w:sz w:val="12"/>
          <w:szCs w:val="12"/>
        </w:rPr>
      </w:pPr>
      <w:r>
        <w:rPr>
          <w:rFonts w:ascii="Calibri" w:eastAsia="Calibri" w:hAnsi="Calibri" w:cs="Calibri"/>
          <w:color w:val="auto"/>
          <w:sz w:val="12"/>
          <w:szCs w:val="12"/>
        </w:rPr>
        <w:t>to secure the Notes pursuant to the requirements of the Indenture or the requirements of any supplemental indenture or to otherwise provide any security for, or add any guarantees of or additonal obligors on, the Notes of all or any series;</w:t>
      </w:r>
    </w:p>
    <w:p>
      <w:pPr>
        <w:spacing w:after="0" w:line="141" w:lineRule="exact"/>
        <w:rPr>
          <w:rFonts w:ascii="Calibri" w:eastAsia="Calibri" w:hAnsi="Calibri" w:cs="Calibri"/>
          <w:color w:val="auto"/>
          <w:sz w:val="12"/>
          <w:szCs w:val="12"/>
        </w:rPr>
      </w:pPr>
    </w:p>
    <w:p>
      <w:pPr>
        <w:numPr>
          <w:ilvl w:val="0"/>
          <w:numId w:val="5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to establish the form or terms of Notes of any series in accordance with the terms of the Indenture;</w:t>
      </w:r>
    </w:p>
    <w:p>
      <w:pPr>
        <w:spacing w:after="0" w:line="146" w:lineRule="exact"/>
        <w:rPr>
          <w:rFonts w:ascii="Calibri" w:eastAsia="Calibri" w:hAnsi="Calibri" w:cs="Calibri"/>
          <w:color w:val="auto"/>
          <w:sz w:val="12"/>
          <w:szCs w:val="12"/>
        </w:rPr>
      </w:pPr>
    </w:p>
    <w:p>
      <w:pPr>
        <w:numPr>
          <w:ilvl w:val="0"/>
          <w:numId w:val="55"/>
        </w:numPr>
        <w:tabs>
          <w:tab w:val="left" w:pos="855"/>
        </w:tabs>
        <w:spacing w:after="0" w:line="234" w:lineRule="auto"/>
        <w:ind w:left="860" w:right="400" w:hanging="436"/>
        <w:rPr>
          <w:rFonts w:ascii="Calibri" w:eastAsia="Calibri" w:hAnsi="Calibri" w:cs="Calibri"/>
          <w:color w:val="auto"/>
          <w:sz w:val="12"/>
          <w:szCs w:val="12"/>
        </w:rPr>
      </w:pPr>
      <w:r>
        <w:rPr>
          <w:rFonts w:ascii="Calibri" w:eastAsia="Calibri" w:hAnsi="Calibri" w:cs="Calibri"/>
          <w:color w:val="auto"/>
          <w:sz w:val="12"/>
          <w:szCs w:val="12"/>
        </w:rPr>
        <w:t>to supplement any of the provisions of the Indenture to such extent as shall be necessary to permit or facilitate the defeasance and discharge of a partcular series of Notes in accordance with the provisions in the Indenture;</w:t>
      </w:r>
    </w:p>
    <w:p>
      <w:pPr>
        <w:spacing w:after="0" w:line="146" w:lineRule="exact"/>
        <w:rPr>
          <w:rFonts w:ascii="Calibri" w:eastAsia="Calibri" w:hAnsi="Calibri" w:cs="Calibri"/>
          <w:color w:val="auto"/>
          <w:sz w:val="12"/>
          <w:szCs w:val="12"/>
        </w:rPr>
      </w:pPr>
    </w:p>
    <w:p>
      <w:pPr>
        <w:numPr>
          <w:ilvl w:val="0"/>
          <w:numId w:val="55"/>
        </w:numPr>
        <w:tabs>
          <w:tab w:val="left" w:pos="855"/>
        </w:tabs>
        <w:spacing w:after="0" w:line="234" w:lineRule="auto"/>
        <w:ind w:left="860" w:right="120" w:hanging="436"/>
        <w:rPr>
          <w:rFonts w:ascii="Calibri" w:eastAsia="Calibri" w:hAnsi="Calibri" w:cs="Calibri"/>
          <w:color w:val="auto"/>
          <w:sz w:val="12"/>
          <w:szCs w:val="12"/>
        </w:rPr>
      </w:pPr>
      <w:r>
        <w:rPr>
          <w:rFonts w:ascii="Calibri" w:eastAsia="Calibri" w:hAnsi="Calibri" w:cs="Calibri"/>
          <w:color w:val="auto"/>
          <w:sz w:val="12"/>
          <w:szCs w:val="12"/>
        </w:rPr>
        <w:t>to evidence and provide for the acceptance of the appointment of a successor trustee with respect to the Notes of one or more series and to add to or change any of the provisions of the Indenture or any supplemental indenture as shall be necessary to provide for or facilitate the administraton of the trusts under the Indenture or such supplemental indenture by more than one trustee pursuant to the requirements set forth in the Indenture; or</w:t>
      </w:r>
    </w:p>
    <w:p>
      <w:pPr>
        <w:spacing w:after="0" w:line="147" w:lineRule="exact"/>
        <w:rPr>
          <w:rFonts w:ascii="Calibri" w:eastAsia="Calibri" w:hAnsi="Calibri" w:cs="Calibri"/>
          <w:color w:val="auto"/>
          <w:sz w:val="12"/>
          <w:szCs w:val="12"/>
        </w:rPr>
      </w:pPr>
    </w:p>
    <w:p>
      <w:pPr>
        <w:numPr>
          <w:ilvl w:val="0"/>
          <w:numId w:val="55"/>
        </w:numPr>
        <w:tabs>
          <w:tab w:val="left" w:pos="855"/>
        </w:tabs>
        <w:spacing w:after="0" w:line="234" w:lineRule="auto"/>
        <w:ind w:left="860" w:right="20" w:hanging="436"/>
        <w:rPr>
          <w:rFonts w:ascii="Calibri" w:eastAsia="Calibri" w:hAnsi="Calibri" w:cs="Calibri"/>
          <w:color w:val="auto"/>
          <w:sz w:val="12"/>
          <w:szCs w:val="12"/>
        </w:rPr>
      </w:pPr>
      <w:r>
        <w:rPr>
          <w:rFonts w:ascii="Calibri" w:eastAsia="Calibri" w:hAnsi="Calibri" w:cs="Calibri"/>
          <w:color w:val="auto"/>
          <w:sz w:val="12"/>
          <w:szCs w:val="12"/>
        </w:rPr>
        <w:t>to cure any ambiguity or to correct or supplement any provision of the Indenture or any supplemental indenture which may be defectve or inconsistent with any other provision in the Indenture or any supplemental indenture, or to make any other provisions with respect to maters or questons arising under the Indenture or any supplemental indenture as shall not adversely afect the interests of the holders of any series of Notes in any material respect.</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3"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17</w:t>
      </w:r>
    </w:p>
    <w:p>
      <w:pPr>
        <w:sectPr>
          <w:pgSz w:w="11900" w:h="16838" w:orient="portrait"/>
          <w:pgMar w:top="989" w:right="319" w:bottom="1440" w:left="300" w:header="0" w:footer="0" w:gutter="0"/>
          <w:cols w:num="1" w:space="720" w:equalWidth="0">
            <w:col w:w="11280" w:space="0"/>
          </w:cols>
        </w:sectPr>
      </w:pPr>
    </w:p>
    <w:bookmarkStart w:id="133" w:name="page134"/>
    <w:bookmarkEnd w:id="133"/>
    <w:p>
      <w:pPr>
        <w:spacing w:after="0" w:line="234" w:lineRule="auto"/>
        <w:ind w:firstLine="432"/>
        <w:rPr>
          <w:color w:val="auto"/>
          <w:sz w:val="20"/>
          <w:szCs w:val="20"/>
        </w:rPr>
      </w:pPr>
      <w:r>
        <w:rPr>
          <w:rFonts w:ascii="Calibri" w:eastAsia="Calibri" w:hAnsi="Calibri" w:cs="Calibri"/>
          <w:color w:val="auto"/>
          <w:sz w:val="12"/>
          <w:szCs w:val="12"/>
        </w:rPr>
        <w:t>AbbVie and the Trustee may otherwise modify the Indenture or any supplemental indenture with the consent of the holders of not less than a majority in principal amount of each series of Notes afected for the purpose of adding any provisions to or changing in any manner or eliminatng any of the provisions of the Indenture or of modifying in any manner the rights of the holders of Notes of such series under the Indenture or any supplemental indentures. However, without the consent of the holder of each outstanding Note afected by such modifcaton, no modifcaton may:</w:t>
      </w:r>
    </w:p>
    <w:p>
      <w:pPr>
        <w:spacing w:after="0" w:line="148" w:lineRule="exact"/>
        <w:rPr>
          <w:color w:val="auto"/>
          <w:sz w:val="20"/>
          <w:szCs w:val="20"/>
        </w:rPr>
      </w:pPr>
    </w:p>
    <w:p>
      <w:pPr>
        <w:numPr>
          <w:ilvl w:val="0"/>
          <w:numId w:val="56"/>
        </w:numPr>
        <w:tabs>
          <w:tab w:val="left" w:pos="855"/>
        </w:tabs>
        <w:spacing w:after="0" w:line="234" w:lineRule="auto"/>
        <w:ind w:left="860" w:right="20" w:hanging="436"/>
        <w:rPr>
          <w:rFonts w:ascii="Calibri" w:eastAsia="Calibri" w:hAnsi="Calibri" w:cs="Calibri"/>
          <w:color w:val="auto"/>
          <w:sz w:val="12"/>
          <w:szCs w:val="12"/>
        </w:rPr>
      </w:pPr>
      <w:r>
        <w:rPr>
          <w:rFonts w:ascii="Calibri" w:eastAsia="Calibri" w:hAnsi="Calibri" w:cs="Calibri"/>
          <w:color w:val="auto"/>
          <w:sz w:val="12"/>
          <w:szCs w:val="12"/>
        </w:rPr>
        <w:t>change the stated maturity of the principal of, or any installment of principal of or interest thereon, or reduce the principal amount thereof or the rate of interest thereon or any premium payable upon the redempton thereof, or change any place of payment where, or the coin or currency in which, such Notes or any premium or interest thereon is payable, or impair the right to insttute suit for the enforcement of any such payment on or afer the stated maturity thereof (or, in the case of redempton, on or afer the redempton date);</w:t>
      </w:r>
    </w:p>
    <w:p>
      <w:pPr>
        <w:spacing w:after="0" w:line="147" w:lineRule="exact"/>
        <w:rPr>
          <w:rFonts w:ascii="Calibri" w:eastAsia="Calibri" w:hAnsi="Calibri" w:cs="Calibri"/>
          <w:color w:val="auto"/>
          <w:sz w:val="12"/>
          <w:szCs w:val="12"/>
        </w:rPr>
      </w:pPr>
    </w:p>
    <w:p>
      <w:pPr>
        <w:numPr>
          <w:ilvl w:val="0"/>
          <w:numId w:val="56"/>
        </w:numPr>
        <w:tabs>
          <w:tab w:val="left" w:pos="855"/>
        </w:tabs>
        <w:spacing w:after="0" w:line="234" w:lineRule="auto"/>
        <w:ind w:left="860" w:right="40" w:hanging="436"/>
        <w:rPr>
          <w:rFonts w:ascii="Calibri" w:eastAsia="Calibri" w:hAnsi="Calibri" w:cs="Calibri"/>
          <w:color w:val="auto"/>
          <w:sz w:val="12"/>
          <w:szCs w:val="12"/>
        </w:rPr>
      </w:pPr>
      <w:r>
        <w:rPr>
          <w:rFonts w:ascii="Calibri" w:eastAsia="Calibri" w:hAnsi="Calibri" w:cs="Calibri"/>
          <w:color w:val="auto"/>
          <w:sz w:val="12"/>
          <w:szCs w:val="12"/>
        </w:rPr>
        <w:t>reduce the percentage in principal amount of the Notes of any series, the consent of whose holders is required in the Indenture for consent for any waiver of compliance with certain provisions of the Indenture or certain defaults under the Indenture and their consequences; or</w:t>
      </w:r>
    </w:p>
    <w:p>
      <w:pPr>
        <w:spacing w:after="0" w:line="146" w:lineRule="exact"/>
        <w:rPr>
          <w:rFonts w:ascii="Calibri" w:eastAsia="Calibri" w:hAnsi="Calibri" w:cs="Calibri"/>
          <w:color w:val="auto"/>
          <w:sz w:val="12"/>
          <w:szCs w:val="12"/>
        </w:rPr>
      </w:pPr>
    </w:p>
    <w:p>
      <w:pPr>
        <w:numPr>
          <w:ilvl w:val="0"/>
          <w:numId w:val="56"/>
        </w:numPr>
        <w:tabs>
          <w:tab w:val="left" w:pos="855"/>
        </w:tabs>
        <w:spacing w:after="0" w:line="234" w:lineRule="auto"/>
        <w:ind w:left="860" w:right="60" w:hanging="436"/>
        <w:rPr>
          <w:rFonts w:ascii="Calibri" w:eastAsia="Calibri" w:hAnsi="Calibri" w:cs="Calibri"/>
          <w:color w:val="auto"/>
          <w:sz w:val="12"/>
          <w:szCs w:val="12"/>
        </w:rPr>
      </w:pPr>
      <w:r>
        <w:rPr>
          <w:rFonts w:ascii="Calibri" w:eastAsia="Calibri" w:hAnsi="Calibri" w:cs="Calibri"/>
          <w:color w:val="auto"/>
          <w:sz w:val="12"/>
          <w:szCs w:val="12"/>
        </w:rPr>
        <w:t>modify the provisions set forth in the two bullets above or the paragraph immediately preceding the two bullets above or modify provisions relatng to the waiver of past defaults or the waiver of certain covenants in the Indenture, in each case, other than to increase the percentage in principal amount of the Notes required to modify such provisions or to provide that certain other provisions of the Indenture cannot be modifed or waived without the consent of the holder of each outstanding Note afected by such modifcaton.</w:t>
      </w:r>
    </w:p>
    <w:p>
      <w:pPr>
        <w:spacing w:after="0" w:line="143"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Defeasance and Covenant Defeasance</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 Indenture provides that, at AbbVie’s opton, AbbVie:</w:t>
      </w:r>
    </w:p>
    <w:p>
      <w:pPr>
        <w:spacing w:after="0" w:line="142" w:lineRule="exact"/>
        <w:rPr>
          <w:color w:val="auto"/>
          <w:sz w:val="20"/>
          <w:szCs w:val="20"/>
        </w:rPr>
      </w:pPr>
    </w:p>
    <w:p>
      <w:pPr>
        <w:numPr>
          <w:ilvl w:val="0"/>
          <w:numId w:val="57"/>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will be discharged from any and all obligatons in respect of the Notes of a series, except for certain obligatons set forth in the Indenture that survive such discharge (“legal defeasance”); or</w:t>
      </w:r>
    </w:p>
    <w:p>
      <w:pPr>
        <w:spacing w:after="0" w:line="146" w:lineRule="exact"/>
        <w:rPr>
          <w:rFonts w:ascii="Calibri" w:eastAsia="Calibri" w:hAnsi="Calibri" w:cs="Calibri"/>
          <w:color w:val="auto"/>
          <w:sz w:val="12"/>
          <w:szCs w:val="12"/>
        </w:rPr>
      </w:pPr>
    </w:p>
    <w:p>
      <w:pPr>
        <w:numPr>
          <w:ilvl w:val="0"/>
          <w:numId w:val="57"/>
        </w:numPr>
        <w:tabs>
          <w:tab w:val="left" w:pos="855"/>
        </w:tabs>
        <w:spacing w:after="0" w:line="234" w:lineRule="auto"/>
        <w:ind w:left="860" w:right="220" w:hanging="436"/>
        <w:rPr>
          <w:rFonts w:ascii="Calibri" w:eastAsia="Calibri" w:hAnsi="Calibri" w:cs="Calibri"/>
          <w:color w:val="auto"/>
          <w:sz w:val="12"/>
          <w:szCs w:val="12"/>
        </w:rPr>
      </w:pPr>
      <w:r>
        <w:rPr>
          <w:rFonts w:ascii="Calibri" w:eastAsia="Calibri" w:hAnsi="Calibri" w:cs="Calibri"/>
          <w:color w:val="auto"/>
          <w:sz w:val="12"/>
          <w:szCs w:val="12"/>
        </w:rPr>
        <w:t>may omit to comply with certain restrictve covenants of the Indenture, including those described under “Certain Covenants of AbbVie” and “Consolidaton, Merger and Sale of Assets,” and the occurrence of an event described in clause (3) under “Events of Default” with respect to any such covenants will no longer be an event of default (“covenant defeasance”);</w:t>
      </w:r>
    </w:p>
    <w:p>
      <w:pPr>
        <w:spacing w:after="0" w:line="141" w:lineRule="exact"/>
        <w:rPr>
          <w:rFonts w:ascii="Calibri" w:eastAsia="Calibri" w:hAnsi="Calibri" w:cs="Calibri"/>
          <w:color w:val="auto"/>
          <w:sz w:val="12"/>
          <w:szCs w:val="12"/>
        </w:rPr>
      </w:pPr>
    </w:p>
    <w:p>
      <w:pPr>
        <w:spacing w:after="0"/>
        <w:ind w:left="860"/>
        <w:rPr>
          <w:rFonts w:ascii="Calibri" w:eastAsia="Calibri" w:hAnsi="Calibri" w:cs="Calibri"/>
          <w:color w:val="auto"/>
          <w:sz w:val="12"/>
          <w:szCs w:val="12"/>
        </w:rPr>
      </w:pPr>
      <w:r>
        <w:rPr>
          <w:rFonts w:ascii="Calibri" w:eastAsia="Calibri" w:hAnsi="Calibri" w:cs="Calibri"/>
          <w:color w:val="auto"/>
          <w:sz w:val="12"/>
          <w:szCs w:val="12"/>
        </w:rPr>
        <w:t>in each case, if</w:t>
      </w:r>
    </w:p>
    <w:p>
      <w:pPr>
        <w:spacing w:after="0" w:line="146" w:lineRule="exact"/>
        <w:rPr>
          <w:rFonts w:ascii="Calibri" w:eastAsia="Calibri" w:hAnsi="Calibri" w:cs="Calibri"/>
          <w:color w:val="auto"/>
          <w:sz w:val="12"/>
          <w:szCs w:val="12"/>
        </w:rPr>
      </w:pPr>
    </w:p>
    <w:p>
      <w:pPr>
        <w:numPr>
          <w:ilvl w:val="0"/>
          <w:numId w:val="57"/>
        </w:numPr>
        <w:tabs>
          <w:tab w:val="left" w:pos="855"/>
        </w:tabs>
        <w:spacing w:after="0" w:line="235" w:lineRule="auto"/>
        <w:ind w:left="860" w:right="80" w:hanging="436"/>
        <w:rPr>
          <w:rFonts w:ascii="Calibri" w:eastAsia="Calibri" w:hAnsi="Calibri" w:cs="Calibri"/>
          <w:color w:val="auto"/>
          <w:sz w:val="12"/>
          <w:szCs w:val="12"/>
        </w:rPr>
      </w:pPr>
      <w:r>
        <w:rPr>
          <w:rFonts w:ascii="Calibri" w:eastAsia="Calibri" w:hAnsi="Calibri" w:cs="Calibri"/>
          <w:color w:val="auto"/>
          <w:sz w:val="12"/>
          <w:szCs w:val="12"/>
        </w:rPr>
        <w:t>AbbVie irrevocably deposits or causes to be deposited with the Trustee, as trust funds in trust for the purpose of making the following payments, specifcally pledged as security for, and dedicated solely to, the beneft of the holders of such Notes, in money in an amount, euro-denominated government instruments, which through the scheduled payment of principal and interest in respect thereof in accordance with their terms will provide, not later than one day before the due date of any payment, money in an amount, or a combinaton thereof, sufcient, without reinvestment, in the opinion of a natonally recognized frm of independent public accountants to pay and discharge all the principal of and premium, if any, and interest on the Notes of that series on the dates such payments are due, which may include one or more redempton dates that AbbVie designates, in accordance with the terms of the Notes of that series;</w:t>
      </w:r>
    </w:p>
    <w:p>
      <w:pPr>
        <w:spacing w:after="0" w:line="146" w:lineRule="exact"/>
        <w:rPr>
          <w:rFonts w:ascii="Calibri" w:eastAsia="Calibri" w:hAnsi="Calibri" w:cs="Calibri"/>
          <w:color w:val="auto"/>
          <w:sz w:val="12"/>
          <w:szCs w:val="12"/>
        </w:rPr>
      </w:pPr>
    </w:p>
    <w:p>
      <w:pPr>
        <w:numPr>
          <w:ilvl w:val="0"/>
          <w:numId w:val="57"/>
        </w:numPr>
        <w:tabs>
          <w:tab w:val="left" w:pos="855"/>
        </w:tabs>
        <w:spacing w:after="0" w:line="234" w:lineRule="auto"/>
        <w:ind w:left="860" w:right="20" w:hanging="436"/>
        <w:rPr>
          <w:rFonts w:ascii="Calibri" w:eastAsia="Calibri" w:hAnsi="Calibri" w:cs="Calibri"/>
          <w:color w:val="auto"/>
          <w:sz w:val="12"/>
          <w:szCs w:val="12"/>
        </w:rPr>
      </w:pPr>
      <w:r>
        <w:rPr>
          <w:rFonts w:ascii="Calibri" w:eastAsia="Calibri" w:hAnsi="Calibri" w:cs="Calibri"/>
          <w:color w:val="auto"/>
          <w:sz w:val="12"/>
          <w:szCs w:val="12"/>
        </w:rPr>
        <w:t>no event of default or event which with notce or lapse of tme, or both, would become an event of default with respect to Notes of such series shall have occurred and be contnuing on the date of such deposit or insofar as an event of default resultng from certain events involving AbbVie’s bankruptcy or insolvency are concerned, at any tme during the period ending on the 121st day</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18</w:t>
      </w:r>
    </w:p>
    <w:p>
      <w:pPr>
        <w:sectPr>
          <w:pgSz w:w="11900" w:h="16838" w:orient="portrait"/>
          <w:pgMar w:top="989" w:right="319" w:bottom="1440" w:left="300" w:header="0" w:footer="0" w:gutter="0"/>
          <w:cols w:num="1" w:space="720" w:equalWidth="0">
            <w:col w:w="11280" w:space="0"/>
          </w:cols>
        </w:sectPr>
      </w:pPr>
    </w:p>
    <w:bookmarkStart w:id="134" w:name="page135"/>
    <w:bookmarkEnd w:id="134"/>
    <w:p>
      <w:pPr>
        <w:spacing w:after="0" w:line="234" w:lineRule="auto"/>
        <w:ind w:left="860" w:right="200"/>
        <w:rPr>
          <w:color w:val="auto"/>
          <w:sz w:val="20"/>
          <w:szCs w:val="20"/>
        </w:rPr>
      </w:pPr>
      <w:r>
        <w:rPr>
          <w:rFonts w:ascii="Calibri" w:eastAsia="Calibri" w:hAnsi="Calibri" w:cs="Calibri"/>
          <w:color w:val="auto"/>
          <w:sz w:val="12"/>
          <w:szCs w:val="12"/>
        </w:rPr>
        <w:t>afer such date of the deposit or, if longer, ending on the day following the expiraton of the longest preference period applicable to AbbVie in respect of such deposit (it being understood that this conditon will not be deemed satsfed untl the expiraton of such period);</w:t>
      </w:r>
    </w:p>
    <w:p>
      <w:pPr>
        <w:spacing w:after="0" w:line="146" w:lineRule="exact"/>
        <w:rPr>
          <w:color w:val="auto"/>
          <w:sz w:val="20"/>
          <w:szCs w:val="20"/>
        </w:rPr>
      </w:pPr>
    </w:p>
    <w:p>
      <w:pPr>
        <w:numPr>
          <w:ilvl w:val="0"/>
          <w:numId w:val="58"/>
        </w:numPr>
        <w:tabs>
          <w:tab w:val="left" w:pos="855"/>
        </w:tabs>
        <w:spacing w:after="0" w:line="234" w:lineRule="auto"/>
        <w:ind w:left="860" w:right="540" w:hanging="436"/>
        <w:rPr>
          <w:rFonts w:ascii="Calibri" w:eastAsia="Calibri" w:hAnsi="Calibri" w:cs="Calibri"/>
          <w:color w:val="auto"/>
          <w:sz w:val="12"/>
          <w:szCs w:val="12"/>
        </w:rPr>
      </w:pPr>
      <w:r>
        <w:rPr>
          <w:rFonts w:ascii="Calibri" w:eastAsia="Calibri" w:hAnsi="Calibri" w:cs="Calibri"/>
          <w:color w:val="auto"/>
          <w:sz w:val="12"/>
          <w:szCs w:val="12"/>
        </w:rPr>
        <w:t>such defeasance will not cause the Trustee to have a confictng interest with respect to any of AbbVie’s securites or result in the trust arising from such deposit to consttute, unless it is qualifed as, a regulated investment company under the Investment Company Act of 1940, as amended;</w:t>
      </w:r>
    </w:p>
    <w:p>
      <w:pPr>
        <w:spacing w:after="0" w:line="141" w:lineRule="exact"/>
        <w:rPr>
          <w:rFonts w:ascii="Calibri" w:eastAsia="Calibri" w:hAnsi="Calibri" w:cs="Calibri"/>
          <w:color w:val="auto"/>
          <w:sz w:val="12"/>
          <w:szCs w:val="12"/>
        </w:rPr>
      </w:pPr>
    </w:p>
    <w:p>
      <w:pPr>
        <w:numPr>
          <w:ilvl w:val="0"/>
          <w:numId w:val="58"/>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the defeasance will not result in a breach or violaton of, or consttute a default under, the Indenture or any other agreement or instrument to which AbbVie is a party or by which AbbVie is bound;</w:t>
      </w:r>
    </w:p>
    <w:p>
      <w:pPr>
        <w:spacing w:after="0" w:line="146" w:lineRule="exact"/>
        <w:rPr>
          <w:rFonts w:ascii="Calibri" w:eastAsia="Calibri" w:hAnsi="Calibri" w:cs="Calibri"/>
          <w:color w:val="auto"/>
          <w:sz w:val="12"/>
          <w:szCs w:val="12"/>
        </w:rPr>
      </w:pPr>
    </w:p>
    <w:p>
      <w:pPr>
        <w:numPr>
          <w:ilvl w:val="0"/>
          <w:numId w:val="58"/>
        </w:numPr>
        <w:tabs>
          <w:tab w:val="left" w:pos="855"/>
        </w:tabs>
        <w:spacing w:after="0" w:line="234" w:lineRule="auto"/>
        <w:ind w:left="860" w:right="20" w:hanging="436"/>
        <w:rPr>
          <w:rFonts w:ascii="Calibri" w:eastAsia="Calibri" w:hAnsi="Calibri" w:cs="Calibri"/>
          <w:color w:val="auto"/>
          <w:sz w:val="12"/>
          <w:szCs w:val="12"/>
        </w:rPr>
      </w:pPr>
      <w:r>
        <w:rPr>
          <w:rFonts w:ascii="Calibri" w:eastAsia="Calibri" w:hAnsi="Calibri" w:cs="Calibri"/>
          <w:color w:val="auto"/>
          <w:sz w:val="12"/>
          <w:szCs w:val="12"/>
        </w:rPr>
        <w:t>AbbVie has delivered an opinion of counsel to the efect that the benefcial owners of Notes will not recognize income, gain or loss for federal income tax purposes as a result of the defeasance and will be subject to federal income tax in the same manner as if the defeasance had not occurred, which opinion of counsel, in the case of legal defeasance, must refer to and be based upon a published ruling of the Internal Revenue Service, a private ruling of the Internal Revenue Service addressed to AbbVie, or otherwise a change in applicable federal income tax law occurring afer the date of the Indenture; and</w:t>
      </w:r>
    </w:p>
    <w:p>
      <w:pPr>
        <w:spacing w:after="0" w:line="143" w:lineRule="exact"/>
        <w:rPr>
          <w:rFonts w:ascii="Calibri" w:eastAsia="Calibri" w:hAnsi="Calibri" w:cs="Calibri"/>
          <w:color w:val="auto"/>
          <w:sz w:val="12"/>
          <w:szCs w:val="12"/>
        </w:rPr>
      </w:pPr>
    </w:p>
    <w:p>
      <w:pPr>
        <w:numPr>
          <w:ilvl w:val="0"/>
          <w:numId w:val="58"/>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AbbVie shall have delivered an ofcer’s certfcate and an opinion of counsel statng that the conditons to such defeasance set forth in the Indenture have been complied with.</w:t>
      </w:r>
    </w:p>
    <w:p>
      <w:pPr>
        <w:spacing w:after="0" w:line="146" w:lineRule="exact"/>
        <w:rPr>
          <w:color w:val="auto"/>
          <w:sz w:val="20"/>
          <w:szCs w:val="20"/>
        </w:rPr>
      </w:pPr>
    </w:p>
    <w:p>
      <w:pPr>
        <w:spacing w:after="0" w:line="234" w:lineRule="auto"/>
        <w:ind w:right="20" w:firstLine="432"/>
        <w:rPr>
          <w:color w:val="auto"/>
          <w:sz w:val="20"/>
          <w:szCs w:val="20"/>
        </w:rPr>
      </w:pPr>
      <w:r>
        <w:rPr>
          <w:rFonts w:ascii="Calibri" w:eastAsia="Calibri" w:hAnsi="Calibri" w:cs="Calibri"/>
          <w:color w:val="auto"/>
          <w:sz w:val="12"/>
          <w:szCs w:val="12"/>
        </w:rPr>
        <w:t>If AbbVie fails to comply with its remaining obligatons under the Indenture afer a covenant defeasance with respect to the Notes of any series and the Notes of such series are declared due and payable because of the occurrence of any event of default, the amount of money and euro-denominated government instruments on deposit with the Trustee may be insufcient to pay amounts due on the Notes of that series at the tme of the acceleraton resultng from the event of default. AbbVie will, however, remain liable for those payments.</w:t>
      </w:r>
    </w:p>
    <w:p>
      <w:pPr>
        <w:spacing w:after="0" w:line="143"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Satsfacton and Discharge</w:t>
      </w:r>
    </w:p>
    <w:p>
      <w:pPr>
        <w:spacing w:after="0" w:line="146" w:lineRule="exact"/>
        <w:rPr>
          <w:color w:val="auto"/>
          <w:sz w:val="20"/>
          <w:szCs w:val="20"/>
        </w:rPr>
      </w:pPr>
    </w:p>
    <w:p>
      <w:pPr>
        <w:spacing w:after="0" w:line="234" w:lineRule="auto"/>
        <w:ind w:right="100" w:firstLine="432"/>
        <w:rPr>
          <w:color w:val="auto"/>
          <w:sz w:val="20"/>
          <w:szCs w:val="20"/>
        </w:rPr>
      </w:pPr>
      <w:r>
        <w:rPr>
          <w:rFonts w:ascii="Calibri" w:eastAsia="Calibri" w:hAnsi="Calibri" w:cs="Calibri"/>
          <w:color w:val="auto"/>
          <w:sz w:val="12"/>
          <w:szCs w:val="12"/>
        </w:rPr>
        <w:t>The Indenture will be discharged and will cease to be of further efect (except as to any surviving rights of registraton of transfer or exchange of Notes, as expressly provided for in the Indenture) as to all outstanding Notes of any series when:</w:t>
      </w:r>
    </w:p>
    <w:p>
      <w:pPr>
        <w:spacing w:after="0" w:line="146" w:lineRule="exact"/>
        <w:rPr>
          <w:color w:val="auto"/>
          <w:sz w:val="20"/>
          <w:szCs w:val="20"/>
        </w:rPr>
      </w:pPr>
    </w:p>
    <w:p>
      <w:pPr>
        <w:numPr>
          <w:ilvl w:val="0"/>
          <w:numId w:val="59"/>
        </w:numPr>
        <w:tabs>
          <w:tab w:val="left" w:pos="664"/>
        </w:tabs>
        <w:spacing w:after="0" w:line="235" w:lineRule="auto"/>
        <w:ind w:left="860" w:hanging="436"/>
        <w:rPr>
          <w:rFonts w:ascii="Calibri" w:eastAsia="Calibri" w:hAnsi="Calibri" w:cs="Calibri"/>
          <w:color w:val="auto"/>
          <w:sz w:val="12"/>
          <w:szCs w:val="12"/>
        </w:rPr>
      </w:pPr>
      <w:r>
        <w:rPr>
          <w:rFonts w:ascii="Calibri" w:eastAsia="Calibri" w:hAnsi="Calibri" w:cs="Calibri"/>
          <w:color w:val="auto"/>
          <w:sz w:val="12"/>
          <w:szCs w:val="12"/>
        </w:rPr>
        <w:t>either (a) all the Notes of such series theretofore authentcated and delivered (except lost, stolen or destroyed Notes which have been replaced or paid and Notes for whose payment money has theretofore been deposited in trust or segregated and held in trust by AbbVie and thereafer repaid to it or discharged from such trust) have been delivered to the Trustee for cancellaton or (b) all of the Notes of such series not theretofore delivered to the Trustee for cancellaton (i) have become due and payable, (ii) will become due and payable at their stated maturity within one year or (iii) if redeemable at AbbVie’s opton, are to be called for redempton within one year under arrangements satsfactory to the Trustee for the giving of notce of redempton by the Trustee in the name, and at the expense, of AbbVie, and AbbVie has irrevocably deposited or caused to be deposited with the Trustee funds in an amount sufcient to pay and discharge the entre indebtedness on the Notes of such series not theretofore delivered to the Trustee for cancellaton, for principal of, premium, if any, and interest on the Notes of such series to the date of such deposit (in the case of Notes which have become due and payable), or to their stated maturity or the redempton date, as the case may be (provided that in connecton with any discharge relatng to any redempton that requires the payment of a premium, the amount deposited shall be sufcient for purposes of the Indenture to the extent that an amount is deposited with the Trustee equal to the premium calculated as of the date of the notce of redempton, with any defcit as of the redempton date only required to be deposited with the</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4" w:lineRule="exact"/>
        <w:rPr>
          <w:color w:val="auto"/>
          <w:sz w:val="20"/>
          <w:szCs w:val="20"/>
        </w:rPr>
      </w:pPr>
    </w:p>
    <w:p>
      <w:pPr>
        <w:spacing w:after="0"/>
        <w:ind w:right="-119"/>
        <w:jc w:val="center"/>
        <w:rPr>
          <w:color w:val="auto"/>
          <w:sz w:val="20"/>
          <w:szCs w:val="20"/>
        </w:rPr>
      </w:pPr>
      <w:r>
        <w:rPr>
          <w:rFonts w:ascii="Calibri" w:eastAsia="Calibri" w:hAnsi="Calibri" w:cs="Calibri"/>
          <w:color w:val="auto"/>
          <w:sz w:val="12"/>
          <w:szCs w:val="12"/>
        </w:rPr>
        <w:t>19</w:t>
      </w:r>
    </w:p>
    <w:p>
      <w:pPr>
        <w:sectPr>
          <w:pgSz w:w="11900" w:h="16838" w:orient="portrait"/>
          <w:pgMar w:top="989" w:right="299" w:bottom="1440" w:left="300" w:header="0" w:footer="0" w:gutter="0"/>
          <w:cols w:num="1" w:space="720" w:equalWidth="0">
            <w:col w:w="11300" w:space="0"/>
          </w:cols>
        </w:sectPr>
      </w:pPr>
    </w:p>
    <w:bookmarkStart w:id="135" w:name="page136"/>
    <w:bookmarkEnd w:id="135"/>
    <w:p>
      <w:pPr>
        <w:spacing w:after="0"/>
        <w:ind w:left="860"/>
        <w:rPr>
          <w:color w:val="auto"/>
          <w:sz w:val="20"/>
          <w:szCs w:val="20"/>
        </w:rPr>
      </w:pPr>
      <w:r>
        <w:rPr>
          <w:rFonts w:ascii="Calibri" w:eastAsia="Calibri" w:hAnsi="Calibri" w:cs="Calibri"/>
          <w:color w:val="auto"/>
          <w:sz w:val="12"/>
          <w:szCs w:val="12"/>
        </w:rPr>
        <w:t>Trustee on or prior to the redempton date), together with irrevocable instructons from AbbVie directng the Trustee to apply such funds to the payment thereof at maturity or redempton, as the case may be;</w:t>
      </w:r>
    </w:p>
    <w:p>
      <w:pPr>
        <w:spacing w:after="0" w:line="142" w:lineRule="exact"/>
        <w:rPr>
          <w:color w:val="auto"/>
          <w:sz w:val="20"/>
          <w:szCs w:val="20"/>
        </w:rPr>
      </w:pPr>
    </w:p>
    <w:p>
      <w:pPr>
        <w:numPr>
          <w:ilvl w:val="0"/>
          <w:numId w:val="60"/>
        </w:numPr>
        <w:tabs>
          <w:tab w:val="left" w:pos="660"/>
        </w:tabs>
        <w:spacing w:after="0"/>
        <w:ind w:left="660" w:hanging="236"/>
        <w:rPr>
          <w:rFonts w:ascii="Calibri" w:eastAsia="Calibri" w:hAnsi="Calibri" w:cs="Calibri"/>
          <w:color w:val="auto"/>
          <w:sz w:val="12"/>
          <w:szCs w:val="12"/>
        </w:rPr>
      </w:pPr>
      <w:r>
        <w:rPr>
          <w:rFonts w:ascii="Calibri" w:eastAsia="Calibri" w:hAnsi="Calibri" w:cs="Calibri"/>
          <w:color w:val="auto"/>
          <w:sz w:val="12"/>
          <w:szCs w:val="12"/>
        </w:rPr>
        <w:t>AbbVie has paid or caused to be paid all other sums payable under the Indenture in respect of such series of Notes; and</w:t>
      </w:r>
    </w:p>
    <w:p>
      <w:pPr>
        <w:spacing w:after="0" w:line="146" w:lineRule="exact"/>
        <w:rPr>
          <w:rFonts w:ascii="Calibri" w:eastAsia="Calibri" w:hAnsi="Calibri" w:cs="Calibri"/>
          <w:color w:val="auto"/>
          <w:sz w:val="12"/>
          <w:szCs w:val="12"/>
        </w:rPr>
      </w:pPr>
    </w:p>
    <w:p>
      <w:pPr>
        <w:numPr>
          <w:ilvl w:val="0"/>
          <w:numId w:val="60"/>
        </w:numPr>
        <w:tabs>
          <w:tab w:val="left" w:pos="664"/>
        </w:tabs>
        <w:spacing w:after="0" w:line="234" w:lineRule="auto"/>
        <w:ind w:left="860" w:right="100" w:hanging="436"/>
        <w:rPr>
          <w:rFonts w:ascii="Calibri" w:eastAsia="Calibri" w:hAnsi="Calibri" w:cs="Calibri"/>
          <w:color w:val="auto"/>
          <w:sz w:val="12"/>
          <w:szCs w:val="12"/>
        </w:rPr>
      </w:pPr>
      <w:r>
        <w:rPr>
          <w:rFonts w:ascii="Calibri" w:eastAsia="Calibri" w:hAnsi="Calibri" w:cs="Calibri"/>
          <w:color w:val="auto"/>
          <w:sz w:val="12"/>
          <w:szCs w:val="12"/>
        </w:rPr>
        <w:t>AbbVie has delivered to the Trustee an ofcers’ certfcate and an opinion of counsel, each statng that all conditons precedent under the Indenture relatng to the satsfacton and discharge of the Indenture with respect to such series of Notes have been complied with.</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Governing Law</w:t>
      </w:r>
    </w:p>
    <w:p>
      <w:pPr>
        <w:spacing w:after="0" w:line="142"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The Indenture and the Notes are governed by the laws of the State of New York.</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The Trustee</w:t>
      </w:r>
    </w:p>
    <w:p>
      <w:pPr>
        <w:spacing w:after="0" w:line="146" w:lineRule="exact"/>
        <w:rPr>
          <w:color w:val="auto"/>
          <w:sz w:val="20"/>
          <w:szCs w:val="20"/>
        </w:rPr>
      </w:pPr>
    </w:p>
    <w:p>
      <w:pPr>
        <w:spacing w:after="0" w:line="234" w:lineRule="auto"/>
        <w:ind w:right="220" w:firstLine="432"/>
        <w:rPr>
          <w:color w:val="auto"/>
          <w:sz w:val="20"/>
          <w:szCs w:val="20"/>
        </w:rPr>
      </w:pPr>
      <w:r>
        <w:rPr>
          <w:rFonts w:ascii="Calibri" w:eastAsia="Calibri" w:hAnsi="Calibri" w:cs="Calibri"/>
          <w:color w:val="auto"/>
          <w:sz w:val="12"/>
          <w:szCs w:val="12"/>
        </w:rPr>
        <w:t>U.S. Bank Natonal Associaton is named as the “Trustee” under the Indenture. U.S. Bank Natonal Associaton and its afliates perform certain commercial banking services for some of AbbVie’s afliates for which they receive customary fees.</w:t>
      </w:r>
    </w:p>
    <w:p>
      <w:pPr>
        <w:spacing w:after="0" w:line="146" w:lineRule="exact"/>
        <w:rPr>
          <w:color w:val="auto"/>
          <w:sz w:val="20"/>
          <w:szCs w:val="20"/>
        </w:rPr>
      </w:pPr>
    </w:p>
    <w:p>
      <w:pPr>
        <w:spacing w:after="0" w:line="234" w:lineRule="auto"/>
        <w:ind w:right="300" w:firstLine="432"/>
        <w:rPr>
          <w:color w:val="auto"/>
          <w:sz w:val="20"/>
          <w:szCs w:val="20"/>
        </w:rPr>
      </w:pPr>
      <w:r>
        <w:rPr>
          <w:rFonts w:ascii="Calibri" w:eastAsia="Calibri" w:hAnsi="Calibri" w:cs="Calibri"/>
          <w:color w:val="auto"/>
          <w:sz w:val="12"/>
          <w:szCs w:val="12"/>
        </w:rPr>
        <w:t>The Trustee is obligated to exercise any of its powers under the Indenture at the request or directon of any of the holders of any Notes pursuant to the Indenture only afer those holders have ofered the Trustee reasonable security or indemnity against the costs, expenses and liabilites which might be incurred by the Trustee in compliance with such request or directon.</w:t>
      </w:r>
    </w:p>
    <w:p>
      <w:pPr>
        <w:spacing w:after="0" w:line="146" w:lineRule="exact"/>
        <w:rPr>
          <w:color w:val="auto"/>
          <w:sz w:val="20"/>
          <w:szCs w:val="20"/>
        </w:rPr>
      </w:pPr>
    </w:p>
    <w:p>
      <w:pPr>
        <w:spacing w:after="0" w:line="234" w:lineRule="auto"/>
        <w:ind w:right="200" w:firstLine="432"/>
        <w:rPr>
          <w:color w:val="auto"/>
          <w:sz w:val="20"/>
          <w:szCs w:val="20"/>
        </w:rPr>
      </w:pPr>
      <w:r>
        <w:rPr>
          <w:rFonts w:ascii="Calibri" w:eastAsia="Calibri" w:hAnsi="Calibri" w:cs="Calibri"/>
          <w:color w:val="auto"/>
          <w:sz w:val="12"/>
          <w:szCs w:val="12"/>
        </w:rPr>
        <w:t>In considering the interests of holders of the Notes while any relevant Global Notes are held on behalf of Euroclear and Clearstream, Luxembourg, the Trustee may have regard to any informaton provided to it by such clearing systems as to the identty (either individually or by category) of their accountholders and may consider such interests as if such accountholders were holders of the relevant Global Notes and interests therein.</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Payment and Paying Agents</w:t>
      </w:r>
    </w:p>
    <w:p>
      <w:pPr>
        <w:spacing w:after="0" w:line="146" w:lineRule="exact"/>
        <w:rPr>
          <w:color w:val="auto"/>
          <w:sz w:val="20"/>
          <w:szCs w:val="20"/>
        </w:rPr>
      </w:pPr>
    </w:p>
    <w:p>
      <w:pPr>
        <w:spacing w:after="0" w:line="235" w:lineRule="auto"/>
        <w:ind w:firstLine="432"/>
        <w:rPr>
          <w:color w:val="auto"/>
          <w:sz w:val="20"/>
          <w:szCs w:val="20"/>
        </w:rPr>
      </w:pPr>
      <w:r>
        <w:rPr>
          <w:rFonts w:ascii="Calibri" w:eastAsia="Calibri" w:hAnsi="Calibri" w:cs="Calibri"/>
          <w:color w:val="auto"/>
          <w:sz w:val="12"/>
          <w:szCs w:val="12"/>
        </w:rPr>
        <w:t>AbbVie makes payments on the Notes in euro at the ofce of the Trustee, the London Paying Agent or any paying agent AbbVie designates (which paying agent may include AbbVie). At its opton, AbbVie may make payments of interest by (1) check mailed to the address of the Person enttled thereto as such address shall appear in the security register or (2) wire transfer as directed by the holder of any Note, in immediately available funds to an account maintained by the applicable depository or its nominee with respect to a Global Note, and to the holder of any Note or its nominee with respect to a Defnitve Note; provided further that in the case of a Defnitve Note (x) the holder thereof shall have provided writen wiring instructons to the London Paying Agent on or before the related Record Date and (y) if appropriate instructons for any such wire transfer are not received by the related Record Date, then such payment shall be made by check mailed to the address of such holder specifed in the security register. AbbVie will make interest payments to the holder in whose name the Note is registered at the close of business on the Record Date for the interest payment.</w:t>
      </w:r>
    </w:p>
    <w:p>
      <w:pPr>
        <w:spacing w:after="0" w:line="147" w:lineRule="exact"/>
        <w:rPr>
          <w:color w:val="auto"/>
          <w:sz w:val="20"/>
          <w:szCs w:val="20"/>
        </w:rPr>
      </w:pPr>
    </w:p>
    <w:p>
      <w:pPr>
        <w:spacing w:after="0" w:line="234" w:lineRule="auto"/>
        <w:ind w:right="60" w:firstLine="432"/>
        <w:rPr>
          <w:color w:val="auto"/>
          <w:sz w:val="20"/>
          <w:szCs w:val="20"/>
        </w:rPr>
      </w:pPr>
      <w:r>
        <w:rPr>
          <w:rFonts w:ascii="Calibri" w:eastAsia="Calibri" w:hAnsi="Calibri" w:cs="Calibri"/>
          <w:color w:val="auto"/>
          <w:sz w:val="12"/>
          <w:szCs w:val="12"/>
        </w:rPr>
        <w:t>All payments of any amounts paid to or to the order of the nominee for a common depositary for Euroclear and Clearstream, Luxembourg shall be valid and, to the extent of the sums so paid, efectual to satsfy and discharge the liability of AbbVie for the moneys payable on the Notes.</w:t>
      </w:r>
    </w:p>
    <w:p>
      <w:pPr>
        <w:spacing w:after="0" w:line="146" w:lineRule="exact"/>
        <w:rPr>
          <w:color w:val="auto"/>
          <w:sz w:val="20"/>
          <w:szCs w:val="20"/>
        </w:rPr>
      </w:pPr>
    </w:p>
    <w:p>
      <w:pPr>
        <w:spacing w:after="0" w:line="234" w:lineRule="auto"/>
        <w:ind w:right="180" w:firstLine="432"/>
        <w:rPr>
          <w:color w:val="auto"/>
          <w:sz w:val="20"/>
          <w:szCs w:val="20"/>
        </w:rPr>
      </w:pPr>
      <w:r>
        <w:rPr>
          <w:rFonts w:ascii="Calibri" w:eastAsia="Calibri" w:hAnsi="Calibri" w:cs="Calibri"/>
          <w:color w:val="auto"/>
          <w:sz w:val="12"/>
          <w:szCs w:val="12"/>
        </w:rPr>
        <w:t>AbbVie has designated the London Paying Agent as its paying agent for payments on Notes. AbbVie may at any tme designate additonal paying agents or rescind the designaton of any paying agent or approve a change in the ofce through which any paying agent acts.</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59"/>
        <w:jc w:val="center"/>
        <w:rPr>
          <w:color w:val="auto"/>
          <w:sz w:val="20"/>
          <w:szCs w:val="20"/>
        </w:rPr>
      </w:pPr>
      <w:r>
        <w:rPr>
          <w:rFonts w:ascii="Calibri" w:eastAsia="Calibri" w:hAnsi="Calibri" w:cs="Calibri"/>
          <w:color w:val="auto"/>
          <w:sz w:val="12"/>
          <w:szCs w:val="12"/>
        </w:rPr>
        <w:t>20</w:t>
      </w:r>
    </w:p>
    <w:p>
      <w:pPr>
        <w:sectPr>
          <w:pgSz w:w="11900" w:h="16838" w:orient="portrait"/>
          <w:pgMar w:top="984" w:right="339" w:bottom="1440" w:left="300" w:header="0" w:footer="0" w:gutter="0"/>
          <w:cols w:num="1" w:space="720" w:equalWidth="0">
            <w:col w:w="11260" w:space="0"/>
          </w:cols>
        </w:sectPr>
      </w:pPr>
    </w:p>
    <w:bookmarkStart w:id="136" w:name="page137"/>
    <w:bookmarkEnd w:id="136"/>
    <w:p>
      <w:pPr>
        <w:spacing w:after="0" w:line="234" w:lineRule="auto"/>
        <w:ind w:firstLine="432"/>
        <w:rPr>
          <w:color w:val="auto"/>
          <w:sz w:val="20"/>
          <w:szCs w:val="20"/>
        </w:rPr>
      </w:pPr>
      <w:r>
        <w:rPr>
          <w:rFonts w:ascii="Calibri" w:eastAsia="Calibri" w:hAnsi="Calibri" w:cs="Calibri"/>
          <w:color w:val="auto"/>
          <w:sz w:val="12"/>
          <w:szCs w:val="12"/>
        </w:rPr>
        <w:t>The Trustee or London Paying Agent, as applicable, will repay to AbbVie on AbbVie’s writen request any funds they hold for payments on the Notes that remain unclaimed for two years afer the date upon which that payment has become due. Afer repayment to AbbVie, holders enttled to those funds must look only to it for payment.</w:t>
      </w:r>
    </w:p>
    <w:p>
      <w:pPr>
        <w:spacing w:after="0" w:line="142" w:lineRule="exact"/>
        <w:rPr>
          <w:color w:val="auto"/>
          <w:sz w:val="20"/>
          <w:szCs w:val="20"/>
        </w:rPr>
      </w:pPr>
    </w:p>
    <w:p>
      <w:pPr>
        <w:spacing w:after="0"/>
        <w:rPr>
          <w:color w:val="auto"/>
          <w:sz w:val="20"/>
          <w:szCs w:val="20"/>
        </w:rPr>
      </w:pPr>
      <w:r>
        <w:rPr>
          <w:rFonts w:ascii="Calibri" w:eastAsia="Calibri" w:hAnsi="Calibri" w:cs="Calibri"/>
          <w:b/>
          <w:bCs/>
          <w:color w:val="auto"/>
          <w:sz w:val="12"/>
          <w:szCs w:val="12"/>
        </w:rPr>
        <w:t>Exchange, Registraton and Transfer</w:t>
      </w:r>
    </w:p>
    <w:p>
      <w:pPr>
        <w:spacing w:after="0" w:line="146" w:lineRule="exact"/>
        <w:rPr>
          <w:color w:val="auto"/>
          <w:sz w:val="20"/>
          <w:szCs w:val="20"/>
        </w:rPr>
      </w:pPr>
    </w:p>
    <w:p>
      <w:pPr>
        <w:spacing w:after="0" w:line="234" w:lineRule="auto"/>
        <w:ind w:right="240" w:firstLine="432"/>
        <w:rPr>
          <w:color w:val="auto"/>
          <w:sz w:val="20"/>
          <w:szCs w:val="20"/>
        </w:rPr>
      </w:pPr>
      <w:r>
        <w:rPr>
          <w:rFonts w:ascii="Calibri" w:eastAsia="Calibri" w:hAnsi="Calibri" w:cs="Calibri"/>
          <w:color w:val="auto"/>
          <w:sz w:val="12"/>
          <w:szCs w:val="12"/>
        </w:rPr>
        <w:t>Notes of any series may be exchangeable for other Notes of the same series with the same total principal amount and the same terms but in diferent authorized denominatons in accordance with the Indenture. Holders may present registered Notes for registraton of transfer at the ofce of the security registrar. The security registrar will efect the transfer or exchange when it is satsfed with the documents of ttle and identty of the person making the request.</w:t>
      </w:r>
    </w:p>
    <w:p>
      <w:pPr>
        <w:spacing w:after="0" w:line="148" w:lineRule="exact"/>
        <w:rPr>
          <w:color w:val="auto"/>
          <w:sz w:val="20"/>
          <w:szCs w:val="20"/>
        </w:rPr>
      </w:pPr>
    </w:p>
    <w:p>
      <w:pPr>
        <w:spacing w:after="0" w:line="261" w:lineRule="auto"/>
        <w:ind w:firstLine="432"/>
        <w:rPr>
          <w:color w:val="auto"/>
          <w:sz w:val="20"/>
          <w:szCs w:val="20"/>
        </w:rPr>
      </w:pPr>
      <w:r>
        <w:rPr>
          <w:rFonts w:ascii="Calibri" w:eastAsia="Calibri" w:hAnsi="Calibri" w:cs="Calibri"/>
          <w:color w:val="auto"/>
          <w:sz w:val="11"/>
          <w:szCs w:val="11"/>
        </w:rPr>
        <w:t>AbbVie has appointed the Trustee as security registrar for the 2023 Notes, the June 2024 Notes, the 2027 Notes, the 2.625% November 2028 Notes, the 2029 Notes and the 2031 Notes and the London Paying Agent as the security registrar for the May 2024 Notes and the 2.125% November 2028 Notes. AbbVie may at any tme designate additonal security registrars for any series of Notes or rescind the designaton of any security registrar or approve a change in the locaton through which any security registrar acts. AbbVie is required to maintain an ofce or agency for transfers and exchanges in each place of payment. No service charge will be made for any registraton of transfer or exchange of the Notes, but we or the security registrar may require payment of a sum sufcient to cover any transfer tax, assessments, or similar governmental charge payable in connecton therewith (other than as set forth in the Indenture).</w:t>
      </w:r>
    </w:p>
    <w:p>
      <w:pPr>
        <w:spacing w:after="0" w:line="131" w:lineRule="exact"/>
        <w:rPr>
          <w:color w:val="auto"/>
          <w:sz w:val="20"/>
          <w:szCs w:val="20"/>
        </w:rPr>
      </w:pPr>
    </w:p>
    <w:p>
      <w:pPr>
        <w:spacing w:after="0"/>
        <w:ind w:left="420"/>
        <w:rPr>
          <w:color w:val="auto"/>
          <w:sz w:val="20"/>
          <w:szCs w:val="20"/>
        </w:rPr>
      </w:pPr>
      <w:r>
        <w:rPr>
          <w:rFonts w:ascii="Calibri" w:eastAsia="Calibri" w:hAnsi="Calibri" w:cs="Calibri"/>
          <w:color w:val="auto"/>
          <w:sz w:val="12"/>
          <w:szCs w:val="12"/>
        </w:rPr>
        <w:t>Neither AbbVie nor the security registrar is or will be required to register the transfer of or exchange of any Note:</w:t>
      </w:r>
    </w:p>
    <w:p>
      <w:pPr>
        <w:spacing w:after="0" w:line="146" w:lineRule="exact"/>
        <w:rPr>
          <w:color w:val="auto"/>
          <w:sz w:val="20"/>
          <w:szCs w:val="20"/>
        </w:rPr>
      </w:pPr>
    </w:p>
    <w:p>
      <w:pPr>
        <w:numPr>
          <w:ilvl w:val="0"/>
          <w:numId w:val="61"/>
        </w:numPr>
        <w:tabs>
          <w:tab w:val="left" w:pos="855"/>
        </w:tabs>
        <w:spacing w:after="0" w:line="234" w:lineRule="auto"/>
        <w:ind w:left="860" w:right="80" w:hanging="436"/>
        <w:rPr>
          <w:rFonts w:ascii="Calibri" w:eastAsia="Calibri" w:hAnsi="Calibri" w:cs="Calibri"/>
          <w:color w:val="auto"/>
          <w:sz w:val="12"/>
          <w:szCs w:val="12"/>
        </w:rPr>
      </w:pPr>
      <w:r>
        <w:rPr>
          <w:rFonts w:ascii="Calibri" w:eastAsia="Calibri" w:hAnsi="Calibri" w:cs="Calibri"/>
          <w:color w:val="auto"/>
          <w:sz w:val="12"/>
          <w:szCs w:val="12"/>
        </w:rPr>
        <w:t>during a period beginning at the opening of business 15 days before the day of the mailing of a notce of redempton of Notes of that series selected for redempton and ending at the close of business on the day of such mailing; or</w:t>
      </w:r>
    </w:p>
    <w:p>
      <w:pPr>
        <w:spacing w:after="0" w:line="141" w:lineRule="exact"/>
        <w:rPr>
          <w:rFonts w:ascii="Calibri" w:eastAsia="Calibri" w:hAnsi="Calibri" w:cs="Calibri"/>
          <w:color w:val="auto"/>
          <w:sz w:val="12"/>
          <w:szCs w:val="12"/>
        </w:rPr>
      </w:pPr>
    </w:p>
    <w:p>
      <w:pPr>
        <w:numPr>
          <w:ilvl w:val="0"/>
          <w:numId w:val="61"/>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so selected for redempton in whole or in part, except the unredeemed porton of any Note being redeemed in part.</w:t>
      </w:r>
    </w:p>
    <w:p>
      <w:pPr>
        <w:spacing w:after="0" w:line="200" w:lineRule="exact"/>
        <w:rPr>
          <w:color w:val="auto"/>
          <w:sz w:val="20"/>
          <w:szCs w:val="20"/>
        </w:rPr>
      </w:pPr>
    </w:p>
    <w:p>
      <w:pPr>
        <w:spacing w:after="0" w:line="200" w:lineRule="exact"/>
        <w:rPr>
          <w:color w:val="auto"/>
          <w:sz w:val="20"/>
          <w:szCs w:val="20"/>
        </w:rPr>
      </w:pPr>
    </w:p>
    <w:p>
      <w:pPr>
        <w:spacing w:after="0" w:line="200" w:lineRule="exact"/>
        <w:rPr>
          <w:color w:val="auto"/>
          <w:sz w:val="20"/>
          <w:szCs w:val="20"/>
        </w:rPr>
      </w:pPr>
    </w:p>
    <w:p>
      <w:pPr>
        <w:spacing w:after="0" w:line="262" w:lineRule="exact"/>
        <w:rPr>
          <w:color w:val="auto"/>
          <w:sz w:val="20"/>
          <w:szCs w:val="20"/>
        </w:rPr>
      </w:pPr>
    </w:p>
    <w:p>
      <w:pPr>
        <w:spacing w:after="0"/>
        <w:ind w:right="-139"/>
        <w:jc w:val="center"/>
        <w:rPr>
          <w:color w:val="auto"/>
          <w:sz w:val="20"/>
          <w:szCs w:val="20"/>
        </w:rPr>
      </w:pPr>
      <w:r>
        <w:rPr>
          <w:rFonts w:ascii="Calibri" w:eastAsia="Calibri" w:hAnsi="Calibri" w:cs="Calibri"/>
          <w:color w:val="auto"/>
          <w:sz w:val="12"/>
          <w:szCs w:val="12"/>
        </w:rPr>
        <w:t>21</w:t>
      </w:r>
    </w:p>
    <w:p>
      <w:pPr>
        <w:sectPr>
          <w:pgSz w:w="11900" w:h="16838" w:orient="portrait"/>
          <w:pgMar w:top="989" w:right="319" w:bottom="1440" w:left="300" w:header="0" w:footer="0" w:gutter="0"/>
          <w:cols w:num="1" w:space="720" w:equalWidth="0">
            <w:col w:w="11280" w:space="0"/>
          </w:cols>
        </w:sectPr>
      </w:pPr>
    </w:p>
    <w:bookmarkStart w:id="137" w:name="page138"/>
    <w:bookmarkEnd w:id="137"/>
    <w:p>
      <w:pPr>
        <w:spacing w:after="0"/>
        <w:jc w:val="center"/>
        <w:rPr>
          <w:color w:val="auto"/>
          <w:sz w:val="20"/>
          <w:szCs w:val="20"/>
        </w:rPr>
      </w:pPr>
      <w:r>
        <w:rPr>
          <w:color w:val="auto"/>
          <w:sz w:val="20"/>
          <w:szCs w:val="20"/>
        </w:rPr>
        <w:drawing>
          <wp:anchor simplePos="0" relativeHeight="251976704" behindDoc="1" locked="0" layoutInCell="0" allowOverlap="1">
            <wp:simplePos x="0" y="0"/>
            <wp:positionH relativeFrom="page">
              <wp:posOffset>804545</wp:posOffset>
            </wp:positionH>
            <wp:positionV relativeFrom="page">
              <wp:posOffset>271780</wp:posOffset>
            </wp:positionV>
            <wp:extent cx="6036310" cy="7919085"/>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6310" cy="791908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38" w:name="page139"/>
    <w:bookmarkEnd w:id="138"/>
    <w:p>
      <w:pPr>
        <w:spacing w:after="0"/>
        <w:jc w:val="center"/>
        <w:rPr>
          <w:color w:val="auto"/>
          <w:sz w:val="20"/>
          <w:szCs w:val="20"/>
        </w:rPr>
      </w:pPr>
      <w:r>
        <w:rPr>
          <w:color w:val="auto"/>
          <w:sz w:val="20"/>
          <w:szCs w:val="20"/>
        </w:rPr>
        <w:drawing>
          <wp:anchor simplePos="0" relativeHeight="251977728" behindDoc="1" locked="0" layoutInCell="0" allowOverlap="1">
            <wp:simplePos x="0" y="0"/>
            <wp:positionH relativeFrom="page">
              <wp:posOffset>804545</wp:posOffset>
            </wp:positionH>
            <wp:positionV relativeFrom="page">
              <wp:posOffset>374650</wp:posOffset>
            </wp:positionV>
            <wp:extent cx="6036310" cy="7919085"/>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6310" cy="791908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39" w:name="page140"/>
    <w:bookmarkEnd w:id="139"/>
    <w:p>
      <w:pPr>
        <w:spacing w:after="0"/>
        <w:jc w:val="center"/>
        <w:rPr>
          <w:color w:val="auto"/>
          <w:sz w:val="20"/>
          <w:szCs w:val="20"/>
        </w:rPr>
      </w:pPr>
      <w:r>
        <w:rPr>
          <w:color w:val="auto"/>
          <w:sz w:val="20"/>
          <w:szCs w:val="20"/>
        </w:rPr>
        <w:drawing>
          <wp:anchor simplePos="0" relativeHeight="251978752" behindDoc="1" locked="0" layoutInCell="0" allowOverlap="1">
            <wp:simplePos x="0" y="0"/>
            <wp:positionH relativeFrom="page">
              <wp:posOffset>804545</wp:posOffset>
            </wp:positionH>
            <wp:positionV relativeFrom="page">
              <wp:posOffset>374650</wp:posOffset>
            </wp:positionV>
            <wp:extent cx="6036310" cy="7919085"/>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6310" cy="791908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0" w:name="page141"/>
    <w:bookmarkEnd w:id="140"/>
    <w:p>
      <w:pPr>
        <w:spacing w:after="0"/>
        <w:jc w:val="center"/>
        <w:rPr>
          <w:color w:val="auto"/>
          <w:sz w:val="20"/>
          <w:szCs w:val="20"/>
        </w:rPr>
      </w:pPr>
      <w:r>
        <w:rPr>
          <w:color w:val="auto"/>
          <w:sz w:val="20"/>
          <w:szCs w:val="20"/>
        </w:rPr>
        <w:drawing>
          <wp:anchor simplePos="0" relativeHeight="251979776" behindDoc="1" locked="0" layoutInCell="0" allowOverlap="1">
            <wp:simplePos x="0" y="0"/>
            <wp:positionH relativeFrom="page">
              <wp:posOffset>804545</wp:posOffset>
            </wp:positionH>
            <wp:positionV relativeFrom="page">
              <wp:posOffset>374650</wp:posOffset>
            </wp:positionV>
            <wp:extent cx="6036310" cy="7919085"/>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6310" cy="791908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1" w:name="page142"/>
    <w:bookmarkEnd w:id="141"/>
    <w:p>
      <w:pPr>
        <w:spacing w:after="0"/>
        <w:jc w:val="center"/>
        <w:rPr>
          <w:color w:val="auto"/>
          <w:sz w:val="20"/>
          <w:szCs w:val="20"/>
        </w:rPr>
      </w:pPr>
      <w:r>
        <w:rPr>
          <w:color w:val="auto"/>
          <w:sz w:val="20"/>
          <w:szCs w:val="20"/>
        </w:rPr>
        <w:drawing>
          <wp:anchor simplePos="0" relativeHeight="251980800" behindDoc="1" locked="0" layoutInCell="0" allowOverlap="1">
            <wp:simplePos x="0" y="0"/>
            <wp:positionH relativeFrom="page">
              <wp:posOffset>804545</wp:posOffset>
            </wp:positionH>
            <wp:positionV relativeFrom="page">
              <wp:posOffset>374650</wp:posOffset>
            </wp:positionV>
            <wp:extent cx="6036310" cy="7919085"/>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6310" cy="791908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2" w:name="page143"/>
    <w:bookmarkEnd w:id="142"/>
    <w:p>
      <w:pPr>
        <w:spacing w:after="0"/>
        <w:jc w:val="center"/>
        <w:rPr>
          <w:color w:val="auto"/>
          <w:sz w:val="20"/>
          <w:szCs w:val="20"/>
        </w:rPr>
      </w:pPr>
      <w:r>
        <w:rPr>
          <w:color w:val="auto"/>
          <w:sz w:val="20"/>
          <w:szCs w:val="20"/>
        </w:rPr>
        <w:drawing>
          <wp:anchor simplePos="0" relativeHeight="251981824" behindDoc="1" locked="0" layoutInCell="0" allowOverlap="1">
            <wp:simplePos x="0" y="0"/>
            <wp:positionH relativeFrom="page">
              <wp:posOffset>804545</wp:posOffset>
            </wp:positionH>
            <wp:positionV relativeFrom="page">
              <wp:posOffset>374650</wp:posOffset>
            </wp:positionV>
            <wp:extent cx="6036310" cy="7919085"/>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pic:cNvPicPr>
                      <a:picLocks noChangeAspect="1" noChangeArrowheads="1"/>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6310" cy="791908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3" w:name="page144"/>
    <w:bookmarkEnd w:id="143"/>
    <w:p>
      <w:pPr>
        <w:spacing w:after="0"/>
        <w:jc w:val="center"/>
        <w:rPr>
          <w:color w:val="auto"/>
          <w:sz w:val="20"/>
          <w:szCs w:val="20"/>
        </w:rPr>
      </w:pPr>
    </w:p>
    <w:p>
      <w:pPr>
        <w:sectPr>
          <w:pgSz w:w="11900" w:h="16838" w:orient="portrait"/>
          <w:pgMar w:top="1440" w:right="1440" w:bottom="875" w:left="1440" w:header="0" w:footer="0" w:gutter="0"/>
          <w:cols w:num="1" w:space="0" w:equalWidth="1"/>
        </w:sectPr>
      </w:pPr>
    </w:p>
    <w:bookmarkStart w:id="144" w:name="page145"/>
    <w:bookmarkEnd w:id="144"/>
    <w:p>
      <w:pPr>
        <w:spacing w:after="0"/>
        <w:jc w:val="center"/>
        <w:rPr>
          <w:color w:val="auto"/>
          <w:sz w:val="20"/>
          <w:szCs w:val="20"/>
        </w:rPr>
      </w:pPr>
      <w:r>
        <w:rPr>
          <w:color w:val="auto"/>
          <w:sz w:val="20"/>
          <w:szCs w:val="20"/>
        </w:rPr>
        <w:drawing>
          <wp:anchor simplePos="0" relativeHeight="251982848" behindDoc="1" locked="0" layoutInCell="0" allowOverlap="1">
            <wp:simplePos x="0" y="0"/>
            <wp:positionH relativeFrom="page">
              <wp:posOffset>273050</wp:posOffset>
            </wp:positionH>
            <wp:positionV relativeFrom="page">
              <wp:posOffset>271780</wp:posOffset>
            </wp:positionV>
            <wp:extent cx="7130415" cy="3644265"/>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pic:cNvPicPr>
                      <a:picLocks noChangeAspect="1" noChangeArrowheads="1"/>
                    </pic:cNvPicPr>
                  </pic:nvPicPr>
                  <pic:blipFill>
                    <a:blip xmlns:r="http://schemas.openxmlformats.org/officeDocument/2006/relationships" r:embed="rId20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5" w:name="page146"/>
    <w:bookmarkEnd w:id="145"/>
    <w:p>
      <w:pPr>
        <w:spacing w:after="0"/>
        <w:jc w:val="center"/>
        <w:rPr>
          <w:color w:val="auto"/>
          <w:sz w:val="20"/>
          <w:szCs w:val="20"/>
        </w:rPr>
      </w:pPr>
      <w:r>
        <w:rPr>
          <w:color w:val="auto"/>
          <w:sz w:val="20"/>
          <w:szCs w:val="20"/>
        </w:rPr>
        <w:drawing>
          <wp:anchor simplePos="0" relativeHeight="251983872" behindDoc="1" locked="0" layoutInCell="0" allowOverlap="1">
            <wp:simplePos x="0" y="0"/>
            <wp:positionH relativeFrom="page">
              <wp:posOffset>273050</wp:posOffset>
            </wp:positionH>
            <wp:positionV relativeFrom="page">
              <wp:posOffset>374650</wp:posOffset>
            </wp:positionV>
            <wp:extent cx="7130415" cy="3644265"/>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pic:cNvPicPr>
                      <a:picLocks noChangeAspect="1" noChangeArrowheads="1"/>
                    </pic:cNvPicPr>
                  </pic:nvPicPr>
                  <pic:blipFill>
                    <a:blip xmlns:r="http://schemas.openxmlformats.org/officeDocument/2006/relationships" r:embed="rId210">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6" w:name="page147"/>
    <w:bookmarkEnd w:id="146"/>
    <w:p>
      <w:pPr>
        <w:spacing w:after="0"/>
        <w:jc w:val="center"/>
        <w:rPr>
          <w:color w:val="auto"/>
          <w:sz w:val="20"/>
          <w:szCs w:val="20"/>
        </w:rPr>
      </w:pPr>
      <w:r>
        <w:rPr>
          <w:color w:val="auto"/>
          <w:sz w:val="20"/>
          <w:szCs w:val="20"/>
        </w:rPr>
        <w:drawing>
          <wp:anchor simplePos="0" relativeHeight="251984896" behindDoc="1" locked="0" layoutInCell="0" allowOverlap="1">
            <wp:simplePos x="0" y="0"/>
            <wp:positionH relativeFrom="page">
              <wp:posOffset>273050</wp:posOffset>
            </wp:positionH>
            <wp:positionV relativeFrom="page">
              <wp:posOffset>374650</wp:posOffset>
            </wp:positionV>
            <wp:extent cx="7130415" cy="3644265"/>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pic:cNvPicPr>
                      <a:picLocks noChangeAspect="1" noChangeArrowheads="1"/>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7" w:name="page148"/>
    <w:bookmarkEnd w:id="147"/>
    <w:p>
      <w:pPr>
        <w:spacing w:after="0"/>
        <w:jc w:val="center"/>
        <w:rPr>
          <w:color w:val="auto"/>
          <w:sz w:val="20"/>
          <w:szCs w:val="20"/>
        </w:rPr>
      </w:pPr>
      <w:r>
        <w:rPr>
          <w:color w:val="auto"/>
          <w:sz w:val="20"/>
          <w:szCs w:val="20"/>
        </w:rPr>
        <w:drawing>
          <wp:anchor simplePos="0" relativeHeight="251985920" behindDoc="1" locked="0" layoutInCell="0" allowOverlap="1">
            <wp:simplePos x="0" y="0"/>
            <wp:positionH relativeFrom="page">
              <wp:posOffset>273050</wp:posOffset>
            </wp:positionH>
            <wp:positionV relativeFrom="page">
              <wp:posOffset>374650</wp:posOffset>
            </wp:positionV>
            <wp:extent cx="7130415" cy="3644265"/>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pic:cNvPicPr>
                      <a:picLocks noChangeAspect="1" noChangeArrowheads="1"/>
                    </pic:cNvPicPr>
                  </pic:nvPicPr>
                  <pic:blipFill>
                    <a:blip xmlns:r="http://schemas.openxmlformats.org/officeDocument/2006/relationships" r:embed="rId212">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8" w:name="page149"/>
    <w:bookmarkEnd w:id="148"/>
    <w:p>
      <w:pPr>
        <w:spacing w:after="0"/>
        <w:jc w:val="center"/>
        <w:rPr>
          <w:color w:val="auto"/>
          <w:sz w:val="20"/>
          <w:szCs w:val="20"/>
        </w:rPr>
      </w:pPr>
      <w:r>
        <w:rPr>
          <w:color w:val="auto"/>
          <w:sz w:val="20"/>
          <w:szCs w:val="20"/>
        </w:rPr>
        <w:drawing>
          <wp:anchor simplePos="0" relativeHeight="251986944" behindDoc="1" locked="0" layoutInCell="0" allowOverlap="1">
            <wp:simplePos x="0" y="0"/>
            <wp:positionH relativeFrom="page">
              <wp:posOffset>273050</wp:posOffset>
            </wp:positionH>
            <wp:positionV relativeFrom="page">
              <wp:posOffset>374650</wp:posOffset>
            </wp:positionV>
            <wp:extent cx="7130415" cy="3644265"/>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363"/>
                    <pic:cNvPicPr>
                      <a:picLocks noChangeAspect="1" noChangeArrowheads="1"/>
                    </pic:cNvPicPr>
                  </pic:nvPicPr>
                  <pic:blipFill>
                    <a:blip xmlns:r="http://schemas.openxmlformats.org/officeDocument/2006/relationships" r:embed="rId2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49" w:name="page150"/>
    <w:bookmarkEnd w:id="149"/>
    <w:p>
      <w:pPr>
        <w:spacing w:after="0"/>
        <w:jc w:val="center"/>
        <w:rPr>
          <w:color w:val="auto"/>
          <w:sz w:val="20"/>
          <w:szCs w:val="20"/>
        </w:rPr>
      </w:pPr>
      <w:r>
        <w:rPr>
          <w:color w:val="auto"/>
          <w:sz w:val="20"/>
          <w:szCs w:val="20"/>
        </w:rPr>
        <w:drawing>
          <wp:anchor simplePos="0" relativeHeight="251987968" behindDoc="1" locked="0" layoutInCell="0" allowOverlap="1">
            <wp:simplePos x="0" y="0"/>
            <wp:positionH relativeFrom="page">
              <wp:posOffset>273050</wp:posOffset>
            </wp:positionH>
            <wp:positionV relativeFrom="page">
              <wp:posOffset>374650</wp:posOffset>
            </wp:positionV>
            <wp:extent cx="7130415" cy="3644265"/>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pic:cNvPicPr>
                      <a:picLocks noChangeAspect="1" noChangeArrowheads="1"/>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0" w:name="page151"/>
    <w:bookmarkEnd w:id="150"/>
    <w:p>
      <w:pPr>
        <w:spacing w:after="0"/>
        <w:jc w:val="center"/>
        <w:rPr>
          <w:color w:val="auto"/>
          <w:sz w:val="20"/>
          <w:szCs w:val="20"/>
        </w:rPr>
      </w:pPr>
      <w:r>
        <w:rPr>
          <w:color w:val="auto"/>
          <w:sz w:val="20"/>
          <w:szCs w:val="20"/>
        </w:rPr>
        <w:drawing>
          <wp:anchor simplePos="0" relativeHeight="251988992" behindDoc="1" locked="0" layoutInCell="0" allowOverlap="1">
            <wp:simplePos x="0" y="0"/>
            <wp:positionH relativeFrom="page">
              <wp:posOffset>273050</wp:posOffset>
            </wp:positionH>
            <wp:positionV relativeFrom="page">
              <wp:posOffset>374650</wp:posOffset>
            </wp:positionV>
            <wp:extent cx="7130415" cy="3644265"/>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65"/>
                    <pic:cNvPicPr>
                      <a:picLocks noChangeAspect="1" noChangeArrowheads="1"/>
                    </pic:cNvPicPr>
                  </pic:nvPicPr>
                  <pic:blipFill>
                    <a:blip xmlns:r="http://schemas.openxmlformats.org/officeDocument/2006/relationships" r:embed="rId215">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1" w:name="page152"/>
    <w:bookmarkEnd w:id="151"/>
    <w:p>
      <w:pPr>
        <w:spacing w:after="0"/>
        <w:jc w:val="center"/>
        <w:rPr>
          <w:color w:val="auto"/>
          <w:sz w:val="20"/>
          <w:szCs w:val="20"/>
        </w:rPr>
      </w:pPr>
      <w:r>
        <w:rPr>
          <w:color w:val="auto"/>
          <w:sz w:val="20"/>
          <w:szCs w:val="20"/>
        </w:rPr>
        <w:drawing>
          <wp:anchor simplePos="0" relativeHeight="251990016" behindDoc="1" locked="0" layoutInCell="0" allowOverlap="1">
            <wp:simplePos x="0" y="0"/>
            <wp:positionH relativeFrom="page">
              <wp:posOffset>273050</wp:posOffset>
            </wp:positionH>
            <wp:positionV relativeFrom="page">
              <wp:posOffset>374650</wp:posOffset>
            </wp:positionV>
            <wp:extent cx="7130415" cy="3644265"/>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pic:cNvPicPr>
                      <a:picLocks noChangeAspect="1" noChangeArrowheads="1"/>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2" w:name="page153"/>
    <w:bookmarkEnd w:id="152"/>
    <w:p>
      <w:pPr>
        <w:spacing w:after="0"/>
        <w:jc w:val="center"/>
        <w:rPr>
          <w:color w:val="auto"/>
          <w:sz w:val="20"/>
          <w:szCs w:val="20"/>
        </w:rPr>
      </w:pPr>
      <w:r>
        <w:rPr>
          <w:color w:val="auto"/>
          <w:sz w:val="20"/>
          <w:szCs w:val="20"/>
        </w:rPr>
        <w:drawing>
          <wp:anchor simplePos="0" relativeHeight="251991040" behindDoc="1" locked="0" layoutInCell="0" allowOverlap="1">
            <wp:simplePos x="0" y="0"/>
            <wp:positionH relativeFrom="page">
              <wp:posOffset>273050</wp:posOffset>
            </wp:positionH>
            <wp:positionV relativeFrom="page">
              <wp:posOffset>374650</wp:posOffset>
            </wp:positionV>
            <wp:extent cx="7130415" cy="3644265"/>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3" w:name="page154"/>
    <w:bookmarkEnd w:id="153"/>
    <w:p>
      <w:pPr>
        <w:spacing w:after="0"/>
        <w:jc w:val="center"/>
        <w:rPr>
          <w:color w:val="auto"/>
          <w:sz w:val="20"/>
          <w:szCs w:val="20"/>
        </w:rPr>
      </w:pPr>
      <w:r>
        <w:rPr>
          <w:color w:val="auto"/>
          <w:sz w:val="20"/>
          <w:szCs w:val="20"/>
        </w:rPr>
        <w:drawing>
          <wp:anchor simplePos="0" relativeHeight="251992064" behindDoc="1" locked="0" layoutInCell="0" allowOverlap="1">
            <wp:simplePos x="0" y="0"/>
            <wp:positionH relativeFrom="page">
              <wp:posOffset>273050</wp:posOffset>
            </wp:positionH>
            <wp:positionV relativeFrom="page">
              <wp:posOffset>374650</wp:posOffset>
            </wp:positionV>
            <wp:extent cx="7130415" cy="3644265"/>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4" w:name="page155"/>
    <w:bookmarkEnd w:id="154"/>
    <w:p>
      <w:pPr>
        <w:spacing w:after="0"/>
        <w:jc w:val="center"/>
        <w:rPr>
          <w:color w:val="auto"/>
          <w:sz w:val="20"/>
          <w:szCs w:val="20"/>
        </w:rPr>
      </w:pPr>
      <w:r>
        <w:rPr>
          <w:color w:val="auto"/>
          <w:sz w:val="20"/>
          <w:szCs w:val="20"/>
        </w:rPr>
        <w:drawing>
          <wp:anchor simplePos="0" relativeHeight="251993088" behindDoc="1" locked="0" layoutInCell="0" allowOverlap="1">
            <wp:simplePos x="0" y="0"/>
            <wp:positionH relativeFrom="page">
              <wp:posOffset>273050</wp:posOffset>
            </wp:positionH>
            <wp:positionV relativeFrom="page">
              <wp:posOffset>374650</wp:posOffset>
            </wp:positionV>
            <wp:extent cx="7130415" cy="3644265"/>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5" w:name="page156"/>
    <w:bookmarkEnd w:id="155"/>
    <w:p>
      <w:pPr>
        <w:spacing w:after="0"/>
        <w:jc w:val="center"/>
        <w:rPr>
          <w:color w:val="auto"/>
          <w:sz w:val="20"/>
          <w:szCs w:val="20"/>
        </w:rPr>
      </w:pPr>
      <w:r>
        <w:rPr>
          <w:color w:val="auto"/>
          <w:sz w:val="20"/>
          <w:szCs w:val="20"/>
        </w:rPr>
        <w:drawing>
          <wp:anchor simplePos="0" relativeHeight="251994112" behindDoc="1" locked="0" layoutInCell="0" allowOverlap="1">
            <wp:simplePos x="0" y="0"/>
            <wp:positionH relativeFrom="page">
              <wp:posOffset>273050</wp:posOffset>
            </wp:positionH>
            <wp:positionV relativeFrom="page">
              <wp:posOffset>374650</wp:posOffset>
            </wp:positionV>
            <wp:extent cx="7130415" cy="3644265"/>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6" w:name="page157"/>
    <w:bookmarkEnd w:id="156"/>
    <w:p>
      <w:pPr>
        <w:spacing w:after="0"/>
        <w:jc w:val="center"/>
        <w:rPr>
          <w:color w:val="auto"/>
          <w:sz w:val="20"/>
          <w:szCs w:val="20"/>
        </w:rPr>
      </w:pPr>
      <w:r>
        <w:rPr>
          <w:color w:val="auto"/>
          <w:sz w:val="20"/>
          <w:szCs w:val="20"/>
        </w:rPr>
        <w:drawing>
          <wp:anchor simplePos="0" relativeHeight="251995136" behindDoc="1" locked="0" layoutInCell="0" allowOverlap="1">
            <wp:simplePos x="0" y="0"/>
            <wp:positionH relativeFrom="page">
              <wp:posOffset>273050</wp:posOffset>
            </wp:positionH>
            <wp:positionV relativeFrom="page">
              <wp:posOffset>374650</wp:posOffset>
            </wp:positionV>
            <wp:extent cx="7130415" cy="3644265"/>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7" w:name="page158"/>
    <w:bookmarkEnd w:id="157"/>
    <w:p>
      <w:pPr>
        <w:spacing w:after="0"/>
        <w:jc w:val="center"/>
        <w:rPr>
          <w:color w:val="auto"/>
          <w:sz w:val="20"/>
          <w:szCs w:val="20"/>
        </w:rPr>
      </w:pPr>
      <w:r>
        <w:rPr>
          <w:color w:val="auto"/>
          <w:sz w:val="20"/>
          <w:szCs w:val="20"/>
        </w:rPr>
        <w:drawing>
          <wp:anchor simplePos="0" relativeHeight="251996160" behindDoc="1" locked="0" layoutInCell="0" allowOverlap="1">
            <wp:simplePos x="0" y="0"/>
            <wp:positionH relativeFrom="page">
              <wp:posOffset>273050</wp:posOffset>
            </wp:positionH>
            <wp:positionV relativeFrom="page">
              <wp:posOffset>374650</wp:posOffset>
            </wp:positionV>
            <wp:extent cx="7130415" cy="3644265"/>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8" w:name="page159"/>
    <w:bookmarkEnd w:id="158"/>
    <w:p>
      <w:pPr>
        <w:spacing w:after="0"/>
        <w:jc w:val="center"/>
        <w:rPr>
          <w:color w:val="auto"/>
          <w:sz w:val="20"/>
          <w:szCs w:val="20"/>
        </w:rPr>
      </w:pPr>
      <w:r>
        <w:rPr>
          <w:color w:val="auto"/>
          <w:sz w:val="20"/>
          <w:szCs w:val="20"/>
        </w:rPr>
        <w:drawing>
          <wp:anchor simplePos="0" relativeHeight="251997184" behindDoc="1" locked="0" layoutInCell="0" allowOverlap="1">
            <wp:simplePos x="0" y="0"/>
            <wp:positionH relativeFrom="page">
              <wp:posOffset>273050</wp:posOffset>
            </wp:positionH>
            <wp:positionV relativeFrom="page">
              <wp:posOffset>374650</wp:posOffset>
            </wp:positionV>
            <wp:extent cx="7130415" cy="3644265"/>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pic:cNvPicPr>
                      <a:picLocks noChangeAspect="1" noChangeArrowheads="1"/>
                    </pic:cNvPicPr>
                  </pic:nvPicPr>
                  <pic:blipFill>
                    <a:blip xmlns:r="http://schemas.openxmlformats.org/officeDocument/2006/relationships" r:embed="rId223">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59" w:name="page160"/>
    <w:bookmarkEnd w:id="159"/>
    <w:p>
      <w:pPr>
        <w:spacing w:after="0"/>
        <w:jc w:val="center"/>
        <w:rPr>
          <w:color w:val="auto"/>
          <w:sz w:val="20"/>
          <w:szCs w:val="20"/>
        </w:rPr>
      </w:pPr>
      <w:r>
        <w:rPr>
          <w:color w:val="auto"/>
          <w:sz w:val="20"/>
          <w:szCs w:val="20"/>
        </w:rPr>
        <w:drawing>
          <wp:anchor simplePos="0" relativeHeight="251998208" behindDoc="1" locked="0" layoutInCell="0" allowOverlap="1">
            <wp:simplePos x="0" y="0"/>
            <wp:positionH relativeFrom="page">
              <wp:posOffset>273050</wp:posOffset>
            </wp:positionH>
            <wp:positionV relativeFrom="page">
              <wp:posOffset>374650</wp:posOffset>
            </wp:positionV>
            <wp:extent cx="7130415" cy="3644265"/>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0" w:name="page161"/>
    <w:bookmarkEnd w:id="160"/>
    <w:p>
      <w:pPr>
        <w:spacing w:after="0"/>
        <w:jc w:val="center"/>
        <w:rPr>
          <w:color w:val="auto"/>
          <w:sz w:val="20"/>
          <w:szCs w:val="20"/>
        </w:rPr>
      </w:pPr>
      <w:r>
        <w:rPr>
          <w:color w:val="auto"/>
          <w:sz w:val="20"/>
          <w:szCs w:val="20"/>
        </w:rPr>
        <w:drawing>
          <wp:anchor simplePos="0" relativeHeight="251999232" behindDoc="1" locked="0" layoutInCell="0" allowOverlap="1">
            <wp:simplePos x="0" y="0"/>
            <wp:positionH relativeFrom="page">
              <wp:posOffset>273050</wp:posOffset>
            </wp:positionH>
            <wp:positionV relativeFrom="page">
              <wp:posOffset>374650</wp:posOffset>
            </wp:positionV>
            <wp:extent cx="7130415" cy="3644265"/>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pic:cNvPicPr>
                      <a:picLocks noChangeAspect="1" noChangeArrowheads="1"/>
                    </pic:cNvPicPr>
                  </pic:nvPicPr>
                  <pic:blipFill>
                    <a:blip xmlns:r="http://schemas.openxmlformats.org/officeDocument/2006/relationships" r:embed="rId225">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1" w:name="page162"/>
    <w:bookmarkEnd w:id="161"/>
    <w:p>
      <w:pPr>
        <w:spacing w:after="0"/>
        <w:jc w:val="center"/>
        <w:rPr>
          <w:color w:val="auto"/>
          <w:sz w:val="20"/>
          <w:szCs w:val="20"/>
        </w:rPr>
      </w:pPr>
      <w:r>
        <w:rPr>
          <w:color w:val="auto"/>
          <w:sz w:val="20"/>
          <w:szCs w:val="20"/>
        </w:rPr>
        <w:drawing>
          <wp:anchor simplePos="0" relativeHeight="252000256" behindDoc="1" locked="0" layoutInCell="0" allowOverlap="1">
            <wp:simplePos x="0" y="0"/>
            <wp:positionH relativeFrom="page">
              <wp:posOffset>273050</wp:posOffset>
            </wp:positionH>
            <wp:positionV relativeFrom="page">
              <wp:posOffset>374650</wp:posOffset>
            </wp:positionV>
            <wp:extent cx="7130415" cy="3644265"/>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pic:cNvPicPr>
                      <a:picLocks noChangeAspect="1" noChangeArrowheads="1"/>
                    </pic:cNvPicPr>
                  </pic:nvPicPr>
                  <pic:blipFill>
                    <a:blip xmlns:r="http://schemas.openxmlformats.org/officeDocument/2006/relationships" r:embed="rId226">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2" w:name="page163"/>
    <w:bookmarkEnd w:id="162"/>
    <w:p>
      <w:pPr>
        <w:spacing w:after="0"/>
        <w:jc w:val="center"/>
        <w:rPr>
          <w:color w:val="auto"/>
          <w:sz w:val="20"/>
          <w:szCs w:val="20"/>
        </w:rPr>
      </w:pPr>
      <w:r>
        <w:rPr>
          <w:color w:val="auto"/>
          <w:sz w:val="20"/>
          <w:szCs w:val="20"/>
        </w:rPr>
        <w:drawing>
          <wp:anchor simplePos="0" relativeHeight="252001280" behindDoc="1" locked="0" layoutInCell="0" allowOverlap="1">
            <wp:simplePos x="0" y="0"/>
            <wp:positionH relativeFrom="page">
              <wp:posOffset>273050</wp:posOffset>
            </wp:positionH>
            <wp:positionV relativeFrom="page">
              <wp:posOffset>374650</wp:posOffset>
            </wp:positionV>
            <wp:extent cx="7130415" cy="3644265"/>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pic:cNvPicPr>
                      <a:picLocks noChangeAspect="1" noChangeArrowheads="1"/>
                    </pic:cNvPicPr>
                  </pic:nvPicPr>
                  <pic:blipFill>
                    <a:blip xmlns:r="http://schemas.openxmlformats.org/officeDocument/2006/relationships" r:embed="rId227">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3" w:name="page164"/>
    <w:bookmarkEnd w:id="163"/>
    <w:p>
      <w:pPr>
        <w:spacing w:after="0"/>
        <w:jc w:val="center"/>
        <w:rPr>
          <w:color w:val="auto"/>
          <w:sz w:val="20"/>
          <w:szCs w:val="20"/>
        </w:rPr>
      </w:pPr>
      <w:r>
        <w:rPr>
          <w:color w:val="auto"/>
          <w:sz w:val="20"/>
          <w:szCs w:val="20"/>
        </w:rPr>
        <w:drawing>
          <wp:anchor simplePos="0" relativeHeight="252002304" behindDoc="1" locked="0" layoutInCell="0" allowOverlap="1">
            <wp:simplePos x="0" y="0"/>
            <wp:positionH relativeFrom="page">
              <wp:posOffset>273050</wp:posOffset>
            </wp:positionH>
            <wp:positionV relativeFrom="page">
              <wp:posOffset>374650</wp:posOffset>
            </wp:positionV>
            <wp:extent cx="7130415" cy="3644265"/>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pic:cNvPicPr>
                      <a:picLocks noChangeAspect="1" noChangeArrowheads="1"/>
                    </pic:cNvPicPr>
                  </pic:nvPicPr>
                  <pic:blipFill>
                    <a:blip xmlns:r="http://schemas.openxmlformats.org/officeDocument/2006/relationships" r:embed="rId228">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4" w:name="page165"/>
    <w:bookmarkEnd w:id="164"/>
    <w:p>
      <w:pPr>
        <w:spacing w:after="0"/>
        <w:jc w:val="center"/>
        <w:rPr>
          <w:color w:val="auto"/>
          <w:sz w:val="20"/>
          <w:szCs w:val="20"/>
        </w:rPr>
      </w:pPr>
      <w:r>
        <w:rPr>
          <w:color w:val="auto"/>
          <w:sz w:val="20"/>
          <w:szCs w:val="20"/>
        </w:rPr>
        <w:drawing>
          <wp:anchor simplePos="0" relativeHeight="252003328" behindDoc="1" locked="0" layoutInCell="0" allowOverlap="1">
            <wp:simplePos x="0" y="0"/>
            <wp:positionH relativeFrom="page">
              <wp:posOffset>273050</wp:posOffset>
            </wp:positionH>
            <wp:positionV relativeFrom="page">
              <wp:posOffset>374650</wp:posOffset>
            </wp:positionV>
            <wp:extent cx="7130415" cy="3644265"/>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pic:cNvPicPr>
                      <a:picLocks noChangeAspect="1" noChangeArrowheads="1"/>
                    </pic:cNvPicPr>
                  </pic:nvPicPr>
                  <pic:blipFill>
                    <a:blip xmlns:r="http://schemas.openxmlformats.org/officeDocument/2006/relationships" r:embed="rId229">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5" w:name="page166"/>
    <w:bookmarkEnd w:id="165"/>
    <w:p>
      <w:pPr>
        <w:spacing w:after="0"/>
        <w:jc w:val="center"/>
        <w:rPr>
          <w:color w:val="auto"/>
          <w:sz w:val="20"/>
          <w:szCs w:val="20"/>
        </w:rPr>
      </w:pPr>
      <w:r>
        <w:rPr>
          <w:color w:val="auto"/>
          <w:sz w:val="20"/>
          <w:szCs w:val="20"/>
        </w:rPr>
        <w:drawing>
          <wp:anchor simplePos="0" relativeHeight="252004352" behindDoc="1" locked="0" layoutInCell="0" allowOverlap="1">
            <wp:simplePos x="0" y="0"/>
            <wp:positionH relativeFrom="page">
              <wp:posOffset>273050</wp:posOffset>
            </wp:positionH>
            <wp:positionV relativeFrom="page">
              <wp:posOffset>374650</wp:posOffset>
            </wp:positionV>
            <wp:extent cx="7130415" cy="3644265"/>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pic:cNvPicPr>
                      <a:picLocks noChangeAspect="1" noChangeArrowheads="1"/>
                    </pic:cNvPicPr>
                  </pic:nvPicPr>
                  <pic:blipFill>
                    <a:blip xmlns:r="http://schemas.openxmlformats.org/officeDocument/2006/relationships" r:embed="rId230">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6" w:name="page167"/>
    <w:bookmarkEnd w:id="166"/>
    <w:p>
      <w:pPr>
        <w:spacing w:after="0"/>
        <w:jc w:val="center"/>
        <w:rPr>
          <w:color w:val="auto"/>
          <w:sz w:val="20"/>
          <w:szCs w:val="20"/>
        </w:rPr>
      </w:pPr>
      <w:r>
        <w:rPr>
          <w:color w:val="auto"/>
          <w:sz w:val="20"/>
          <w:szCs w:val="20"/>
        </w:rPr>
        <w:drawing>
          <wp:anchor simplePos="0" relativeHeight="252005376" behindDoc="1" locked="0" layoutInCell="0" allowOverlap="1">
            <wp:simplePos x="0" y="0"/>
            <wp:positionH relativeFrom="page">
              <wp:posOffset>273050</wp:posOffset>
            </wp:positionH>
            <wp:positionV relativeFrom="page">
              <wp:posOffset>374650</wp:posOffset>
            </wp:positionV>
            <wp:extent cx="7130415" cy="3644265"/>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pic:cNvPicPr>
                      <a:picLocks noChangeAspect="1" noChangeArrowheads="1"/>
                    </pic:cNvPicPr>
                  </pic:nvPicPr>
                  <pic:blipFill>
                    <a:blip xmlns:r="http://schemas.openxmlformats.org/officeDocument/2006/relationships" r:embed="rId231">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7" w:name="page168"/>
    <w:bookmarkEnd w:id="167"/>
    <w:p>
      <w:pPr>
        <w:spacing w:after="0"/>
        <w:jc w:val="center"/>
        <w:rPr>
          <w:color w:val="auto"/>
          <w:sz w:val="20"/>
          <w:szCs w:val="20"/>
        </w:rPr>
      </w:pPr>
      <w:r>
        <w:rPr>
          <w:color w:val="auto"/>
          <w:sz w:val="20"/>
          <w:szCs w:val="20"/>
        </w:rPr>
        <w:drawing>
          <wp:anchor simplePos="0" relativeHeight="252006400" behindDoc="1" locked="0" layoutInCell="0" allowOverlap="1">
            <wp:simplePos x="0" y="0"/>
            <wp:positionH relativeFrom="page">
              <wp:posOffset>273050</wp:posOffset>
            </wp:positionH>
            <wp:positionV relativeFrom="page">
              <wp:posOffset>374650</wp:posOffset>
            </wp:positionV>
            <wp:extent cx="7130415" cy="3644265"/>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pic:cNvPicPr>
                      <a:picLocks noChangeAspect="1" noChangeArrowheads="1"/>
                    </pic:cNvPicPr>
                  </pic:nvPicPr>
                  <pic:blipFill>
                    <a:blip xmlns:r="http://schemas.openxmlformats.org/officeDocument/2006/relationships" r:embed="rId232">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8" w:name="page169"/>
    <w:bookmarkEnd w:id="168"/>
    <w:p>
      <w:pPr>
        <w:spacing w:after="0"/>
        <w:jc w:val="center"/>
        <w:rPr>
          <w:color w:val="auto"/>
          <w:sz w:val="20"/>
          <w:szCs w:val="20"/>
        </w:rPr>
      </w:pPr>
      <w:r>
        <w:rPr>
          <w:color w:val="auto"/>
          <w:sz w:val="20"/>
          <w:szCs w:val="20"/>
        </w:rPr>
        <w:drawing>
          <wp:anchor simplePos="0" relativeHeight="252007424" behindDoc="1" locked="0" layoutInCell="0" allowOverlap="1">
            <wp:simplePos x="0" y="0"/>
            <wp:positionH relativeFrom="page">
              <wp:posOffset>273050</wp:posOffset>
            </wp:positionH>
            <wp:positionV relativeFrom="page">
              <wp:posOffset>374650</wp:posOffset>
            </wp:positionV>
            <wp:extent cx="7130415" cy="3644265"/>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pic:cNvPicPr>
                      <a:picLocks noChangeAspect="1" noChangeArrowheads="1"/>
                    </pic:cNvPicPr>
                  </pic:nvPicPr>
                  <pic:blipFill>
                    <a:blip xmlns:r="http://schemas.openxmlformats.org/officeDocument/2006/relationships" r:embed="rId233">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69" w:name="page170"/>
    <w:bookmarkEnd w:id="169"/>
    <w:p>
      <w:pPr>
        <w:spacing w:after="0"/>
        <w:jc w:val="center"/>
        <w:rPr>
          <w:color w:val="auto"/>
          <w:sz w:val="20"/>
          <w:szCs w:val="20"/>
        </w:rPr>
      </w:pPr>
      <w:r>
        <w:rPr>
          <w:color w:val="auto"/>
          <w:sz w:val="20"/>
          <w:szCs w:val="20"/>
        </w:rPr>
        <w:drawing>
          <wp:anchor simplePos="0" relativeHeight="252008448" behindDoc="1" locked="0" layoutInCell="0" allowOverlap="1">
            <wp:simplePos x="0" y="0"/>
            <wp:positionH relativeFrom="page">
              <wp:posOffset>273050</wp:posOffset>
            </wp:positionH>
            <wp:positionV relativeFrom="page">
              <wp:posOffset>374650</wp:posOffset>
            </wp:positionV>
            <wp:extent cx="7130415" cy="3644265"/>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pic:cNvPicPr>
                      <a:picLocks noChangeAspect="1" noChangeArrowheads="1"/>
                    </pic:cNvPicPr>
                  </pic:nvPicPr>
                  <pic:blipFill>
                    <a:blip xmlns:r="http://schemas.openxmlformats.org/officeDocument/2006/relationships" r:embed="rId234">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70" w:name="page171"/>
    <w:bookmarkEnd w:id="170"/>
    <w:p>
      <w:pPr>
        <w:spacing w:after="0"/>
        <w:jc w:val="center"/>
        <w:rPr>
          <w:color w:val="auto"/>
          <w:sz w:val="20"/>
          <w:szCs w:val="20"/>
        </w:rPr>
      </w:pPr>
      <w:r>
        <w:rPr>
          <w:color w:val="auto"/>
          <w:sz w:val="20"/>
          <w:szCs w:val="20"/>
        </w:rPr>
        <w:drawing>
          <wp:anchor simplePos="0" relativeHeight="252009472" behindDoc="1" locked="0" layoutInCell="0" allowOverlap="1">
            <wp:simplePos x="0" y="0"/>
            <wp:positionH relativeFrom="page">
              <wp:posOffset>273050</wp:posOffset>
            </wp:positionH>
            <wp:positionV relativeFrom="page">
              <wp:posOffset>374650</wp:posOffset>
            </wp:positionV>
            <wp:extent cx="7130415" cy="3644265"/>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pic:cNvPicPr>
                      <a:picLocks noChangeAspect="1" noChangeArrowheads="1"/>
                    </pic:cNvPicPr>
                  </pic:nvPicPr>
                  <pic:blipFill>
                    <a:blip xmlns:r="http://schemas.openxmlformats.org/officeDocument/2006/relationships" r:embed="rId235">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71" w:name="page172"/>
    <w:bookmarkEnd w:id="171"/>
    <w:p>
      <w:pPr>
        <w:spacing w:after="0"/>
        <w:jc w:val="center"/>
        <w:rPr>
          <w:color w:val="auto"/>
          <w:sz w:val="20"/>
          <w:szCs w:val="20"/>
        </w:rPr>
      </w:pPr>
      <w:r>
        <w:rPr>
          <w:color w:val="auto"/>
          <w:sz w:val="20"/>
          <w:szCs w:val="20"/>
        </w:rPr>
        <w:drawing>
          <wp:anchor simplePos="0" relativeHeight="252010496" behindDoc="1" locked="0" layoutInCell="0" allowOverlap="1">
            <wp:simplePos x="0" y="0"/>
            <wp:positionH relativeFrom="page">
              <wp:posOffset>273050</wp:posOffset>
            </wp:positionH>
            <wp:positionV relativeFrom="page">
              <wp:posOffset>374650</wp:posOffset>
            </wp:positionV>
            <wp:extent cx="7130415" cy="3644265"/>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pic:cNvPicPr>
                      <a:picLocks noChangeAspect="1" noChangeArrowheads="1"/>
                    </pic:cNvPicPr>
                  </pic:nvPicPr>
                  <pic:blipFill>
                    <a:blip xmlns:r="http://schemas.openxmlformats.org/officeDocument/2006/relationships" r:embed="rId236">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72" w:name="page173"/>
    <w:bookmarkEnd w:id="172"/>
    <w:p>
      <w:pPr>
        <w:spacing w:after="0"/>
        <w:jc w:val="center"/>
        <w:rPr>
          <w:color w:val="auto"/>
          <w:sz w:val="20"/>
          <w:szCs w:val="20"/>
        </w:rPr>
      </w:pPr>
      <w:r>
        <w:rPr>
          <w:color w:val="auto"/>
          <w:sz w:val="20"/>
          <w:szCs w:val="20"/>
        </w:rPr>
        <w:drawing>
          <wp:anchor simplePos="0" relativeHeight="252011520" behindDoc="1" locked="0" layoutInCell="0" allowOverlap="1">
            <wp:simplePos x="0" y="0"/>
            <wp:positionH relativeFrom="page">
              <wp:posOffset>273050</wp:posOffset>
            </wp:positionH>
            <wp:positionV relativeFrom="page">
              <wp:posOffset>374650</wp:posOffset>
            </wp:positionV>
            <wp:extent cx="7130415" cy="3644265"/>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icture 387"/>
                    <pic:cNvPicPr>
                      <a:picLocks noChangeAspect="1" noChangeArrowheads="1"/>
                    </pic:cNvPicPr>
                  </pic:nvPicPr>
                  <pic:blipFill>
                    <a:blip xmlns:r="http://schemas.openxmlformats.org/officeDocument/2006/relationships" r:embed="rId237">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0415" cy="3644265"/>
                    </a:xfrm>
                    <a:prstGeom prst="rect">
                      <a:avLst/>
                    </a:prstGeom>
                    <a:noFill/>
                  </pic:spPr>
                </pic:pic>
              </a:graphicData>
            </a:graphic>
          </wp:anchor>
        </w:drawing>
      </w:r>
    </w:p>
    <w:p>
      <w:pPr>
        <w:sectPr>
          <w:pgSz w:w="11900" w:h="16838" w:orient="portrait"/>
          <w:pgMar w:top="1440" w:right="1440" w:bottom="875" w:left="1440" w:header="0" w:footer="0" w:gutter="0"/>
          <w:cols w:num="1" w:space="0" w:equalWidth="1"/>
        </w:sectPr>
      </w:pPr>
    </w:p>
    <w:bookmarkStart w:id="173" w:name="page174"/>
    <w:bookmarkEnd w:id="173"/>
    <w:p>
      <w:pPr>
        <w:spacing w:after="0"/>
        <w:jc w:val="center"/>
        <w:rPr>
          <w:color w:val="auto"/>
          <w:sz w:val="20"/>
          <w:szCs w:val="20"/>
        </w:rPr>
      </w:pPr>
    </w:p>
    <w:p>
      <w:pPr>
        <w:sectPr>
          <w:pgSz w:w="11900" w:h="16838" w:orient="portrait"/>
          <w:pgMar w:top="1440" w:right="1440" w:bottom="875" w:left="1440" w:header="0" w:footer="0" w:gutter="0"/>
          <w:cols w:num="1" w:space="0" w:equalWidth="1"/>
        </w:sectPr>
      </w:pPr>
    </w:p>
    <w:bookmarkStart w:id="174" w:name="page175"/>
    <w:bookmarkEnd w:id="174"/>
    <w:p>
      <w:pPr>
        <w:spacing w:after="0"/>
        <w:jc w:val="right"/>
        <w:rPr>
          <w:color w:val="auto"/>
          <w:sz w:val="20"/>
          <w:szCs w:val="20"/>
        </w:rPr>
      </w:pPr>
      <w:r>
        <w:rPr>
          <w:rFonts w:ascii="Calibri" w:eastAsia="Calibri" w:hAnsi="Calibri" w:cs="Calibri"/>
          <w:b/>
          <w:bCs/>
          <w:color w:val="auto"/>
          <w:sz w:val="12"/>
          <w:szCs w:val="12"/>
        </w:rPr>
        <w:t>Exhibit 23</w:t>
      </w:r>
    </w:p>
    <w:p>
      <w:pPr>
        <w:spacing w:after="0" w:line="200" w:lineRule="exact"/>
        <w:rPr>
          <w:color w:val="auto"/>
          <w:sz w:val="20"/>
          <w:szCs w:val="20"/>
        </w:rPr>
      </w:pPr>
    </w:p>
    <w:p>
      <w:pPr>
        <w:spacing w:after="0" w:line="200" w:lineRule="exact"/>
        <w:rPr>
          <w:color w:val="auto"/>
          <w:sz w:val="20"/>
          <w:szCs w:val="20"/>
        </w:rPr>
      </w:pPr>
    </w:p>
    <w:p>
      <w:pPr>
        <w:spacing w:after="0" w:line="363" w:lineRule="exact"/>
        <w:rPr>
          <w:color w:val="auto"/>
          <w:sz w:val="20"/>
          <w:szCs w:val="20"/>
        </w:rPr>
      </w:pPr>
    </w:p>
    <w:p>
      <w:pPr>
        <w:spacing w:after="0"/>
        <w:jc w:val="center"/>
        <w:rPr>
          <w:color w:val="auto"/>
          <w:sz w:val="20"/>
          <w:szCs w:val="20"/>
        </w:rPr>
      </w:pPr>
      <w:r>
        <w:rPr>
          <w:rFonts w:ascii="Calibri" w:eastAsia="Calibri" w:hAnsi="Calibri" w:cs="Calibri"/>
          <w:b/>
          <w:bCs/>
          <w:color w:val="auto"/>
          <w:sz w:val="12"/>
          <w:szCs w:val="12"/>
        </w:rPr>
        <w:t>Consent of Independent Registered Public Accountng Firm</w:t>
      </w:r>
    </w:p>
    <w:p>
      <w:pPr>
        <w:spacing w:after="0" w:line="97" w:lineRule="exact"/>
        <w:rPr>
          <w:color w:val="auto"/>
          <w:sz w:val="20"/>
          <w:szCs w:val="20"/>
        </w:rPr>
      </w:pPr>
    </w:p>
    <w:p>
      <w:pPr>
        <w:spacing w:after="0"/>
        <w:rPr>
          <w:color w:val="auto"/>
          <w:sz w:val="20"/>
          <w:szCs w:val="20"/>
        </w:rPr>
      </w:pPr>
      <w:r>
        <w:rPr>
          <w:rFonts w:ascii="Calibri" w:eastAsia="Calibri" w:hAnsi="Calibri" w:cs="Calibri"/>
          <w:color w:val="auto"/>
          <w:sz w:val="12"/>
          <w:szCs w:val="12"/>
        </w:rPr>
        <w:t>We consent to the incorporaton by reference in the following Registraton Statements:</w:t>
      </w:r>
    </w:p>
    <w:p>
      <w:pPr>
        <w:spacing w:after="0" w:line="124" w:lineRule="exact"/>
        <w:rPr>
          <w:color w:val="auto"/>
          <w:sz w:val="20"/>
          <w:szCs w:val="20"/>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Statements (Form S-8 No. 333-185561, Form S-3 No. 333-207422, and Form S-8 No. 333-222107) pertaining to the AbbVie 2013 Incentve Stock Program,</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S-8 No. 333-185562) pertaining to the AbbVie 2013 Employee Stock Purchase Plan for Non-U.S. Employees,</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Statements (Form S-8 No. 333-185563 and Form S-8 No. 333-222105) pertaining to the AbbVie Deferred Compensaton Plan,</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S-8 No. 333-185564 and Form S-8 No. 333-282982) pertaining to the AbbVie Savings Program,</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S-8 No. 333-204466) pertaining to the Pharmacyclics, Inc. 2014 Equity Incentve Award Plan,</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S-8 No. 333-212067) pertaining to the Stemcentrx 2011 Equity Incentve Plan,</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S-3 No. 333-238302) pertaining to common stock of AbbVie Inc.,</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S-8 No. 333-256045) pertaining to the AbbVie Amended and Restated 2013 Incentve Stock Program,</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S-8 No. 333-268192 and Form S-8 No. 333-282981) pertaining to the AbbVie Deferred Compensaton Plan and the AbbVie Deferred Compensaton Plan Plus,</w:t>
      </w:r>
    </w:p>
    <w:p>
      <w:pPr>
        <w:spacing w:after="0" w:line="74" w:lineRule="exact"/>
        <w:rPr>
          <w:rFonts w:ascii="Calibri" w:eastAsia="Calibri" w:hAnsi="Calibri" w:cs="Calibri"/>
          <w:color w:val="auto"/>
          <w:sz w:val="12"/>
          <w:szCs w:val="12"/>
        </w:rPr>
      </w:pPr>
    </w:p>
    <w:p>
      <w:pPr>
        <w:numPr>
          <w:ilvl w:val="0"/>
          <w:numId w:val="62"/>
        </w:numPr>
        <w:tabs>
          <w:tab w:val="left" w:pos="372"/>
        </w:tabs>
        <w:spacing w:after="0" w:line="234" w:lineRule="auto"/>
        <w:ind w:left="380" w:right="14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S-8 No. 333-277293) pertaining to the ImmunoGen, Inc. Amended and Restated 2018 Employee, Director and Consultant Equity Incentve Plan and the ImmunoGen, Inc. Inducement Equity Incentve Plan, As Amended,</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S-8 No. 333-281545) pertaining to the Cerevel Therapeutcs Holdings, Inc. 2020 Equity Incentve Plan, and</w:t>
      </w:r>
    </w:p>
    <w:p>
      <w:pPr>
        <w:spacing w:after="0" w:line="69" w:lineRule="exact"/>
        <w:rPr>
          <w:rFonts w:ascii="Calibri" w:eastAsia="Calibri" w:hAnsi="Calibri" w:cs="Calibri"/>
          <w:color w:val="auto"/>
          <w:sz w:val="12"/>
          <w:szCs w:val="12"/>
        </w:rPr>
      </w:pPr>
    </w:p>
    <w:p>
      <w:pPr>
        <w:numPr>
          <w:ilvl w:val="0"/>
          <w:numId w:val="62"/>
        </w:numPr>
        <w:tabs>
          <w:tab w:val="left" w:pos="380"/>
        </w:tabs>
        <w:spacing w:after="0"/>
        <w:ind w:left="380" w:hanging="215"/>
        <w:rPr>
          <w:rFonts w:ascii="Calibri" w:eastAsia="Calibri" w:hAnsi="Calibri" w:cs="Calibri"/>
          <w:color w:val="auto"/>
          <w:sz w:val="12"/>
          <w:szCs w:val="12"/>
        </w:rPr>
      </w:pPr>
      <w:r>
        <w:rPr>
          <w:rFonts w:ascii="Calibri" w:eastAsia="Calibri" w:hAnsi="Calibri" w:cs="Calibri"/>
          <w:color w:val="auto"/>
          <w:sz w:val="12"/>
          <w:szCs w:val="12"/>
        </w:rPr>
        <w:t>Registraton Statement (Form S-3 No. 333-262908) pertaining to debt securites of AbbVie Inc.;</w:t>
      </w:r>
    </w:p>
    <w:p>
      <w:pPr>
        <w:spacing w:after="0" w:line="83" w:lineRule="exact"/>
        <w:rPr>
          <w:color w:val="auto"/>
          <w:sz w:val="20"/>
          <w:szCs w:val="20"/>
        </w:rPr>
      </w:pPr>
    </w:p>
    <w:p>
      <w:pPr>
        <w:spacing w:after="0" w:line="243" w:lineRule="auto"/>
        <w:ind w:right="140"/>
        <w:rPr>
          <w:color w:val="auto"/>
          <w:sz w:val="20"/>
          <w:szCs w:val="20"/>
        </w:rPr>
      </w:pPr>
      <w:r>
        <w:rPr>
          <w:rFonts w:ascii="Calibri" w:eastAsia="Calibri" w:hAnsi="Calibri" w:cs="Calibri"/>
          <w:color w:val="auto"/>
          <w:sz w:val="12"/>
          <w:szCs w:val="12"/>
        </w:rPr>
        <w:t>of our reports dated February 14, 2025, with respect to the consolidated fnancial statements of AbbVie Inc. and subsidiaries and the efectveness of internal control over fnancial reportng of AbbVie Inc. and subsidiaries included in this Annual Report (Form 10-K) of AbbVie Inc. and subsidiaries for the year ended December 31, 2024.</w:t>
      </w:r>
    </w:p>
    <w:p>
      <w:pPr>
        <w:spacing w:after="0" w:line="158" w:lineRule="exact"/>
        <w:rPr>
          <w:color w:val="auto"/>
          <w:sz w:val="20"/>
          <w:szCs w:val="20"/>
        </w:rPr>
      </w:pPr>
    </w:p>
    <w:p>
      <w:pPr>
        <w:spacing w:after="0"/>
        <w:rPr>
          <w:color w:val="auto"/>
          <w:sz w:val="20"/>
          <w:szCs w:val="20"/>
        </w:rPr>
      </w:pPr>
      <w:r>
        <w:rPr>
          <w:rFonts w:ascii="Calibri" w:eastAsia="Calibri" w:hAnsi="Calibri" w:cs="Calibri"/>
          <w:color w:val="auto"/>
          <w:sz w:val="12"/>
          <w:szCs w:val="12"/>
        </w:rPr>
        <w:t>/s/ Ernst &amp; Young LLP</w:t>
      </w:r>
    </w:p>
    <w:p>
      <w:pPr>
        <w:spacing w:after="0" w:line="133" w:lineRule="exact"/>
        <w:rPr>
          <w:color w:val="auto"/>
          <w:sz w:val="20"/>
          <w:szCs w:val="20"/>
        </w:rPr>
      </w:pPr>
    </w:p>
    <w:p>
      <w:pPr>
        <w:spacing w:after="0"/>
        <w:rPr>
          <w:color w:val="auto"/>
          <w:sz w:val="20"/>
          <w:szCs w:val="20"/>
        </w:rPr>
      </w:pPr>
      <w:r>
        <w:rPr>
          <w:rFonts w:ascii="Calibri" w:eastAsia="Calibri" w:hAnsi="Calibri" w:cs="Calibri"/>
          <w:color w:val="auto"/>
          <w:sz w:val="12"/>
          <w:szCs w:val="12"/>
        </w:rPr>
        <w:t>Chicago, Illinois</w:t>
      </w:r>
    </w:p>
    <w:p>
      <w:pPr>
        <w:spacing w:after="0" w:line="133" w:lineRule="exact"/>
        <w:rPr>
          <w:color w:val="auto"/>
          <w:sz w:val="20"/>
          <w:szCs w:val="20"/>
        </w:rPr>
      </w:pPr>
    </w:p>
    <w:p>
      <w:pPr>
        <w:spacing w:after="0"/>
        <w:rPr>
          <w:color w:val="auto"/>
          <w:sz w:val="20"/>
          <w:szCs w:val="20"/>
        </w:rPr>
      </w:pPr>
      <w:r>
        <w:rPr>
          <w:rFonts w:ascii="Calibri" w:eastAsia="Calibri" w:hAnsi="Calibri" w:cs="Calibri"/>
          <w:color w:val="auto"/>
          <w:sz w:val="12"/>
          <w:szCs w:val="12"/>
        </w:rPr>
        <w:t>February 14, 2025</w:t>
      </w:r>
    </w:p>
    <w:p>
      <w:pPr>
        <w:sectPr>
          <w:pgSz w:w="11900" w:h="16838" w:orient="portrait"/>
          <w:pgMar w:top="120" w:right="299" w:bottom="1440" w:left="300" w:header="0" w:footer="0" w:gutter="0"/>
          <w:cols w:num="1" w:space="720" w:equalWidth="0">
            <w:col w:w="11300" w:space="0"/>
          </w:cols>
        </w:sectPr>
      </w:pPr>
    </w:p>
    <w:bookmarkStart w:id="175" w:name="page176"/>
    <w:bookmarkEnd w:id="175"/>
    <w:p>
      <w:pPr>
        <w:spacing w:after="0"/>
        <w:jc w:val="right"/>
        <w:rPr>
          <w:color w:val="auto"/>
          <w:sz w:val="20"/>
          <w:szCs w:val="20"/>
        </w:rPr>
      </w:pPr>
      <w:r>
        <w:rPr>
          <w:rFonts w:ascii="Calibri" w:eastAsia="Calibri" w:hAnsi="Calibri" w:cs="Calibri"/>
          <w:b/>
          <w:bCs/>
          <w:color w:val="auto"/>
          <w:sz w:val="12"/>
          <w:szCs w:val="12"/>
        </w:rPr>
        <w:t>Exhibit 31.1</w:t>
      </w:r>
    </w:p>
    <w:p>
      <w:pPr>
        <w:spacing w:after="0" w:line="200" w:lineRule="exact"/>
        <w:rPr>
          <w:color w:val="auto"/>
          <w:sz w:val="20"/>
          <w:szCs w:val="20"/>
        </w:rPr>
      </w:pPr>
    </w:p>
    <w:p>
      <w:pPr>
        <w:spacing w:after="0" w:line="200" w:lineRule="exact"/>
        <w:rPr>
          <w:color w:val="auto"/>
          <w:sz w:val="20"/>
          <w:szCs w:val="20"/>
        </w:rPr>
      </w:pPr>
    </w:p>
    <w:p>
      <w:pPr>
        <w:spacing w:after="0" w:line="291" w:lineRule="exact"/>
        <w:rPr>
          <w:color w:val="auto"/>
          <w:sz w:val="20"/>
          <w:szCs w:val="20"/>
        </w:rPr>
      </w:pPr>
    </w:p>
    <w:p>
      <w:pPr>
        <w:spacing w:after="0"/>
        <w:ind w:right="-7"/>
        <w:jc w:val="center"/>
        <w:rPr>
          <w:color w:val="auto"/>
          <w:sz w:val="20"/>
          <w:szCs w:val="20"/>
        </w:rPr>
      </w:pPr>
      <w:r>
        <w:rPr>
          <w:rFonts w:ascii="Calibri" w:eastAsia="Calibri" w:hAnsi="Calibri" w:cs="Calibri"/>
          <w:b/>
          <w:bCs/>
          <w:color w:val="auto"/>
          <w:sz w:val="12"/>
          <w:szCs w:val="12"/>
        </w:rPr>
        <w:t>Certfcaton of Chief Executve Ofcer</w:t>
      </w:r>
    </w:p>
    <w:p>
      <w:pPr>
        <w:spacing w:after="0" w:line="235" w:lineRule="auto"/>
        <w:ind w:right="-7"/>
        <w:jc w:val="center"/>
        <w:rPr>
          <w:color w:val="auto"/>
          <w:sz w:val="20"/>
          <w:szCs w:val="20"/>
        </w:rPr>
      </w:pPr>
      <w:r>
        <w:rPr>
          <w:rFonts w:ascii="Calibri" w:eastAsia="Calibri" w:hAnsi="Calibri" w:cs="Calibri"/>
          <w:b/>
          <w:bCs/>
          <w:color w:val="auto"/>
          <w:sz w:val="12"/>
          <w:szCs w:val="12"/>
        </w:rPr>
        <w:t>Required by Rule 13a-14(a) (17 CFR 240.13a-14(a))</w:t>
      </w:r>
    </w:p>
    <w:p>
      <w:pPr>
        <w:spacing w:after="0" w:line="160" w:lineRule="exact"/>
        <w:rPr>
          <w:color w:val="auto"/>
          <w:sz w:val="20"/>
          <w:szCs w:val="20"/>
        </w:rPr>
      </w:pPr>
    </w:p>
    <w:p>
      <w:pPr>
        <w:spacing w:after="0"/>
        <w:ind w:left="8"/>
        <w:rPr>
          <w:color w:val="auto"/>
          <w:sz w:val="20"/>
          <w:szCs w:val="20"/>
        </w:rPr>
      </w:pPr>
      <w:r>
        <w:rPr>
          <w:rFonts w:ascii="Calibri" w:eastAsia="Calibri" w:hAnsi="Calibri" w:cs="Calibri"/>
          <w:color w:val="auto"/>
          <w:sz w:val="12"/>
          <w:szCs w:val="12"/>
        </w:rPr>
        <w:t>I, Robert A. Michael, certfy that:</w:t>
      </w:r>
    </w:p>
    <w:p>
      <w:pPr>
        <w:spacing w:after="0" w:line="160" w:lineRule="exact"/>
        <w:rPr>
          <w:color w:val="auto"/>
          <w:sz w:val="20"/>
          <w:szCs w:val="20"/>
        </w:rPr>
      </w:pPr>
    </w:p>
    <w:p>
      <w:pPr>
        <w:numPr>
          <w:ilvl w:val="0"/>
          <w:numId w:val="63"/>
        </w:numPr>
        <w:tabs>
          <w:tab w:val="left" w:pos="428"/>
        </w:tabs>
        <w:spacing w:after="0"/>
        <w:ind w:left="428" w:hanging="428"/>
        <w:rPr>
          <w:rFonts w:ascii="Calibri" w:eastAsia="Calibri" w:hAnsi="Calibri" w:cs="Calibri"/>
          <w:color w:val="auto"/>
          <w:sz w:val="12"/>
          <w:szCs w:val="12"/>
        </w:rPr>
      </w:pPr>
      <w:r>
        <w:rPr>
          <w:rFonts w:ascii="Calibri" w:eastAsia="Calibri" w:hAnsi="Calibri" w:cs="Calibri"/>
          <w:color w:val="auto"/>
          <w:sz w:val="12"/>
          <w:szCs w:val="12"/>
        </w:rPr>
        <w:t>I have reviewed this annual report on Form 10-K of AbbVie Inc.;</w:t>
      </w:r>
    </w:p>
    <w:p>
      <w:pPr>
        <w:spacing w:after="0" w:line="164" w:lineRule="exact"/>
        <w:rPr>
          <w:rFonts w:ascii="Calibri" w:eastAsia="Calibri" w:hAnsi="Calibri" w:cs="Calibri"/>
          <w:color w:val="auto"/>
          <w:sz w:val="12"/>
          <w:szCs w:val="12"/>
        </w:rPr>
      </w:pPr>
    </w:p>
    <w:p>
      <w:pPr>
        <w:numPr>
          <w:ilvl w:val="0"/>
          <w:numId w:val="63"/>
        </w:numPr>
        <w:tabs>
          <w:tab w:val="left" w:pos="418"/>
        </w:tabs>
        <w:spacing w:after="0" w:line="234" w:lineRule="auto"/>
        <w:ind w:left="428" w:right="240" w:hanging="428"/>
        <w:rPr>
          <w:rFonts w:ascii="Calibri" w:eastAsia="Calibri" w:hAnsi="Calibri" w:cs="Calibri"/>
          <w:color w:val="auto"/>
          <w:sz w:val="12"/>
          <w:szCs w:val="12"/>
        </w:rPr>
      </w:pPr>
      <w:r>
        <w:rPr>
          <w:rFonts w:ascii="Calibri" w:eastAsia="Calibri" w:hAnsi="Calibri" w:cs="Calibri"/>
          <w:color w:val="auto"/>
          <w:sz w:val="12"/>
          <w:szCs w:val="12"/>
        </w:rPr>
        <w:t>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w:t>
      </w:r>
    </w:p>
    <w:p>
      <w:pPr>
        <w:spacing w:after="0" w:line="164" w:lineRule="exact"/>
        <w:rPr>
          <w:rFonts w:ascii="Calibri" w:eastAsia="Calibri" w:hAnsi="Calibri" w:cs="Calibri"/>
          <w:color w:val="auto"/>
          <w:sz w:val="12"/>
          <w:szCs w:val="12"/>
        </w:rPr>
      </w:pPr>
    </w:p>
    <w:p>
      <w:pPr>
        <w:numPr>
          <w:ilvl w:val="0"/>
          <w:numId w:val="63"/>
        </w:numPr>
        <w:tabs>
          <w:tab w:val="left" w:pos="418"/>
        </w:tabs>
        <w:spacing w:after="0" w:line="234" w:lineRule="auto"/>
        <w:ind w:left="428" w:right="160" w:hanging="428"/>
        <w:rPr>
          <w:rFonts w:ascii="Calibri" w:eastAsia="Calibri" w:hAnsi="Calibri" w:cs="Calibri"/>
          <w:color w:val="auto"/>
          <w:sz w:val="12"/>
          <w:szCs w:val="12"/>
        </w:rPr>
      </w:pPr>
      <w:r>
        <w:rPr>
          <w:rFonts w:ascii="Calibri" w:eastAsia="Calibri" w:hAnsi="Calibri" w:cs="Calibri"/>
          <w:color w:val="auto"/>
          <w:sz w:val="12"/>
          <w:szCs w:val="12"/>
        </w:rPr>
        <w:t>Based on my knowledge, the fnancial statements, and other fnancial informaton included in this report, fairly present in all material respects the fnancial conditon, results of operatons and cash fows of AbbVie as of, and for, the periods presented in this report;</w:t>
      </w:r>
    </w:p>
    <w:p>
      <w:pPr>
        <w:spacing w:after="0" w:line="164" w:lineRule="exact"/>
        <w:rPr>
          <w:rFonts w:ascii="Calibri" w:eastAsia="Calibri" w:hAnsi="Calibri" w:cs="Calibri"/>
          <w:color w:val="auto"/>
          <w:sz w:val="12"/>
          <w:szCs w:val="12"/>
        </w:rPr>
      </w:pPr>
    </w:p>
    <w:p>
      <w:pPr>
        <w:numPr>
          <w:ilvl w:val="0"/>
          <w:numId w:val="63"/>
        </w:numPr>
        <w:tabs>
          <w:tab w:val="left" w:pos="418"/>
        </w:tabs>
        <w:spacing w:after="0" w:line="234" w:lineRule="auto"/>
        <w:ind w:left="428" w:right="60" w:hanging="428"/>
        <w:rPr>
          <w:rFonts w:ascii="Calibri" w:eastAsia="Calibri" w:hAnsi="Calibri" w:cs="Calibri"/>
          <w:color w:val="auto"/>
          <w:sz w:val="12"/>
          <w:szCs w:val="12"/>
        </w:rPr>
      </w:pPr>
      <w:r>
        <w:rPr>
          <w:rFonts w:ascii="Calibri" w:eastAsia="Calibri" w:hAnsi="Calibri" w:cs="Calibri"/>
          <w:color w:val="auto"/>
          <w:sz w:val="12"/>
          <w:szCs w:val="12"/>
        </w:rPr>
        <w:t>AbbVie’s other certfying ofcer and I are responsible for establishing and maintaining disclosure controls and procedures (as defned in Exchange Act Rules 13a-15(e) and 15d-15(e)) and internal control over fnancial reportng (as defned in Exchange Act Rules 13a-15(f) and 15d-15(f)) for AbbVie and have:</w:t>
      </w:r>
    </w:p>
    <w:p>
      <w:pPr>
        <w:spacing w:after="0" w:line="164" w:lineRule="exact"/>
        <w:rPr>
          <w:rFonts w:ascii="Calibri" w:eastAsia="Calibri" w:hAnsi="Calibri" w:cs="Calibri"/>
          <w:color w:val="auto"/>
          <w:sz w:val="12"/>
          <w:szCs w:val="12"/>
        </w:rPr>
      </w:pPr>
    </w:p>
    <w:p>
      <w:pPr>
        <w:numPr>
          <w:ilvl w:val="1"/>
          <w:numId w:val="63"/>
        </w:numPr>
        <w:tabs>
          <w:tab w:val="left" w:pos="860"/>
        </w:tabs>
        <w:spacing w:after="0" w:line="234" w:lineRule="auto"/>
        <w:ind w:left="868" w:right="600" w:hanging="436"/>
        <w:rPr>
          <w:rFonts w:ascii="Calibri" w:eastAsia="Calibri" w:hAnsi="Calibri" w:cs="Calibri"/>
          <w:color w:val="auto"/>
          <w:sz w:val="12"/>
          <w:szCs w:val="12"/>
        </w:rPr>
      </w:pPr>
      <w:r>
        <w:rPr>
          <w:rFonts w:ascii="Calibri" w:eastAsia="Calibri" w:hAnsi="Calibri" w:cs="Calibri"/>
          <w:color w:val="auto"/>
          <w:sz w:val="12"/>
          <w:szCs w:val="12"/>
        </w:rPr>
        <w:t>Designed such disclosure controls and procedures, or caused such disclosure controls and procedures to be designed under our supervision, to ensure that material informaton relatng to AbbVie, including its consolidated subsidiaries, is made known to us by others within those enttes, partcularly during the period in which this report is being prepared;</w:t>
      </w:r>
    </w:p>
    <w:p>
      <w:pPr>
        <w:spacing w:after="0" w:line="164" w:lineRule="exact"/>
        <w:rPr>
          <w:rFonts w:ascii="Calibri" w:eastAsia="Calibri" w:hAnsi="Calibri" w:cs="Calibri"/>
          <w:color w:val="auto"/>
          <w:sz w:val="12"/>
          <w:szCs w:val="12"/>
        </w:rPr>
      </w:pPr>
    </w:p>
    <w:p>
      <w:pPr>
        <w:numPr>
          <w:ilvl w:val="1"/>
          <w:numId w:val="63"/>
        </w:numPr>
        <w:tabs>
          <w:tab w:val="left" w:pos="856"/>
        </w:tabs>
        <w:spacing w:after="0" w:line="234" w:lineRule="auto"/>
        <w:ind w:left="868" w:right="160" w:hanging="436"/>
        <w:rPr>
          <w:rFonts w:ascii="Calibri" w:eastAsia="Calibri" w:hAnsi="Calibri" w:cs="Calibri"/>
          <w:color w:val="auto"/>
          <w:sz w:val="12"/>
          <w:szCs w:val="12"/>
        </w:rPr>
      </w:pPr>
      <w:r>
        <w:rPr>
          <w:rFonts w:ascii="Calibri" w:eastAsia="Calibri" w:hAnsi="Calibri" w:cs="Calibri"/>
          <w:color w:val="auto"/>
          <w:sz w:val="12"/>
          <w:szCs w:val="12"/>
        </w:rPr>
        <w:t>Designed such internal control over fnancial reportng, or caused such internal control over fnancial reportng to be designed under our supervision, to provide reasonable assurance regarding the reliability of fnancial reportng and the preparaton of fnancial statements for external purposes in accordance with generally accepted accountng principles;</w:t>
      </w:r>
    </w:p>
    <w:p>
      <w:pPr>
        <w:spacing w:after="0" w:line="164" w:lineRule="exact"/>
        <w:rPr>
          <w:rFonts w:ascii="Calibri" w:eastAsia="Calibri" w:hAnsi="Calibri" w:cs="Calibri"/>
          <w:color w:val="auto"/>
          <w:sz w:val="12"/>
          <w:szCs w:val="12"/>
        </w:rPr>
      </w:pPr>
    </w:p>
    <w:p>
      <w:pPr>
        <w:numPr>
          <w:ilvl w:val="1"/>
          <w:numId w:val="63"/>
        </w:numPr>
        <w:tabs>
          <w:tab w:val="left" w:pos="862"/>
        </w:tabs>
        <w:spacing w:after="0" w:line="234" w:lineRule="auto"/>
        <w:ind w:left="868" w:right="360" w:hanging="436"/>
        <w:rPr>
          <w:rFonts w:ascii="Calibri" w:eastAsia="Calibri" w:hAnsi="Calibri" w:cs="Calibri"/>
          <w:color w:val="auto"/>
          <w:sz w:val="12"/>
          <w:szCs w:val="12"/>
        </w:rPr>
      </w:pPr>
      <w:r>
        <w:rPr>
          <w:rFonts w:ascii="Calibri" w:eastAsia="Calibri" w:hAnsi="Calibri" w:cs="Calibri"/>
          <w:color w:val="auto"/>
          <w:sz w:val="12"/>
          <w:szCs w:val="12"/>
        </w:rPr>
        <w:t>Evaluated the efectveness of AbbVie’s disclosure controls and procedures and presented in this report our conclusions about the efectveness of the disclosure controls and procedures, as of the end of the period covered by this report based on such evaluaton; and</w:t>
      </w:r>
    </w:p>
    <w:p>
      <w:pPr>
        <w:spacing w:after="0" w:line="164" w:lineRule="exact"/>
        <w:rPr>
          <w:rFonts w:ascii="Calibri" w:eastAsia="Calibri" w:hAnsi="Calibri" w:cs="Calibri"/>
          <w:color w:val="auto"/>
          <w:sz w:val="12"/>
          <w:szCs w:val="12"/>
        </w:rPr>
      </w:pPr>
    </w:p>
    <w:p>
      <w:pPr>
        <w:numPr>
          <w:ilvl w:val="1"/>
          <w:numId w:val="63"/>
        </w:numPr>
        <w:tabs>
          <w:tab w:val="left" w:pos="856"/>
        </w:tabs>
        <w:spacing w:after="0" w:line="234" w:lineRule="auto"/>
        <w:ind w:left="868" w:right="320" w:hanging="436"/>
        <w:rPr>
          <w:rFonts w:ascii="Calibri" w:eastAsia="Calibri" w:hAnsi="Calibri" w:cs="Calibri"/>
          <w:color w:val="auto"/>
          <w:sz w:val="12"/>
          <w:szCs w:val="12"/>
        </w:rPr>
      </w:pPr>
      <w:r>
        <w:rPr>
          <w:rFonts w:ascii="Calibri" w:eastAsia="Calibri" w:hAnsi="Calibri" w:cs="Calibri"/>
          <w:color w:val="auto"/>
          <w:sz w:val="12"/>
          <w:szCs w:val="12"/>
        </w:rPr>
        <w:t>Disclosed in this report any change in AbbVie’s internal control over fnancial reportng that occurred during AbbVie’s most recent fscal quarter that has materially afected, or is reasonably likely to materially afect, AbbVie’s internal control over fnancial reportng; and</w:t>
      </w:r>
    </w:p>
    <w:p>
      <w:pPr>
        <w:spacing w:after="0" w:line="159" w:lineRule="exact"/>
        <w:rPr>
          <w:rFonts w:ascii="Calibri" w:eastAsia="Calibri" w:hAnsi="Calibri" w:cs="Calibri"/>
          <w:color w:val="auto"/>
          <w:sz w:val="12"/>
          <w:szCs w:val="12"/>
        </w:rPr>
      </w:pPr>
    </w:p>
    <w:p>
      <w:pPr>
        <w:numPr>
          <w:ilvl w:val="0"/>
          <w:numId w:val="63"/>
        </w:numPr>
        <w:tabs>
          <w:tab w:val="left" w:pos="428"/>
        </w:tabs>
        <w:spacing w:after="0"/>
        <w:ind w:left="428" w:hanging="428"/>
        <w:rPr>
          <w:rFonts w:ascii="Calibri" w:eastAsia="Calibri" w:hAnsi="Calibri" w:cs="Calibri"/>
          <w:color w:val="auto"/>
          <w:sz w:val="12"/>
          <w:szCs w:val="12"/>
        </w:rPr>
      </w:pPr>
      <w:r>
        <w:rPr>
          <w:rFonts w:ascii="Calibri" w:eastAsia="Calibri" w:hAnsi="Calibri" w:cs="Calibri"/>
          <w:color w:val="auto"/>
          <w:sz w:val="12"/>
          <w:szCs w:val="12"/>
        </w:rPr>
        <w:t>AbbVie’s other certfying ofcer and I have disclosed, based on our most recent evaluaton of internal control over fnancial reportng, to AbbVie’s auditors and the audit commitee of AbbVie’s board of directors:</w:t>
      </w:r>
    </w:p>
    <w:p>
      <w:pPr>
        <w:spacing w:after="0" w:line="164" w:lineRule="exact"/>
        <w:rPr>
          <w:rFonts w:ascii="Calibri" w:eastAsia="Calibri" w:hAnsi="Calibri" w:cs="Calibri"/>
          <w:color w:val="auto"/>
          <w:sz w:val="12"/>
          <w:szCs w:val="12"/>
        </w:rPr>
      </w:pPr>
    </w:p>
    <w:p>
      <w:pPr>
        <w:numPr>
          <w:ilvl w:val="1"/>
          <w:numId w:val="63"/>
        </w:numPr>
        <w:tabs>
          <w:tab w:val="left" w:pos="860"/>
        </w:tabs>
        <w:spacing w:after="0" w:line="234" w:lineRule="auto"/>
        <w:ind w:left="868" w:right="140" w:hanging="436"/>
        <w:rPr>
          <w:rFonts w:ascii="Calibri" w:eastAsia="Calibri" w:hAnsi="Calibri" w:cs="Calibri"/>
          <w:color w:val="auto"/>
          <w:sz w:val="12"/>
          <w:szCs w:val="12"/>
        </w:rPr>
      </w:pPr>
      <w:r>
        <w:rPr>
          <w:rFonts w:ascii="Calibri" w:eastAsia="Calibri" w:hAnsi="Calibri" w:cs="Calibri"/>
          <w:color w:val="auto"/>
          <w:sz w:val="12"/>
          <w:szCs w:val="12"/>
        </w:rPr>
        <w:t>All signifcant defciencies and material weaknesses in the design or operaton of internal control over fnancial reportng which are reasonably likely to adversely afect AbbVie’s ability to record, process, summarize and report fnancial informaton; and</w:t>
      </w:r>
    </w:p>
    <w:p>
      <w:pPr>
        <w:spacing w:after="0" w:line="159" w:lineRule="exact"/>
        <w:rPr>
          <w:rFonts w:ascii="Calibri" w:eastAsia="Calibri" w:hAnsi="Calibri" w:cs="Calibri"/>
          <w:color w:val="auto"/>
          <w:sz w:val="12"/>
          <w:szCs w:val="12"/>
        </w:rPr>
      </w:pPr>
    </w:p>
    <w:p>
      <w:pPr>
        <w:numPr>
          <w:ilvl w:val="1"/>
          <w:numId w:val="63"/>
        </w:numPr>
        <w:tabs>
          <w:tab w:val="left" w:pos="848"/>
        </w:tabs>
        <w:spacing w:after="0"/>
        <w:ind w:left="848" w:hanging="416"/>
        <w:rPr>
          <w:rFonts w:ascii="Calibri" w:eastAsia="Calibri" w:hAnsi="Calibri" w:cs="Calibri"/>
          <w:color w:val="auto"/>
          <w:sz w:val="12"/>
          <w:szCs w:val="12"/>
        </w:rPr>
      </w:pPr>
      <w:r>
        <w:rPr>
          <w:rFonts w:ascii="Calibri" w:eastAsia="Calibri" w:hAnsi="Calibri" w:cs="Calibri"/>
          <w:color w:val="auto"/>
          <w:sz w:val="12"/>
          <w:szCs w:val="12"/>
        </w:rPr>
        <w:t>Any fraud, whether or not material, that involves management or other employees who have a signifcant role in AbbVie’s internal control over fnancial reportng.</w:t>
      </w:r>
    </w:p>
    <w:p>
      <w:pPr>
        <w:spacing w:after="0" w:line="187" w:lineRule="exact"/>
        <w:rPr>
          <w:color w:val="auto"/>
          <w:sz w:val="20"/>
          <w:szCs w:val="20"/>
        </w:rPr>
      </w:pPr>
    </w:p>
    <w:p>
      <w:pPr>
        <w:tabs>
          <w:tab w:val="left" w:pos="5648"/>
        </w:tabs>
        <w:spacing w:after="0"/>
        <w:ind w:left="668"/>
        <w:rPr>
          <w:color w:val="auto"/>
          <w:sz w:val="20"/>
          <w:szCs w:val="20"/>
        </w:rPr>
      </w:pPr>
      <w:r>
        <w:rPr>
          <w:rFonts w:ascii="Calibri" w:eastAsia="Calibri" w:hAnsi="Calibri" w:cs="Calibri"/>
          <w:color w:val="auto"/>
          <w:sz w:val="12"/>
          <w:szCs w:val="12"/>
        </w:rPr>
        <w:t>Date: February 14, 2025</w:t>
      </w:r>
      <w:r>
        <w:rPr>
          <w:color w:val="auto"/>
          <w:sz w:val="20"/>
          <w:szCs w:val="20"/>
        </w:rPr>
        <w:tab/>
      </w:r>
      <w:r>
        <w:rPr>
          <w:rFonts w:ascii="Calibri" w:eastAsia="Calibri" w:hAnsi="Calibri" w:cs="Calibri"/>
          <w:color w:val="auto"/>
          <w:sz w:val="11"/>
          <w:szCs w:val="11"/>
        </w:rPr>
        <w:t>/s/ Robert A. Michael</w:t>
      </w:r>
    </w:p>
    <w:p>
      <w:pPr>
        <w:spacing w:after="0" w:line="20" w:lineRule="exact"/>
        <w:rPr>
          <w:color w:val="auto"/>
          <w:sz w:val="20"/>
          <w:szCs w:val="20"/>
        </w:rPr>
      </w:pPr>
      <w:r>
        <w:rPr>
          <w:color w:val="auto"/>
          <w:sz w:val="20"/>
          <w:szCs w:val="20"/>
        </w:rPr>
        <w:drawing>
          <wp:anchor simplePos="0" relativeHeight="252012544" behindDoc="1" locked="0" layoutInCell="0" allowOverlap="1">
            <wp:simplePos x="0" y="0"/>
            <wp:positionH relativeFrom="column">
              <wp:posOffset>3600450</wp:posOffset>
            </wp:positionH>
            <wp:positionV relativeFrom="paragraph">
              <wp:posOffset>10795</wp:posOffset>
            </wp:positionV>
            <wp:extent cx="3160395" cy="5715"/>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pic:cNvPicPr>
                      <a:picLocks noChangeAspect="1" noChangeArrowheads="1"/>
                    </pic:cNvPicPr>
                  </pic:nvPicPr>
                  <pic:blipFill>
                    <a:blip xmlns:r="http://schemas.openxmlformats.org/officeDocument/2006/relationships" r:embed="rId23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60395" cy="5715"/>
                    </a:xfrm>
                    <a:prstGeom prst="rect">
                      <a:avLst/>
                    </a:prstGeom>
                    <a:noFill/>
                  </pic:spPr>
                </pic:pic>
              </a:graphicData>
            </a:graphic>
          </wp:anchor>
        </w:drawing>
      </w:r>
    </w:p>
    <w:p>
      <w:pPr>
        <w:spacing w:after="0"/>
        <w:ind w:left="5668"/>
        <w:rPr>
          <w:color w:val="auto"/>
          <w:sz w:val="20"/>
          <w:szCs w:val="20"/>
        </w:rPr>
      </w:pPr>
      <w:r>
        <w:rPr>
          <w:rFonts w:ascii="Calibri" w:eastAsia="Calibri" w:hAnsi="Calibri" w:cs="Calibri"/>
          <w:color w:val="auto"/>
          <w:sz w:val="12"/>
          <w:szCs w:val="12"/>
        </w:rPr>
        <w:t>Robert A. Michael, Chief Executve Ofcer and Director</w:t>
      </w:r>
    </w:p>
    <w:p>
      <w:pPr>
        <w:sectPr>
          <w:pgSz w:w="11900" w:h="16838" w:orient="portrait"/>
          <w:pgMar w:top="120" w:right="299" w:bottom="1440" w:left="292" w:header="0" w:footer="0" w:gutter="0"/>
          <w:cols w:num="1" w:space="720" w:equalWidth="0">
            <w:col w:w="11308" w:space="0"/>
          </w:cols>
        </w:sectPr>
      </w:pPr>
    </w:p>
    <w:bookmarkStart w:id="176" w:name="page177"/>
    <w:bookmarkEnd w:id="176"/>
    <w:p>
      <w:pPr>
        <w:spacing w:after="0"/>
        <w:jc w:val="right"/>
        <w:rPr>
          <w:color w:val="auto"/>
          <w:sz w:val="20"/>
          <w:szCs w:val="20"/>
        </w:rPr>
      </w:pPr>
      <w:r>
        <w:rPr>
          <w:rFonts w:ascii="Calibri" w:eastAsia="Calibri" w:hAnsi="Calibri" w:cs="Calibri"/>
          <w:b/>
          <w:bCs/>
          <w:color w:val="auto"/>
          <w:sz w:val="12"/>
          <w:szCs w:val="12"/>
        </w:rPr>
        <w:t>Exhibit 31.2</w:t>
      </w:r>
    </w:p>
    <w:p>
      <w:pPr>
        <w:spacing w:after="0" w:line="200" w:lineRule="exact"/>
        <w:rPr>
          <w:color w:val="auto"/>
          <w:sz w:val="20"/>
          <w:szCs w:val="20"/>
        </w:rPr>
      </w:pPr>
    </w:p>
    <w:p>
      <w:pPr>
        <w:spacing w:after="0" w:line="200" w:lineRule="exact"/>
        <w:rPr>
          <w:color w:val="auto"/>
          <w:sz w:val="20"/>
          <w:szCs w:val="20"/>
        </w:rPr>
      </w:pPr>
    </w:p>
    <w:p>
      <w:pPr>
        <w:spacing w:after="0" w:line="291" w:lineRule="exact"/>
        <w:rPr>
          <w:color w:val="auto"/>
          <w:sz w:val="20"/>
          <w:szCs w:val="20"/>
        </w:rPr>
      </w:pPr>
    </w:p>
    <w:p>
      <w:pPr>
        <w:spacing w:after="0"/>
        <w:ind w:right="-7"/>
        <w:jc w:val="center"/>
        <w:rPr>
          <w:color w:val="auto"/>
          <w:sz w:val="20"/>
          <w:szCs w:val="20"/>
        </w:rPr>
      </w:pPr>
      <w:r>
        <w:rPr>
          <w:rFonts w:ascii="Calibri" w:eastAsia="Calibri" w:hAnsi="Calibri" w:cs="Calibri"/>
          <w:b/>
          <w:bCs/>
          <w:color w:val="auto"/>
          <w:sz w:val="12"/>
          <w:szCs w:val="12"/>
        </w:rPr>
        <w:t>Certfcaton of Chief Financial Ofcer</w:t>
      </w:r>
    </w:p>
    <w:p>
      <w:pPr>
        <w:spacing w:after="0" w:line="235" w:lineRule="auto"/>
        <w:ind w:right="-7"/>
        <w:jc w:val="center"/>
        <w:rPr>
          <w:color w:val="auto"/>
          <w:sz w:val="20"/>
          <w:szCs w:val="20"/>
        </w:rPr>
      </w:pPr>
      <w:r>
        <w:rPr>
          <w:rFonts w:ascii="Calibri" w:eastAsia="Calibri" w:hAnsi="Calibri" w:cs="Calibri"/>
          <w:b/>
          <w:bCs/>
          <w:color w:val="auto"/>
          <w:sz w:val="12"/>
          <w:szCs w:val="12"/>
        </w:rPr>
        <w:t>Required by Rule 13a-14(a) (17 CFR 240.13a-14(a))</w:t>
      </w:r>
    </w:p>
    <w:p>
      <w:pPr>
        <w:spacing w:after="0" w:line="160" w:lineRule="exact"/>
        <w:rPr>
          <w:color w:val="auto"/>
          <w:sz w:val="20"/>
          <w:szCs w:val="20"/>
        </w:rPr>
      </w:pPr>
    </w:p>
    <w:p>
      <w:pPr>
        <w:spacing w:after="0"/>
        <w:ind w:left="8"/>
        <w:rPr>
          <w:color w:val="auto"/>
          <w:sz w:val="20"/>
          <w:szCs w:val="20"/>
        </w:rPr>
      </w:pPr>
      <w:r>
        <w:rPr>
          <w:rFonts w:ascii="Calibri" w:eastAsia="Calibri" w:hAnsi="Calibri" w:cs="Calibri"/>
          <w:color w:val="auto"/>
          <w:sz w:val="12"/>
          <w:szCs w:val="12"/>
        </w:rPr>
        <w:t>I, Scot T. Reents, certfy that:</w:t>
      </w:r>
    </w:p>
    <w:p>
      <w:pPr>
        <w:spacing w:after="0" w:line="160" w:lineRule="exact"/>
        <w:rPr>
          <w:color w:val="auto"/>
          <w:sz w:val="20"/>
          <w:szCs w:val="20"/>
        </w:rPr>
      </w:pPr>
    </w:p>
    <w:p>
      <w:pPr>
        <w:numPr>
          <w:ilvl w:val="0"/>
          <w:numId w:val="64"/>
        </w:numPr>
        <w:tabs>
          <w:tab w:val="left" w:pos="428"/>
        </w:tabs>
        <w:spacing w:after="0"/>
        <w:ind w:left="428" w:hanging="428"/>
        <w:rPr>
          <w:rFonts w:ascii="Calibri" w:eastAsia="Calibri" w:hAnsi="Calibri" w:cs="Calibri"/>
          <w:color w:val="auto"/>
          <w:sz w:val="12"/>
          <w:szCs w:val="12"/>
        </w:rPr>
      </w:pPr>
      <w:r>
        <w:rPr>
          <w:rFonts w:ascii="Calibri" w:eastAsia="Calibri" w:hAnsi="Calibri" w:cs="Calibri"/>
          <w:color w:val="auto"/>
          <w:sz w:val="12"/>
          <w:szCs w:val="12"/>
        </w:rPr>
        <w:t>I have reviewed this annual report on Form 10-K of AbbVie Inc.;</w:t>
      </w:r>
    </w:p>
    <w:p>
      <w:pPr>
        <w:spacing w:after="0" w:line="164" w:lineRule="exact"/>
        <w:rPr>
          <w:rFonts w:ascii="Calibri" w:eastAsia="Calibri" w:hAnsi="Calibri" w:cs="Calibri"/>
          <w:color w:val="auto"/>
          <w:sz w:val="12"/>
          <w:szCs w:val="12"/>
        </w:rPr>
      </w:pPr>
    </w:p>
    <w:p>
      <w:pPr>
        <w:numPr>
          <w:ilvl w:val="0"/>
          <w:numId w:val="64"/>
        </w:numPr>
        <w:tabs>
          <w:tab w:val="left" w:pos="418"/>
        </w:tabs>
        <w:spacing w:after="0" w:line="234" w:lineRule="auto"/>
        <w:ind w:left="428" w:right="240" w:hanging="428"/>
        <w:rPr>
          <w:rFonts w:ascii="Calibri" w:eastAsia="Calibri" w:hAnsi="Calibri" w:cs="Calibri"/>
          <w:color w:val="auto"/>
          <w:sz w:val="12"/>
          <w:szCs w:val="12"/>
        </w:rPr>
      </w:pPr>
      <w:r>
        <w:rPr>
          <w:rFonts w:ascii="Calibri" w:eastAsia="Calibri" w:hAnsi="Calibri" w:cs="Calibri"/>
          <w:color w:val="auto"/>
          <w:sz w:val="12"/>
          <w:szCs w:val="12"/>
        </w:rPr>
        <w:t>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w:t>
      </w:r>
    </w:p>
    <w:p>
      <w:pPr>
        <w:spacing w:after="0" w:line="164" w:lineRule="exact"/>
        <w:rPr>
          <w:rFonts w:ascii="Calibri" w:eastAsia="Calibri" w:hAnsi="Calibri" w:cs="Calibri"/>
          <w:color w:val="auto"/>
          <w:sz w:val="12"/>
          <w:szCs w:val="12"/>
        </w:rPr>
      </w:pPr>
    </w:p>
    <w:p>
      <w:pPr>
        <w:numPr>
          <w:ilvl w:val="0"/>
          <w:numId w:val="64"/>
        </w:numPr>
        <w:tabs>
          <w:tab w:val="left" w:pos="418"/>
        </w:tabs>
        <w:spacing w:after="0" w:line="234" w:lineRule="auto"/>
        <w:ind w:left="428" w:right="160" w:hanging="428"/>
        <w:rPr>
          <w:rFonts w:ascii="Calibri" w:eastAsia="Calibri" w:hAnsi="Calibri" w:cs="Calibri"/>
          <w:color w:val="auto"/>
          <w:sz w:val="12"/>
          <w:szCs w:val="12"/>
        </w:rPr>
      </w:pPr>
      <w:r>
        <w:rPr>
          <w:rFonts w:ascii="Calibri" w:eastAsia="Calibri" w:hAnsi="Calibri" w:cs="Calibri"/>
          <w:color w:val="auto"/>
          <w:sz w:val="12"/>
          <w:szCs w:val="12"/>
        </w:rPr>
        <w:t>Based on my knowledge, the fnancial statements, and other fnancial informaton included in this report, fairly present in all material respects the fnancial conditon, results of operatons and cash fows of AbbVie as of, and for, the periods presented in this report;</w:t>
      </w:r>
    </w:p>
    <w:p>
      <w:pPr>
        <w:spacing w:after="0" w:line="164" w:lineRule="exact"/>
        <w:rPr>
          <w:rFonts w:ascii="Calibri" w:eastAsia="Calibri" w:hAnsi="Calibri" w:cs="Calibri"/>
          <w:color w:val="auto"/>
          <w:sz w:val="12"/>
          <w:szCs w:val="12"/>
        </w:rPr>
      </w:pPr>
    </w:p>
    <w:p>
      <w:pPr>
        <w:numPr>
          <w:ilvl w:val="0"/>
          <w:numId w:val="64"/>
        </w:numPr>
        <w:tabs>
          <w:tab w:val="left" w:pos="418"/>
        </w:tabs>
        <w:spacing w:after="0" w:line="234" w:lineRule="auto"/>
        <w:ind w:left="428" w:right="60" w:hanging="428"/>
        <w:rPr>
          <w:rFonts w:ascii="Calibri" w:eastAsia="Calibri" w:hAnsi="Calibri" w:cs="Calibri"/>
          <w:color w:val="auto"/>
          <w:sz w:val="12"/>
          <w:szCs w:val="12"/>
        </w:rPr>
      </w:pPr>
      <w:r>
        <w:rPr>
          <w:rFonts w:ascii="Calibri" w:eastAsia="Calibri" w:hAnsi="Calibri" w:cs="Calibri"/>
          <w:color w:val="auto"/>
          <w:sz w:val="12"/>
          <w:szCs w:val="12"/>
        </w:rPr>
        <w:t>AbbVie’s other certfying ofcer and I are responsible for establishing and maintaining disclosure controls and procedures (as defned in Exchange Act Rules 13a-15(e) and 15d-15(e)) and internal control over fnancial reportng (as defned in Exchange Act Rules 13a-15(f) and 15d-15(f)) for AbbVie and have:</w:t>
      </w:r>
    </w:p>
    <w:p>
      <w:pPr>
        <w:spacing w:after="0" w:line="164" w:lineRule="exact"/>
        <w:rPr>
          <w:rFonts w:ascii="Calibri" w:eastAsia="Calibri" w:hAnsi="Calibri" w:cs="Calibri"/>
          <w:color w:val="auto"/>
          <w:sz w:val="12"/>
          <w:szCs w:val="12"/>
        </w:rPr>
      </w:pPr>
    </w:p>
    <w:p>
      <w:pPr>
        <w:numPr>
          <w:ilvl w:val="1"/>
          <w:numId w:val="64"/>
        </w:numPr>
        <w:tabs>
          <w:tab w:val="left" w:pos="860"/>
        </w:tabs>
        <w:spacing w:after="0" w:line="234" w:lineRule="auto"/>
        <w:ind w:left="868" w:right="600" w:hanging="436"/>
        <w:rPr>
          <w:rFonts w:ascii="Calibri" w:eastAsia="Calibri" w:hAnsi="Calibri" w:cs="Calibri"/>
          <w:color w:val="auto"/>
          <w:sz w:val="12"/>
          <w:szCs w:val="12"/>
        </w:rPr>
      </w:pPr>
      <w:r>
        <w:rPr>
          <w:rFonts w:ascii="Calibri" w:eastAsia="Calibri" w:hAnsi="Calibri" w:cs="Calibri"/>
          <w:color w:val="auto"/>
          <w:sz w:val="12"/>
          <w:szCs w:val="12"/>
        </w:rPr>
        <w:t>Designed such disclosure controls and procedures, or caused such disclosure controls and procedures to be designed under our supervision, to ensure that material informaton relatng to AbbVie, including its consolidated subsidiaries, is made known to us by others within those enttes, partcularly during the period in which this report is being prepared;</w:t>
      </w:r>
    </w:p>
    <w:p>
      <w:pPr>
        <w:spacing w:after="0" w:line="164" w:lineRule="exact"/>
        <w:rPr>
          <w:rFonts w:ascii="Calibri" w:eastAsia="Calibri" w:hAnsi="Calibri" w:cs="Calibri"/>
          <w:color w:val="auto"/>
          <w:sz w:val="12"/>
          <w:szCs w:val="12"/>
        </w:rPr>
      </w:pPr>
    </w:p>
    <w:p>
      <w:pPr>
        <w:numPr>
          <w:ilvl w:val="1"/>
          <w:numId w:val="64"/>
        </w:numPr>
        <w:tabs>
          <w:tab w:val="left" w:pos="856"/>
        </w:tabs>
        <w:spacing w:after="0" w:line="234" w:lineRule="auto"/>
        <w:ind w:left="868" w:right="160" w:hanging="436"/>
        <w:rPr>
          <w:rFonts w:ascii="Calibri" w:eastAsia="Calibri" w:hAnsi="Calibri" w:cs="Calibri"/>
          <w:color w:val="auto"/>
          <w:sz w:val="12"/>
          <w:szCs w:val="12"/>
        </w:rPr>
      </w:pPr>
      <w:r>
        <w:rPr>
          <w:rFonts w:ascii="Calibri" w:eastAsia="Calibri" w:hAnsi="Calibri" w:cs="Calibri"/>
          <w:color w:val="auto"/>
          <w:sz w:val="12"/>
          <w:szCs w:val="12"/>
        </w:rPr>
        <w:t>Designed such internal control over fnancial reportng, or caused such internal control over fnancial reportng to be designed under our supervision, to provide reasonable assurance regarding the reliability of fnancial reportng and the preparaton of fnancial statements for external purposes in accordance with generally accepted accountng principles;</w:t>
      </w:r>
    </w:p>
    <w:p>
      <w:pPr>
        <w:spacing w:after="0" w:line="164" w:lineRule="exact"/>
        <w:rPr>
          <w:rFonts w:ascii="Calibri" w:eastAsia="Calibri" w:hAnsi="Calibri" w:cs="Calibri"/>
          <w:color w:val="auto"/>
          <w:sz w:val="12"/>
          <w:szCs w:val="12"/>
        </w:rPr>
      </w:pPr>
    </w:p>
    <w:p>
      <w:pPr>
        <w:numPr>
          <w:ilvl w:val="1"/>
          <w:numId w:val="64"/>
        </w:numPr>
        <w:tabs>
          <w:tab w:val="left" w:pos="862"/>
        </w:tabs>
        <w:spacing w:after="0" w:line="234" w:lineRule="auto"/>
        <w:ind w:left="868" w:right="360" w:hanging="436"/>
        <w:rPr>
          <w:rFonts w:ascii="Calibri" w:eastAsia="Calibri" w:hAnsi="Calibri" w:cs="Calibri"/>
          <w:color w:val="auto"/>
          <w:sz w:val="12"/>
          <w:szCs w:val="12"/>
        </w:rPr>
      </w:pPr>
      <w:r>
        <w:rPr>
          <w:rFonts w:ascii="Calibri" w:eastAsia="Calibri" w:hAnsi="Calibri" w:cs="Calibri"/>
          <w:color w:val="auto"/>
          <w:sz w:val="12"/>
          <w:szCs w:val="12"/>
        </w:rPr>
        <w:t>Evaluated the efectveness of AbbVie’s disclosure controls and procedures and presented in this report our conclusions about the efectveness of the disclosure controls and procedures, as of the end of the period covered by this report based on such evaluaton; and</w:t>
      </w:r>
    </w:p>
    <w:p>
      <w:pPr>
        <w:spacing w:after="0" w:line="164" w:lineRule="exact"/>
        <w:rPr>
          <w:rFonts w:ascii="Calibri" w:eastAsia="Calibri" w:hAnsi="Calibri" w:cs="Calibri"/>
          <w:color w:val="auto"/>
          <w:sz w:val="12"/>
          <w:szCs w:val="12"/>
        </w:rPr>
      </w:pPr>
    </w:p>
    <w:p>
      <w:pPr>
        <w:numPr>
          <w:ilvl w:val="1"/>
          <w:numId w:val="64"/>
        </w:numPr>
        <w:tabs>
          <w:tab w:val="left" w:pos="856"/>
        </w:tabs>
        <w:spacing w:after="0" w:line="234" w:lineRule="auto"/>
        <w:ind w:left="868" w:right="320" w:hanging="436"/>
        <w:rPr>
          <w:rFonts w:ascii="Calibri" w:eastAsia="Calibri" w:hAnsi="Calibri" w:cs="Calibri"/>
          <w:color w:val="auto"/>
          <w:sz w:val="12"/>
          <w:szCs w:val="12"/>
        </w:rPr>
      </w:pPr>
      <w:r>
        <w:rPr>
          <w:rFonts w:ascii="Calibri" w:eastAsia="Calibri" w:hAnsi="Calibri" w:cs="Calibri"/>
          <w:color w:val="auto"/>
          <w:sz w:val="12"/>
          <w:szCs w:val="12"/>
        </w:rPr>
        <w:t>Disclosed in this report any change in AbbVie’s internal control over fnancial reportng that occurred during AbbVie’s most recent fscal quarter that has materially afected, or is reasonably likely to materially afect, AbbVie’s internal control over fnancial reportng; and</w:t>
      </w:r>
    </w:p>
    <w:p>
      <w:pPr>
        <w:spacing w:after="0" w:line="159" w:lineRule="exact"/>
        <w:rPr>
          <w:rFonts w:ascii="Calibri" w:eastAsia="Calibri" w:hAnsi="Calibri" w:cs="Calibri"/>
          <w:color w:val="auto"/>
          <w:sz w:val="12"/>
          <w:szCs w:val="12"/>
        </w:rPr>
      </w:pPr>
    </w:p>
    <w:p>
      <w:pPr>
        <w:numPr>
          <w:ilvl w:val="0"/>
          <w:numId w:val="64"/>
        </w:numPr>
        <w:tabs>
          <w:tab w:val="left" w:pos="428"/>
        </w:tabs>
        <w:spacing w:after="0"/>
        <w:ind w:left="428" w:hanging="428"/>
        <w:rPr>
          <w:rFonts w:ascii="Calibri" w:eastAsia="Calibri" w:hAnsi="Calibri" w:cs="Calibri"/>
          <w:color w:val="auto"/>
          <w:sz w:val="12"/>
          <w:szCs w:val="12"/>
        </w:rPr>
      </w:pPr>
      <w:r>
        <w:rPr>
          <w:rFonts w:ascii="Calibri" w:eastAsia="Calibri" w:hAnsi="Calibri" w:cs="Calibri"/>
          <w:color w:val="auto"/>
          <w:sz w:val="12"/>
          <w:szCs w:val="12"/>
        </w:rPr>
        <w:t>AbbVie’s other certfying ofcer and I have disclosed, based on our most recent evaluaton of internal control over fnancial reportng, to AbbVie’s auditors and the audit commitee of AbbVie’s board of directors:</w:t>
      </w:r>
    </w:p>
    <w:p>
      <w:pPr>
        <w:spacing w:after="0" w:line="164" w:lineRule="exact"/>
        <w:rPr>
          <w:rFonts w:ascii="Calibri" w:eastAsia="Calibri" w:hAnsi="Calibri" w:cs="Calibri"/>
          <w:color w:val="auto"/>
          <w:sz w:val="12"/>
          <w:szCs w:val="12"/>
        </w:rPr>
      </w:pPr>
    </w:p>
    <w:p>
      <w:pPr>
        <w:numPr>
          <w:ilvl w:val="1"/>
          <w:numId w:val="64"/>
        </w:numPr>
        <w:tabs>
          <w:tab w:val="left" w:pos="860"/>
        </w:tabs>
        <w:spacing w:after="0" w:line="234" w:lineRule="auto"/>
        <w:ind w:left="868" w:right="140" w:hanging="436"/>
        <w:rPr>
          <w:rFonts w:ascii="Calibri" w:eastAsia="Calibri" w:hAnsi="Calibri" w:cs="Calibri"/>
          <w:color w:val="auto"/>
          <w:sz w:val="12"/>
          <w:szCs w:val="12"/>
        </w:rPr>
      </w:pPr>
      <w:r>
        <w:rPr>
          <w:rFonts w:ascii="Calibri" w:eastAsia="Calibri" w:hAnsi="Calibri" w:cs="Calibri"/>
          <w:color w:val="auto"/>
          <w:sz w:val="12"/>
          <w:szCs w:val="12"/>
        </w:rPr>
        <w:t>All signifcant defciencies and material weaknesses in the design or operaton of internal control over fnancial reportng which are reasonably likely to adversely afect AbbVie’s ability to record, process, summarize and report fnancial informaton; and</w:t>
      </w:r>
    </w:p>
    <w:p>
      <w:pPr>
        <w:spacing w:after="0" w:line="159" w:lineRule="exact"/>
        <w:rPr>
          <w:rFonts w:ascii="Calibri" w:eastAsia="Calibri" w:hAnsi="Calibri" w:cs="Calibri"/>
          <w:color w:val="auto"/>
          <w:sz w:val="12"/>
          <w:szCs w:val="12"/>
        </w:rPr>
      </w:pPr>
    </w:p>
    <w:p>
      <w:pPr>
        <w:numPr>
          <w:ilvl w:val="1"/>
          <w:numId w:val="64"/>
        </w:numPr>
        <w:tabs>
          <w:tab w:val="left" w:pos="848"/>
        </w:tabs>
        <w:spacing w:after="0"/>
        <w:ind w:left="848" w:hanging="416"/>
        <w:rPr>
          <w:rFonts w:ascii="Calibri" w:eastAsia="Calibri" w:hAnsi="Calibri" w:cs="Calibri"/>
          <w:color w:val="auto"/>
          <w:sz w:val="12"/>
          <w:szCs w:val="12"/>
        </w:rPr>
      </w:pPr>
      <w:r>
        <w:rPr>
          <w:rFonts w:ascii="Calibri" w:eastAsia="Calibri" w:hAnsi="Calibri" w:cs="Calibri"/>
          <w:color w:val="auto"/>
          <w:sz w:val="12"/>
          <w:szCs w:val="12"/>
        </w:rPr>
        <w:t>Any fraud, whether or not material, that involves management or other employees who have a signifcant role in AbbVie’s internal control over fnancial reportng.</w:t>
      </w:r>
    </w:p>
    <w:p>
      <w:pPr>
        <w:spacing w:after="0" w:line="187" w:lineRule="exact"/>
        <w:rPr>
          <w:color w:val="auto"/>
          <w:sz w:val="20"/>
          <w:szCs w:val="20"/>
        </w:rPr>
      </w:pPr>
    </w:p>
    <w:p>
      <w:pPr>
        <w:tabs>
          <w:tab w:val="left" w:pos="4468"/>
        </w:tabs>
        <w:spacing w:after="0"/>
        <w:ind w:left="568"/>
        <w:rPr>
          <w:color w:val="auto"/>
          <w:sz w:val="20"/>
          <w:szCs w:val="20"/>
        </w:rPr>
      </w:pPr>
      <w:r>
        <w:rPr>
          <w:rFonts w:ascii="Calibri" w:eastAsia="Calibri" w:hAnsi="Calibri" w:cs="Calibri"/>
          <w:color w:val="auto"/>
          <w:sz w:val="12"/>
          <w:szCs w:val="12"/>
        </w:rPr>
        <w:t>Date: February 14, 2025</w:t>
      </w:r>
      <w:r>
        <w:rPr>
          <w:color w:val="auto"/>
          <w:sz w:val="20"/>
          <w:szCs w:val="20"/>
        </w:rPr>
        <w:tab/>
      </w:r>
      <w:r>
        <w:rPr>
          <w:rFonts w:ascii="Calibri" w:eastAsia="Calibri" w:hAnsi="Calibri" w:cs="Calibri"/>
          <w:color w:val="auto"/>
          <w:sz w:val="17"/>
          <w:szCs w:val="17"/>
          <w:vertAlign w:val="superscript"/>
        </w:rPr>
        <w:t>/s/ Scot T. Reents</w:t>
      </w:r>
    </w:p>
    <w:p>
      <w:pPr>
        <w:spacing w:after="0" w:line="20" w:lineRule="exact"/>
        <w:rPr>
          <w:color w:val="auto"/>
          <w:sz w:val="20"/>
          <w:szCs w:val="20"/>
        </w:rPr>
      </w:pPr>
      <w:r>
        <w:rPr>
          <w:color w:val="auto"/>
          <w:sz w:val="20"/>
          <w:szCs w:val="20"/>
        </w:rPr>
        <w:drawing>
          <wp:anchor simplePos="0" relativeHeight="252013568" behindDoc="1" locked="0" layoutInCell="0" allowOverlap="1">
            <wp:simplePos x="0" y="0"/>
            <wp:positionH relativeFrom="column">
              <wp:posOffset>2846070</wp:posOffset>
            </wp:positionH>
            <wp:positionV relativeFrom="paragraph">
              <wp:posOffset>-16510</wp:posOffset>
            </wp:positionV>
            <wp:extent cx="3983355" cy="5715"/>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pic:cNvPicPr>
                      <a:picLocks noChangeAspect="1" noChangeArrowheads="1"/>
                    </pic:cNvPicPr>
                  </pic:nvPicPr>
                  <pic:blipFill>
                    <a:blip xmlns:r="http://schemas.openxmlformats.org/officeDocument/2006/relationships" r:embed="rId239">
                      <a:extLst>
                        <a:ext xmlns:a="http://schemas.openxmlformats.org/drawingml/2006/main" uri="{28A0092B-C50C-407E-A947-70E740481C1C}">
                          <a14:useLocalDpi xmlns:a14="http://schemas.microsoft.com/office/drawing/2010/main" val="0"/>
                        </a:ext>
                      </a:extLst>
                    </a:blip>
                    <a:stretch>
                      <a:fillRect/>
                    </a:stretch>
                  </pic:blipFill>
                  <pic:spPr bwMode="auto">
                    <a:xfrm>
                      <a:off x="0" y="0"/>
                      <a:ext cx="3983355" cy="5715"/>
                    </a:xfrm>
                    <a:prstGeom prst="rect">
                      <a:avLst/>
                    </a:prstGeom>
                    <a:noFill/>
                  </pic:spPr>
                </pic:pic>
              </a:graphicData>
            </a:graphic>
          </wp:anchor>
        </w:drawing>
      </w:r>
    </w:p>
    <w:p>
      <w:pPr>
        <w:spacing w:after="0" w:line="193" w:lineRule="auto"/>
        <w:ind w:left="4488"/>
        <w:rPr>
          <w:color w:val="auto"/>
          <w:sz w:val="20"/>
          <w:szCs w:val="20"/>
        </w:rPr>
      </w:pPr>
      <w:r>
        <w:rPr>
          <w:rFonts w:ascii="Calibri" w:eastAsia="Calibri" w:hAnsi="Calibri" w:cs="Calibri"/>
          <w:color w:val="auto"/>
          <w:sz w:val="12"/>
          <w:szCs w:val="12"/>
        </w:rPr>
        <w:t>Scot T. Reents, Executve Vice President, Chief Financial Ofcer</w:t>
      </w:r>
    </w:p>
    <w:p>
      <w:pPr>
        <w:sectPr>
          <w:pgSz w:w="11900" w:h="16838" w:orient="portrait"/>
          <w:pgMar w:top="120" w:right="299" w:bottom="1440" w:left="292" w:header="0" w:footer="0" w:gutter="0"/>
          <w:cols w:num="1" w:space="720" w:equalWidth="0">
            <w:col w:w="11308" w:space="0"/>
          </w:cols>
        </w:sectPr>
      </w:pPr>
    </w:p>
    <w:bookmarkStart w:id="177" w:name="page178"/>
    <w:bookmarkEnd w:id="177"/>
    <w:p>
      <w:pPr>
        <w:spacing w:after="0"/>
        <w:jc w:val="right"/>
        <w:rPr>
          <w:color w:val="auto"/>
          <w:sz w:val="20"/>
          <w:szCs w:val="20"/>
        </w:rPr>
      </w:pPr>
      <w:r>
        <w:rPr>
          <w:rFonts w:ascii="Calibri" w:eastAsia="Calibri" w:hAnsi="Calibri" w:cs="Calibri"/>
          <w:b/>
          <w:bCs/>
          <w:color w:val="auto"/>
          <w:sz w:val="12"/>
          <w:szCs w:val="12"/>
        </w:rPr>
        <w:t>Exhibit 32.1</w:t>
      </w:r>
    </w:p>
    <w:p>
      <w:pPr>
        <w:spacing w:after="0" w:line="200" w:lineRule="exact"/>
        <w:rPr>
          <w:color w:val="auto"/>
          <w:sz w:val="20"/>
          <w:szCs w:val="20"/>
        </w:rPr>
      </w:pPr>
    </w:p>
    <w:p>
      <w:pPr>
        <w:spacing w:after="0" w:line="200" w:lineRule="exact"/>
        <w:rPr>
          <w:color w:val="auto"/>
          <w:sz w:val="20"/>
          <w:szCs w:val="20"/>
        </w:rPr>
      </w:pPr>
    </w:p>
    <w:p>
      <w:pPr>
        <w:spacing w:after="0" w:line="291" w:lineRule="exact"/>
        <w:rPr>
          <w:color w:val="auto"/>
          <w:sz w:val="20"/>
          <w:szCs w:val="20"/>
        </w:rPr>
      </w:pPr>
    </w:p>
    <w:p>
      <w:pPr>
        <w:spacing w:after="0"/>
        <w:jc w:val="center"/>
        <w:rPr>
          <w:color w:val="auto"/>
          <w:sz w:val="20"/>
          <w:szCs w:val="20"/>
        </w:rPr>
      </w:pPr>
      <w:r>
        <w:rPr>
          <w:rFonts w:ascii="Calibri" w:eastAsia="Calibri" w:hAnsi="Calibri" w:cs="Calibri"/>
          <w:b/>
          <w:bCs/>
          <w:color w:val="auto"/>
          <w:sz w:val="12"/>
          <w:szCs w:val="12"/>
        </w:rPr>
        <w:t>Certfcaton Pursuant To</w:t>
      </w:r>
    </w:p>
    <w:p>
      <w:pPr>
        <w:spacing w:after="0" w:line="235" w:lineRule="auto"/>
        <w:jc w:val="center"/>
        <w:rPr>
          <w:color w:val="auto"/>
          <w:sz w:val="20"/>
          <w:szCs w:val="20"/>
        </w:rPr>
      </w:pPr>
      <w:r>
        <w:rPr>
          <w:rFonts w:ascii="Calibri" w:eastAsia="Calibri" w:hAnsi="Calibri" w:cs="Calibri"/>
          <w:b/>
          <w:bCs/>
          <w:color w:val="auto"/>
          <w:sz w:val="12"/>
          <w:szCs w:val="12"/>
        </w:rPr>
        <w:t>18 U.S.C. Secton 1350</w:t>
      </w:r>
    </w:p>
    <w:p>
      <w:pPr>
        <w:spacing w:after="0" w:line="236" w:lineRule="auto"/>
        <w:jc w:val="center"/>
        <w:rPr>
          <w:color w:val="auto"/>
          <w:sz w:val="20"/>
          <w:szCs w:val="20"/>
        </w:rPr>
      </w:pPr>
      <w:r>
        <w:rPr>
          <w:rFonts w:ascii="Calibri" w:eastAsia="Calibri" w:hAnsi="Calibri" w:cs="Calibri"/>
          <w:b/>
          <w:bCs/>
          <w:color w:val="auto"/>
          <w:sz w:val="12"/>
          <w:szCs w:val="12"/>
        </w:rPr>
        <w:t>As Adopted Pursuant To</w:t>
      </w:r>
    </w:p>
    <w:p>
      <w:pPr>
        <w:spacing w:after="0" w:line="236" w:lineRule="auto"/>
        <w:jc w:val="center"/>
        <w:rPr>
          <w:color w:val="auto"/>
          <w:sz w:val="20"/>
          <w:szCs w:val="20"/>
        </w:rPr>
      </w:pPr>
      <w:r>
        <w:rPr>
          <w:rFonts w:ascii="Calibri" w:eastAsia="Calibri" w:hAnsi="Calibri" w:cs="Calibri"/>
          <w:b/>
          <w:bCs/>
          <w:color w:val="auto"/>
          <w:sz w:val="12"/>
          <w:szCs w:val="12"/>
        </w:rPr>
        <w:t>Secton 906 of the Sarbanes-Oxley Act of 2002</w:t>
      </w:r>
    </w:p>
    <w:p>
      <w:pPr>
        <w:spacing w:after="0" w:line="164" w:lineRule="exact"/>
        <w:rPr>
          <w:color w:val="auto"/>
          <w:sz w:val="20"/>
          <w:szCs w:val="20"/>
        </w:rPr>
      </w:pPr>
    </w:p>
    <w:p>
      <w:pPr>
        <w:spacing w:after="0" w:line="234" w:lineRule="auto"/>
        <w:ind w:right="380" w:firstLine="432"/>
        <w:rPr>
          <w:color w:val="auto"/>
          <w:sz w:val="20"/>
          <w:szCs w:val="20"/>
        </w:rPr>
      </w:pPr>
      <w:r>
        <w:rPr>
          <w:rFonts w:ascii="Calibri" w:eastAsia="Calibri" w:hAnsi="Calibri" w:cs="Calibri"/>
          <w:color w:val="auto"/>
          <w:sz w:val="12"/>
          <w:szCs w:val="12"/>
        </w:rPr>
        <w:t>In connecton with the Annual Report of AbbVie Inc. (the “Company”) on Form 10-K for the period ended December 31, 2024 as fled with the Securites and Exchange Commission (the “Report”), I, Robert A. Michael, Chief Executve Ofcer and Director of the Company, certfy, pursuant to 18 U.S.C. § 1350, as adopted pursuant to § 906 of the Sarbanes-Oxley Act of 2002, that:</w:t>
      </w:r>
    </w:p>
    <w:p>
      <w:pPr>
        <w:spacing w:after="0" w:line="160" w:lineRule="exact"/>
        <w:rPr>
          <w:color w:val="auto"/>
          <w:sz w:val="20"/>
          <w:szCs w:val="20"/>
        </w:rPr>
      </w:pPr>
    </w:p>
    <w:p>
      <w:pPr>
        <w:numPr>
          <w:ilvl w:val="0"/>
          <w:numId w:val="6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The Report fully complies with the requirements of secton 13(a) or 15(d) of the Securites Exchange Act of 1934; and</w:t>
      </w:r>
    </w:p>
    <w:p>
      <w:pPr>
        <w:spacing w:after="0" w:line="159" w:lineRule="exact"/>
        <w:rPr>
          <w:rFonts w:ascii="Calibri" w:eastAsia="Calibri" w:hAnsi="Calibri" w:cs="Calibri"/>
          <w:color w:val="auto"/>
          <w:sz w:val="12"/>
          <w:szCs w:val="12"/>
        </w:rPr>
      </w:pPr>
    </w:p>
    <w:p>
      <w:pPr>
        <w:numPr>
          <w:ilvl w:val="0"/>
          <w:numId w:val="65"/>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The informaton contained in the Report fairly presents, in all material respects, the fnancial conditon and results of operatons of the Company.</w:t>
      </w:r>
    </w:p>
    <w:p>
      <w:pPr>
        <w:spacing w:after="0" w:line="187" w:lineRule="exact"/>
        <w:rPr>
          <w:color w:val="auto"/>
          <w:sz w:val="20"/>
          <w:szCs w:val="20"/>
        </w:rPr>
      </w:pPr>
    </w:p>
    <w:p>
      <w:pPr>
        <w:spacing w:after="0"/>
        <w:rPr>
          <w:color w:val="auto"/>
          <w:sz w:val="20"/>
          <w:szCs w:val="20"/>
        </w:rPr>
      </w:pPr>
      <w:r>
        <w:rPr>
          <w:rFonts w:ascii="Calibri" w:eastAsia="Calibri" w:hAnsi="Calibri" w:cs="Calibri"/>
          <w:color w:val="auto"/>
          <w:sz w:val="12"/>
          <w:szCs w:val="12"/>
        </w:rPr>
        <w:t>/s/ Robert A. Michael</w:t>
      </w:r>
    </w:p>
    <w:p>
      <w:pPr>
        <w:spacing w:after="0" w:line="20" w:lineRule="exact"/>
        <w:rPr>
          <w:color w:val="auto"/>
          <w:sz w:val="20"/>
          <w:szCs w:val="20"/>
        </w:rPr>
      </w:pPr>
      <w:r>
        <w:rPr>
          <w:color w:val="auto"/>
          <w:sz w:val="20"/>
          <w:szCs w:val="20"/>
        </w:rPr>
        <w:drawing>
          <wp:anchor simplePos="0" relativeHeight="252014592" behindDoc="1" locked="0" layoutInCell="0" allowOverlap="1">
            <wp:simplePos x="0" y="0"/>
            <wp:positionH relativeFrom="column">
              <wp:posOffset>-4445</wp:posOffset>
            </wp:positionH>
            <wp:positionV relativeFrom="paragraph">
              <wp:posOffset>22225</wp:posOffset>
            </wp:positionV>
            <wp:extent cx="3314700" cy="5715"/>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pic:cNvPicPr>
                      <a:picLocks noChangeAspect="1" noChangeArrowheads="1"/>
                    </pic:cNvPicPr>
                  </pic:nvPicPr>
                  <pic:blipFill>
                    <a:blip xmlns:r="http://schemas.openxmlformats.org/officeDocument/2006/relationships" r:embed="rId240">
                      <a:extLst>
                        <a:ext xmlns:a="http://schemas.openxmlformats.org/drawingml/2006/main" uri="{28A0092B-C50C-407E-A947-70E740481C1C}">
                          <a14:useLocalDpi xmlns:a14="http://schemas.microsoft.com/office/drawing/2010/main" val="0"/>
                        </a:ext>
                      </a:extLst>
                    </a:blip>
                    <a:stretch>
                      <a:fillRect/>
                    </a:stretch>
                  </pic:blipFill>
                  <pic:spPr bwMode="auto">
                    <a:xfrm>
                      <a:off x="0" y="0"/>
                      <a:ext cx="3314700" cy="5715"/>
                    </a:xfrm>
                    <a:prstGeom prst="rect">
                      <a:avLst/>
                    </a:prstGeom>
                    <a:noFill/>
                  </pic:spPr>
                </pic:pic>
              </a:graphicData>
            </a:graphic>
          </wp:anchor>
        </w:drawing>
      </w:r>
    </w:p>
    <w:p>
      <w:pPr>
        <w:spacing w:after="0" w:line="14" w:lineRule="exact"/>
        <w:rPr>
          <w:color w:val="auto"/>
          <w:sz w:val="20"/>
          <w:szCs w:val="20"/>
        </w:rPr>
      </w:pPr>
    </w:p>
    <w:p>
      <w:pPr>
        <w:spacing w:after="0"/>
        <w:rPr>
          <w:color w:val="auto"/>
          <w:sz w:val="20"/>
          <w:szCs w:val="20"/>
        </w:rPr>
      </w:pPr>
      <w:r>
        <w:rPr>
          <w:rFonts w:ascii="Calibri" w:eastAsia="Calibri" w:hAnsi="Calibri" w:cs="Calibri"/>
          <w:color w:val="auto"/>
          <w:sz w:val="12"/>
          <w:szCs w:val="12"/>
        </w:rPr>
        <w:t>Robert A. Michael</w:t>
      </w:r>
    </w:p>
    <w:p>
      <w:pPr>
        <w:spacing w:after="0" w:line="221" w:lineRule="auto"/>
        <w:rPr>
          <w:color w:val="auto"/>
          <w:sz w:val="20"/>
          <w:szCs w:val="20"/>
        </w:rPr>
      </w:pPr>
      <w:r>
        <w:rPr>
          <w:rFonts w:ascii="Calibri" w:eastAsia="Calibri" w:hAnsi="Calibri" w:cs="Calibri"/>
          <w:color w:val="auto"/>
          <w:sz w:val="12"/>
          <w:szCs w:val="12"/>
        </w:rPr>
        <w:t>Chief Executve Ofcer and Director</w:t>
      </w:r>
    </w:p>
    <w:p>
      <w:pPr>
        <w:spacing w:after="0" w:line="70" w:lineRule="exact"/>
        <w:rPr>
          <w:color w:val="auto"/>
          <w:sz w:val="20"/>
          <w:szCs w:val="20"/>
        </w:rPr>
      </w:pPr>
    </w:p>
    <w:p>
      <w:pPr>
        <w:spacing w:after="0"/>
        <w:rPr>
          <w:color w:val="auto"/>
          <w:sz w:val="20"/>
          <w:szCs w:val="20"/>
        </w:rPr>
      </w:pPr>
      <w:r>
        <w:rPr>
          <w:rFonts w:ascii="Calibri" w:eastAsia="Calibri" w:hAnsi="Calibri" w:cs="Calibri"/>
          <w:color w:val="auto"/>
          <w:sz w:val="12"/>
          <w:szCs w:val="12"/>
        </w:rPr>
        <w:t>February 14, 2025</w:t>
      </w:r>
    </w:p>
    <w:p>
      <w:pPr>
        <w:spacing w:after="0" w:line="331" w:lineRule="exact"/>
        <w:rPr>
          <w:color w:val="auto"/>
          <w:sz w:val="20"/>
          <w:szCs w:val="20"/>
        </w:rPr>
      </w:pPr>
    </w:p>
    <w:p>
      <w:pPr>
        <w:spacing w:after="0"/>
        <w:ind w:left="200"/>
        <w:rPr>
          <w:color w:val="auto"/>
          <w:sz w:val="20"/>
          <w:szCs w:val="20"/>
        </w:rPr>
      </w:pPr>
      <w:r>
        <w:rPr>
          <w:rFonts w:ascii="Calibri" w:eastAsia="Calibri" w:hAnsi="Calibri" w:cs="Calibri"/>
          <w:color w:val="auto"/>
          <w:sz w:val="12"/>
          <w:szCs w:val="12"/>
        </w:rPr>
        <w:t>A signed original of this writen statement required by Secton 906 has been provided to AbbVie Inc. and will be retained by AbbVie Inc. and furnished to the Securites and Exchange Commission or its staf upon request.</w:t>
      </w:r>
    </w:p>
    <w:p>
      <w:pPr>
        <w:sectPr>
          <w:pgSz w:w="11900" w:h="16838" w:orient="portrait"/>
          <w:pgMar w:top="120" w:right="299" w:bottom="1440" w:left="300" w:header="0" w:footer="0" w:gutter="0"/>
          <w:cols w:num="1" w:space="720" w:equalWidth="0">
            <w:col w:w="11300" w:space="0"/>
          </w:cols>
        </w:sectPr>
      </w:pPr>
    </w:p>
    <w:bookmarkStart w:id="178" w:name="page179"/>
    <w:bookmarkEnd w:id="178"/>
    <w:p>
      <w:pPr>
        <w:spacing w:after="0"/>
        <w:jc w:val="right"/>
        <w:rPr>
          <w:color w:val="auto"/>
          <w:sz w:val="20"/>
          <w:szCs w:val="20"/>
        </w:rPr>
      </w:pPr>
      <w:r>
        <w:rPr>
          <w:rFonts w:ascii="Calibri" w:eastAsia="Calibri" w:hAnsi="Calibri" w:cs="Calibri"/>
          <w:b/>
          <w:bCs/>
          <w:color w:val="auto"/>
          <w:sz w:val="12"/>
          <w:szCs w:val="12"/>
        </w:rPr>
        <w:t>Exhibit 32.2</w:t>
      </w:r>
    </w:p>
    <w:p>
      <w:pPr>
        <w:spacing w:after="0" w:line="200" w:lineRule="exact"/>
        <w:rPr>
          <w:color w:val="auto"/>
          <w:sz w:val="20"/>
          <w:szCs w:val="20"/>
        </w:rPr>
      </w:pPr>
    </w:p>
    <w:p>
      <w:pPr>
        <w:spacing w:after="0" w:line="200" w:lineRule="exact"/>
        <w:rPr>
          <w:color w:val="auto"/>
          <w:sz w:val="20"/>
          <w:szCs w:val="20"/>
        </w:rPr>
      </w:pPr>
    </w:p>
    <w:p>
      <w:pPr>
        <w:spacing w:after="0" w:line="291" w:lineRule="exact"/>
        <w:rPr>
          <w:color w:val="auto"/>
          <w:sz w:val="20"/>
          <w:szCs w:val="20"/>
        </w:rPr>
      </w:pPr>
    </w:p>
    <w:p>
      <w:pPr>
        <w:spacing w:after="0"/>
        <w:jc w:val="center"/>
        <w:rPr>
          <w:color w:val="auto"/>
          <w:sz w:val="20"/>
          <w:szCs w:val="20"/>
        </w:rPr>
      </w:pPr>
      <w:r>
        <w:rPr>
          <w:rFonts w:ascii="Calibri" w:eastAsia="Calibri" w:hAnsi="Calibri" w:cs="Calibri"/>
          <w:b/>
          <w:bCs/>
          <w:color w:val="auto"/>
          <w:sz w:val="12"/>
          <w:szCs w:val="12"/>
        </w:rPr>
        <w:t>Certfcaton Pursuant To</w:t>
      </w:r>
    </w:p>
    <w:p>
      <w:pPr>
        <w:spacing w:after="0" w:line="235" w:lineRule="auto"/>
        <w:jc w:val="center"/>
        <w:rPr>
          <w:color w:val="auto"/>
          <w:sz w:val="20"/>
          <w:szCs w:val="20"/>
        </w:rPr>
      </w:pPr>
      <w:r>
        <w:rPr>
          <w:rFonts w:ascii="Calibri" w:eastAsia="Calibri" w:hAnsi="Calibri" w:cs="Calibri"/>
          <w:b/>
          <w:bCs/>
          <w:color w:val="auto"/>
          <w:sz w:val="12"/>
          <w:szCs w:val="12"/>
        </w:rPr>
        <w:t>18 U.S.C. Secton 1350</w:t>
      </w:r>
    </w:p>
    <w:p>
      <w:pPr>
        <w:spacing w:after="0" w:line="236" w:lineRule="auto"/>
        <w:jc w:val="center"/>
        <w:rPr>
          <w:color w:val="auto"/>
          <w:sz w:val="20"/>
          <w:szCs w:val="20"/>
        </w:rPr>
      </w:pPr>
      <w:r>
        <w:rPr>
          <w:rFonts w:ascii="Calibri" w:eastAsia="Calibri" w:hAnsi="Calibri" w:cs="Calibri"/>
          <w:b/>
          <w:bCs/>
          <w:color w:val="auto"/>
          <w:sz w:val="12"/>
          <w:szCs w:val="12"/>
        </w:rPr>
        <w:t>As Adopted Pursuant To</w:t>
      </w:r>
    </w:p>
    <w:p>
      <w:pPr>
        <w:spacing w:after="0" w:line="236" w:lineRule="auto"/>
        <w:jc w:val="center"/>
        <w:rPr>
          <w:color w:val="auto"/>
          <w:sz w:val="20"/>
          <w:szCs w:val="20"/>
        </w:rPr>
      </w:pPr>
      <w:r>
        <w:rPr>
          <w:rFonts w:ascii="Calibri" w:eastAsia="Calibri" w:hAnsi="Calibri" w:cs="Calibri"/>
          <w:b/>
          <w:bCs/>
          <w:color w:val="auto"/>
          <w:sz w:val="12"/>
          <w:szCs w:val="12"/>
        </w:rPr>
        <w:t>Secton 906 of the Sarbanes-Oxley Act of 2002</w:t>
      </w:r>
    </w:p>
    <w:p>
      <w:pPr>
        <w:spacing w:after="0" w:line="164" w:lineRule="exact"/>
        <w:rPr>
          <w:color w:val="auto"/>
          <w:sz w:val="20"/>
          <w:szCs w:val="20"/>
        </w:rPr>
      </w:pPr>
    </w:p>
    <w:p>
      <w:pPr>
        <w:spacing w:after="0" w:line="234" w:lineRule="auto"/>
        <w:ind w:right="120" w:firstLine="432"/>
        <w:rPr>
          <w:color w:val="auto"/>
          <w:sz w:val="20"/>
          <w:szCs w:val="20"/>
        </w:rPr>
      </w:pPr>
      <w:r>
        <w:rPr>
          <w:rFonts w:ascii="Calibri" w:eastAsia="Calibri" w:hAnsi="Calibri" w:cs="Calibri"/>
          <w:color w:val="auto"/>
          <w:sz w:val="12"/>
          <w:szCs w:val="12"/>
        </w:rPr>
        <w:t>In connecton with the Annual Report of AbbVie Inc. (the “Company”) on Form 10-K for the period ended December 31, 2024 as fled with the Securites and Exchange Commission (the “Report”), I, Scot T. Reents, Executve Vice President, Chief Financial Ofcer of the Company, certfy, pursuant to 18 U.S.C. § 1350, as adopted pursuant to § 906 of the Sarbanes-Oxley Act of 2002, that:</w:t>
      </w:r>
    </w:p>
    <w:p>
      <w:pPr>
        <w:spacing w:after="0" w:line="160" w:lineRule="exact"/>
        <w:rPr>
          <w:color w:val="auto"/>
          <w:sz w:val="20"/>
          <w:szCs w:val="20"/>
        </w:rPr>
      </w:pPr>
    </w:p>
    <w:p>
      <w:pPr>
        <w:numPr>
          <w:ilvl w:val="0"/>
          <w:numId w:val="66"/>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The Report fully complies with the requirements of secton 13(a) or 15(d) of the Securites Exchange Act of 1934; and</w:t>
      </w:r>
    </w:p>
    <w:p>
      <w:pPr>
        <w:spacing w:after="0" w:line="159" w:lineRule="exact"/>
        <w:rPr>
          <w:rFonts w:ascii="Calibri" w:eastAsia="Calibri" w:hAnsi="Calibri" w:cs="Calibri"/>
          <w:color w:val="auto"/>
          <w:sz w:val="12"/>
          <w:szCs w:val="12"/>
        </w:rPr>
      </w:pPr>
    </w:p>
    <w:p>
      <w:pPr>
        <w:numPr>
          <w:ilvl w:val="0"/>
          <w:numId w:val="66"/>
        </w:numPr>
        <w:tabs>
          <w:tab w:val="left" w:pos="860"/>
        </w:tabs>
        <w:spacing w:after="0"/>
        <w:ind w:left="860" w:hanging="436"/>
        <w:rPr>
          <w:rFonts w:ascii="Calibri" w:eastAsia="Calibri" w:hAnsi="Calibri" w:cs="Calibri"/>
          <w:color w:val="auto"/>
          <w:sz w:val="12"/>
          <w:szCs w:val="12"/>
        </w:rPr>
      </w:pPr>
      <w:r>
        <w:rPr>
          <w:rFonts w:ascii="Calibri" w:eastAsia="Calibri" w:hAnsi="Calibri" w:cs="Calibri"/>
          <w:color w:val="auto"/>
          <w:sz w:val="12"/>
          <w:szCs w:val="12"/>
        </w:rPr>
        <w:t>The informaton contained in the Report fairly presents, in all material respects, the fnancial conditon and results of operatons of the Company.</w:t>
      </w:r>
    </w:p>
    <w:p>
      <w:pPr>
        <w:spacing w:after="0" w:line="187" w:lineRule="exact"/>
        <w:rPr>
          <w:color w:val="auto"/>
          <w:sz w:val="20"/>
          <w:szCs w:val="20"/>
        </w:rPr>
      </w:pPr>
    </w:p>
    <w:p>
      <w:pPr>
        <w:spacing w:after="0"/>
        <w:rPr>
          <w:color w:val="auto"/>
          <w:sz w:val="20"/>
          <w:szCs w:val="20"/>
        </w:rPr>
      </w:pPr>
      <w:r>
        <w:rPr>
          <w:rFonts w:ascii="Calibri" w:eastAsia="Calibri" w:hAnsi="Calibri" w:cs="Calibri"/>
          <w:color w:val="auto"/>
          <w:sz w:val="12"/>
          <w:szCs w:val="12"/>
        </w:rPr>
        <w:t>/s/ Scot T. Reents</w:t>
      </w:r>
    </w:p>
    <w:p>
      <w:pPr>
        <w:spacing w:after="0" w:line="20" w:lineRule="exact"/>
        <w:rPr>
          <w:color w:val="auto"/>
          <w:sz w:val="20"/>
          <w:szCs w:val="20"/>
        </w:rPr>
      </w:pPr>
      <w:r>
        <w:rPr>
          <w:color w:val="auto"/>
          <w:sz w:val="20"/>
          <w:szCs w:val="20"/>
        </w:rPr>
        <w:drawing>
          <wp:anchor simplePos="0" relativeHeight="252015616" behindDoc="1" locked="0" layoutInCell="0" allowOverlap="1">
            <wp:simplePos x="0" y="0"/>
            <wp:positionH relativeFrom="column">
              <wp:posOffset>-4445</wp:posOffset>
            </wp:positionH>
            <wp:positionV relativeFrom="paragraph">
              <wp:posOffset>10795</wp:posOffset>
            </wp:positionV>
            <wp:extent cx="3268980" cy="5715"/>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Picture 391"/>
                    <pic:cNvPicPr>
                      <a:picLocks noChangeAspect="1" noChangeArrowheads="1"/>
                    </pic:cNvPicPr>
                  </pic:nvPicPr>
                  <pic:blipFill>
                    <a:blip xmlns:r="http://schemas.openxmlformats.org/officeDocument/2006/relationships" r:embed="rId24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68980" cy="5715"/>
                    </a:xfrm>
                    <a:prstGeom prst="rect">
                      <a:avLst/>
                    </a:prstGeom>
                    <a:noFill/>
                  </pic:spPr>
                </pic:pic>
              </a:graphicData>
            </a:graphic>
          </wp:anchor>
        </w:drawing>
      </w:r>
    </w:p>
    <w:p>
      <w:pPr>
        <w:spacing w:after="0"/>
        <w:rPr>
          <w:color w:val="auto"/>
          <w:sz w:val="20"/>
          <w:szCs w:val="20"/>
        </w:rPr>
      </w:pPr>
      <w:r>
        <w:rPr>
          <w:rFonts w:ascii="Calibri" w:eastAsia="Calibri" w:hAnsi="Calibri" w:cs="Calibri"/>
          <w:color w:val="auto"/>
          <w:sz w:val="12"/>
          <w:szCs w:val="12"/>
        </w:rPr>
        <w:t>Scot T. Reents</w:t>
      </w:r>
    </w:p>
    <w:p>
      <w:pPr>
        <w:spacing w:after="0" w:line="221" w:lineRule="auto"/>
        <w:rPr>
          <w:color w:val="auto"/>
          <w:sz w:val="20"/>
          <w:szCs w:val="20"/>
        </w:rPr>
      </w:pPr>
      <w:r>
        <w:rPr>
          <w:rFonts w:ascii="Calibri" w:eastAsia="Calibri" w:hAnsi="Calibri" w:cs="Calibri"/>
          <w:color w:val="auto"/>
          <w:sz w:val="12"/>
          <w:szCs w:val="12"/>
        </w:rPr>
        <w:t>Executve Vice President, Chief Financial Ofcer</w:t>
      </w:r>
    </w:p>
    <w:p>
      <w:pPr>
        <w:spacing w:after="0" w:line="70" w:lineRule="exact"/>
        <w:rPr>
          <w:color w:val="auto"/>
          <w:sz w:val="20"/>
          <w:szCs w:val="20"/>
        </w:rPr>
      </w:pPr>
    </w:p>
    <w:p>
      <w:pPr>
        <w:spacing w:after="0"/>
        <w:rPr>
          <w:color w:val="auto"/>
          <w:sz w:val="20"/>
          <w:szCs w:val="20"/>
        </w:rPr>
      </w:pPr>
      <w:r>
        <w:rPr>
          <w:rFonts w:ascii="Calibri" w:eastAsia="Calibri" w:hAnsi="Calibri" w:cs="Calibri"/>
          <w:color w:val="auto"/>
          <w:sz w:val="12"/>
          <w:szCs w:val="12"/>
        </w:rPr>
        <w:t>February 14, 2025</w:t>
      </w:r>
    </w:p>
    <w:p>
      <w:pPr>
        <w:spacing w:after="0" w:line="160" w:lineRule="exact"/>
        <w:rPr>
          <w:color w:val="auto"/>
          <w:sz w:val="20"/>
          <w:szCs w:val="20"/>
        </w:rPr>
      </w:pPr>
    </w:p>
    <w:p>
      <w:pPr>
        <w:spacing w:after="0"/>
        <w:ind w:left="200"/>
        <w:rPr>
          <w:color w:val="auto"/>
          <w:sz w:val="20"/>
          <w:szCs w:val="20"/>
        </w:rPr>
      </w:pPr>
      <w:r>
        <w:rPr>
          <w:rFonts w:ascii="Calibri" w:eastAsia="Calibri" w:hAnsi="Calibri" w:cs="Calibri"/>
          <w:color w:val="auto"/>
          <w:sz w:val="12"/>
          <w:szCs w:val="12"/>
        </w:rPr>
        <w:t>A signed original of this writen statement required by Secton 906 has been provided to AbbVie Inc. and will be retained by AbbVie Inc. and furnished to the Securites and Exchange Commission or its staf upon request.</w:t>
      </w:r>
    </w:p>
    <w:sectPr>
      <w:pgSz w:w="11900" w:h="16838" w:orient="portrait"/>
      <w:pgMar w:top="120" w:right="299" w:bottom="1440" w:left="300" w:header="0" w:footer="0" w:gutter="0"/>
      <w:cols w:num="1" w:space="720" w:equalWidth="0">
        <w:col w:w="113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8000012" w:usb3="00000000" w:csb0="4002009F" w:csb1="DFD7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072367"/>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0D34B6A8"/>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0233C99"/>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12E685FB"/>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153EA438"/>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15B5AF5C"/>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180115BE"/>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1BA026FA"/>
    <w:multiLevelType w:val="hybridMultilevel"/>
    <w:tmpl w:val="00000000"/>
    <w:lvl w:ilvl="0">
      <w:start w:val="97"/>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1CF10FD8"/>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1D4ED43B"/>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1DBABF00"/>
    <w:multiLevelType w:val="hybridMultilevel"/>
    <w:tmpl w:val="00000000"/>
    <w:lvl w:ilvl="0">
      <w:start w:val="1"/>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235BA861"/>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23F9C13C"/>
    <w:multiLevelType w:val="hybridMultilevel"/>
    <w:tmpl w:val="00000000"/>
    <w:lvl w:ilvl="0">
      <w:start w:val="10"/>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3">
    <w:nsid w:val="2463B9EA"/>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4">
    <w:nsid w:val="25A70BF7"/>
    <w:multiLevelType w:val="hybridMultilevel"/>
    <w:tmpl w:val="00000000"/>
    <w:lvl w:ilvl="0">
      <w:start w:val="1"/>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275AC794"/>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6">
    <w:nsid w:val="2A487CB0"/>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7">
    <w:nsid w:val="2CD89A32"/>
    <w:multiLevelType w:val="hybridMultilevel"/>
    <w:tmpl w:val="00000000"/>
    <w:lvl w:ilvl="0">
      <w:start w:val="1"/>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8">
    <w:nsid w:val="2D517796"/>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9">
    <w:nsid w:val="2F305DEF"/>
    <w:multiLevelType w:val="hybridMultilevel"/>
    <w:tmpl w:val="00000000"/>
    <w:lvl w:ilvl="0">
      <w:start w:val="1"/>
      <w:numFmt w:val="decimal"/>
      <w:lvlText w:val="%1."/>
      <w:lvlJc w:val="left"/>
    </w:lvl>
    <w:lvl w:ilvl="1">
      <w:start w:val="1"/>
      <w:numFmt w:val="lowerLetter"/>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0">
    <w:nsid w:val="3006C83E"/>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1">
    <w:nsid w:val="310C50B3"/>
    <w:multiLevelType w:val="hybridMultilevel"/>
    <w:tmpl w:val="00000000"/>
    <w:lvl w:ilvl="0">
      <w:start w:val="1"/>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2">
    <w:nsid w:val="32FFF902"/>
    <w:multiLevelType w:val="hybridMultilevel"/>
    <w:tmpl w:val="00000000"/>
    <w:lvl w:ilvl="0">
      <w:start w:val="1"/>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3">
    <w:nsid w:val="354FE9F9"/>
    <w:multiLevelType w:val="hybridMultilevel"/>
    <w:tmpl w:val="00000000"/>
    <w:lvl w:ilvl="0">
      <w:start w:val="1"/>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4">
    <w:nsid w:val="374A3FE6"/>
    <w:multiLevelType w:val="hybridMultilevel"/>
    <w:tmpl w:val="00000000"/>
    <w:lvl w:ilvl="0">
      <w:start w:val="1"/>
      <w:numFmt w:val="decimal"/>
      <w:lvlText w:val="%1"/>
      <w:lvlJc w:val="left"/>
    </w:lvl>
    <w:lvl w:ilvl="1">
      <w:start w:val="2"/>
      <w:numFmt w:val="lowerLetter"/>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5">
    <w:nsid w:val="3804823E"/>
    <w:multiLevelType w:val="hybridMultilevel"/>
    <w:tmpl w:val="00000000"/>
    <w:lvl w:ilvl="0">
      <w:start w:val="3"/>
      <w:numFmt w:val="lowerRoman"/>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6">
    <w:nsid w:val="38437FDB"/>
    <w:multiLevelType w:val="hybridMultilevel"/>
    <w:tmpl w:val="00000000"/>
    <w:lvl w:ilvl="0">
      <w:start w:val="1"/>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7">
    <w:nsid w:val="3855585C"/>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8">
    <w:nsid w:val="39386575"/>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9">
    <w:nsid w:val="3DC240FB"/>
    <w:multiLevelType w:val="hybridMultilevel"/>
    <w:tmpl w:val="00000000"/>
    <w:lvl w:ilvl="0">
      <w:start w:val="1"/>
      <w:numFmt w:val="lowerLetter"/>
      <w:lvlText w:val="(%1)"/>
      <w:lvlJc w:val="left"/>
    </w:lvl>
    <w:lvl w:ilvl="1">
      <w:start w:val="1"/>
      <w:numFmt w:val="decimal"/>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0">
    <w:nsid w:val="3F6AB60F"/>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1">
    <w:nsid w:val="419AC241"/>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2">
    <w:nsid w:val="440BADFC"/>
    <w:multiLevelType w:val="hybridMultilevel"/>
    <w:tmpl w:val="00000000"/>
    <w:lvl w:ilvl="0">
      <w:start w:val="1"/>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3">
    <w:nsid w:val="47398C89"/>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4">
    <w:nsid w:val="4B588F54"/>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5">
    <w:nsid w:val="4F4EF005"/>
    <w:multiLevelType w:val="hybridMultilevel"/>
    <w:tmpl w:val="00000000"/>
    <w:lvl w:ilvl="0">
      <w:start w:val="2"/>
      <w:numFmt w:val="decimal"/>
      <w:lvlText w:val="(%1)"/>
      <w:lvlJc w:val="left"/>
    </w:lvl>
    <w:lvl w:ilvl="1">
      <w:start w:val="1"/>
      <w:numFmt w:val="lowerLetter"/>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6">
    <w:nsid w:val="51EAD36B"/>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7">
    <w:nsid w:val="520EEDD1"/>
    <w:multiLevelType w:val="hybridMultilevel"/>
    <w:tmpl w:val="00000000"/>
    <w:lvl w:ilvl="0">
      <w:start w:val="1"/>
      <w:numFmt w:val="decimal"/>
      <w:lvlText w:val="(%1)"/>
      <w:lvlJc w:val="left"/>
    </w:lvl>
    <w:lvl w:ilvl="1">
      <w:start w:val="1"/>
      <w:numFmt w:val="lowerLetter"/>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8">
    <w:nsid w:val="542289EC"/>
    <w:multiLevelType w:val="hybridMultilevel"/>
    <w:tmpl w:val="00000000"/>
    <w:lvl w:ilvl="0">
      <w:start w:val="1"/>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9">
    <w:nsid w:val="5577F8E1"/>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0">
    <w:nsid w:val="579478FE"/>
    <w:multiLevelType w:val="hybridMultilevel"/>
    <w:tmpl w:val="00000000"/>
    <w:lvl w:ilvl="0">
      <w:start w:val="1"/>
      <w:numFmt w:val="lowerLetter"/>
      <w:lvlText w:val="%1"/>
      <w:lvlJc w:val="left"/>
    </w:lvl>
    <w:lvl w:ilvl="1">
      <w:start w:val="1"/>
      <w:numFmt w:val="decimal"/>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1">
    <w:nsid w:val="579BE4F1"/>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2">
    <w:nsid w:val="57E4CCAF"/>
    <w:multiLevelType w:val="hybridMultilevel"/>
    <w:tmpl w:val="00000000"/>
    <w:lvl w:ilvl="0">
      <w:start w:val="2"/>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3">
    <w:nsid w:val="580BD78F"/>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4">
    <w:nsid w:val="5C482A97"/>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5">
    <w:nsid w:val="5E884ADC"/>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6">
    <w:nsid w:val="5FF87E05"/>
    <w:multiLevelType w:val="hybridMultilevel"/>
    <w:tmpl w:val="00000000"/>
    <w:lvl w:ilvl="0">
      <w:start w:val="1"/>
      <w:numFmt w:val="decimal"/>
      <w:lvlText w:val="%1."/>
      <w:lvlJc w:val="left"/>
    </w:lvl>
    <w:lvl w:ilvl="1">
      <w:start w:val="1"/>
      <w:numFmt w:val="lowerLetter"/>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7">
    <w:nsid w:val="614FD4A1"/>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8">
    <w:nsid w:val="61574095"/>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9">
    <w:nsid w:val="649BB77C"/>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0">
    <w:nsid w:val="684A481A"/>
    <w:multiLevelType w:val="hybridMultilevel"/>
    <w:tmpl w:val="00000000"/>
    <w:lvl w:ilvl="0">
      <w:start w:val="1"/>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1">
    <w:nsid w:val="6A2342EC"/>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2">
    <w:nsid w:val="6DE91B18"/>
    <w:multiLevelType w:val="hybridMultilevel"/>
    <w:tmpl w:val="00000000"/>
    <w:lvl w:ilvl="0">
      <w:start w:val="1"/>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3">
    <w:nsid w:val="70A64E2A"/>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4">
    <w:nsid w:val="70C6A529"/>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5">
    <w:nsid w:val="725A06FB"/>
    <w:multiLevelType w:val="hybridMultilevel"/>
    <w:tmpl w:val="00000000"/>
    <w:lvl w:ilvl="0">
      <w:start w:val="1"/>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6">
    <w:nsid w:val="741226BB"/>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7">
    <w:nsid w:val="749ABB43"/>
    <w:multiLevelType w:val="hybridMultilevel"/>
    <w:tmpl w:val="00000000"/>
    <w:lvl w:ilvl="0">
      <w:start w:val="2"/>
      <w:numFmt w:val="lowerLetter"/>
      <w:lvlText w:val="(%1)"/>
      <w:lvlJc w:val="left"/>
    </w:lvl>
    <w:lvl w:ilvl="1">
      <w:start w:val="1"/>
      <w:numFmt w:val="decimal"/>
      <w:lvlText w:val="%2"/>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8">
    <w:nsid w:val="75C6C33A"/>
    <w:multiLevelType w:val="hybridMultilevel"/>
    <w:tmpl w:val="00000000"/>
    <w:lvl w:ilvl="0">
      <w:start w:val="104"/>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9">
    <w:nsid w:val="7644A45C"/>
    <w:multiLevelType w:val="hybridMultilevel"/>
    <w:tmpl w:val="00000000"/>
    <w:lvl w:ilvl="0">
      <w:start w:val="1"/>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0">
    <w:nsid w:val="7724C67E"/>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1">
    <w:nsid w:val="77465F01"/>
    <w:multiLevelType w:val="hybridMultilevel"/>
    <w:tmpl w:val="00000000"/>
    <w:lvl w:ilvl="0">
      <w:start w:val="1"/>
      <w:numFmt w:val="bullet"/>
      <w:lvlText w:v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2">
    <w:nsid w:val="77AE35EB"/>
    <w:multiLevelType w:val="hybridMultilevel"/>
    <w:tmpl w:val="00000000"/>
    <w:lvl w:ilvl="0">
      <w:start w:val="2"/>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3">
    <w:nsid w:val="79A1DEAA"/>
    <w:multiLevelType w:val="hybridMultilevel"/>
    <w:tmpl w:val="00000000"/>
    <w:lvl w:ilvl="0">
      <w:start w:val="101"/>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4">
    <w:nsid w:val="7A6D8D3C"/>
    <w:multiLevelType w:val="hybridMultilevel"/>
    <w:tmpl w:val="00000000"/>
    <w:lvl w:ilvl="0">
      <w:start w:val="1"/>
      <w:numFmt w:val="lowerLetter"/>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5">
    <w:nsid w:val="7E0C57B1"/>
    <w:multiLevelType w:val="hybridMultilevel"/>
    <w:tmpl w:val="00000000"/>
    <w:lvl w:ilvl="0">
      <w:start w:val="1"/>
      <w:numFmt w:val="decimal"/>
      <w:lvlText w:val="(%1)"/>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20"/>
  </w:num>
  <w:num w:numId="2">
    <w:abstractNumId w:val="47"/>
  </w:num>
  <w:num w:numId="3">
    <w:abstractNumId w:val="31"/>
  </w:num>
  <w:num w:numId="4">
    <w:abstractNumId w:val="39"/>
  </w:num>
  <w:num w:numId="5">
    <w:abstractNumId w:val="32"/>
  </w:num>
  <w:num w:numId="6">
    <w:abstractNumId w:val="0"/>
  </w:num>
  <w:num w:numId="7">
    <w:abstractNumId w:val="25"/>
  </w:num>
  <w:num w:numId="8">
    <w:abstractNumId w:val="61"/>
  </w:num>
  <w:num w:numId="9">
    <w:abstractNumId w:val="60"/>
  </w:num>
  <w:num w:numId="10">
    <w:abstractNumId w:val="44"/>
  </w:num>
  <w:num w:numId="11">
    <w:abstractNumId w:val="13"/>
  </w:num>
  <w:num w:numId="12">
    <w:abstractNumId w:val="45"/>
  </w:num>
  <w:num w:numId="13">
    <w:abstractNumId w:val="36"/>
  </w:num>
  <w:num w:numId="14">
    <w:abstractNumId w:val="18"/>
  </w:num>
  <w:num w:numId="15">
    <w:abstractNumId w:val="43"/>
  </w:num>
  <w:num w:numId="16">
    <w:abstractNumId w:val="4"/>
  </w:num>
  <w:num w:numId="17">
    <w:abstractNumId w:val="27"/>
  </w:num>
  <w:num w:numId="18">
    <w:abstractNumId w:val="53"/>
  </w:num>
  <w:num w:numId="19">
    <w:abstractNumId w:val="51"/>
  </w:num>
  <w:num w:numId="20">
    <w:abstractNumId w:val="16"/>
  </w:num>
  <w:num w:numId="21">
    <w:abstractNumId w:val="9"/>
  </w:num>
  <w:num w:numId="22">
    <w:abstractNumId w:val="55"/>
  </w:num>
  <w:num w:numId="23">
    <w:abstractNumId w:val="17"/>
  </w:num>
  <w:num w:numId="24">
    <w:abstractNumId w:val="42"/>
  </w:num>
  <w:num w:numId="25">
    <w:abstractNumId w:val="64"/>
  </w:num>
  <w:num w:numId="26">
    <w:abstractNumId w:val="34"/>
  </w:num>
  <w:num w:numId="27">
    <w:abstractNumId w:val="38"/>
  </w:num>
  <w:num w:numId="28">
    <w:abstractNumId w:val="52"/>
  </w:num>
  <w:num w:numId="29">
    <w:abstractNumId w:val="26"/>
  </w:num>
  <w:num w:numId="30">
    <w:abstractNumId w:val="59"/>
  </w:num>
  <w:num w:numId="31">
    <w:abstractNumId w:val="22"/>
  </w:num>
  <w:num w:numId="32">
    <w:abstractNumId w:val="50"/>
  </w:num>
  <w:num w:numId="33">
    <w:abstractNumId w:val="40"/>
  </w:num>
  <w:num w:numId="34">
    <w:abstractNumId w:val="57"/>
  </w:num>
  <w:num w:numId="35">
    <w:abstractNumId w:val="29"/>
  </w:num>
  <w:num w:numId="36">
    <w:abstractNumId w:val="7"/>
  </w:num>
  <w:num w:numId="37">
    <w:abstractNumId w:val="63"/>
  </w:num>
  <w:num w:numId="38">
    <w:abstractNumId w:val="58"/>
  </w:num>
  <w:num w:numId="39">
    <w:abstractNumId w:val="3"/>
  </w:num>
  <w:num w:numId="40">
    <w:abstractNumId w:val="54"/>
  </w:num>
  <w:num w:numId="41">
    <w:abstractNumId w:val="37"/>
  </w:num>
  <w:num w:numId="42">
    <w:abstractNumId w:val="24"/>
  </w:num>
  <w:num w:numId="43">
    <w:abstractNumId w:val="35"/>
  </w:num>
  <w:num w:numId="44">
    <w:abstractNumId w:val="12"/>
  </w:num>
  <w:num w:numId="45">
    <w:abstractNumId w:val="49"/>
  </w:num>
  <w:num w:numId="46">
    <w:abstractNumId w:val="15"/>
  </w:num>
  <w:num w:numId="47">
    <w:abstractNumId w:val="28"/>
  </w:num>
  <w:num w:numId="48">
    <w:abstractNumId w:val="8"/>
  </w:num>
  <w:num w:numId="49">
    <w:abstractNumId w:val="6"/>
  </w:num>
  <w:num w:numId="50">
    <w:abstractNumId w:val="11"/>
  </w:num>
  <w:num w:numId="51">
    <w:abstractNumId w:val="33"/>
  </w:num>
  <w:num w:numId="52">
    <w:abstractNumId w:val="23"/>
  </w:num>
  <w:num w:numId="53">
    <w:abstractNumId w:val="5"/>
  </w:num>
  <w:num w:numId="54">
    <w:abstractNumId w:val="56"/>
  </w:num>
  <w:num w:numId="55">
    <w:abstractNumId w:val="1"/>
  </w:num>
  <w:num w:numId="56">
    <w:abstractNumId w:val="2"/>
  </w:num>
  <w:num w:numId="57">
    <w:abstractNumId w:val="30"/>
  </w:num>
  <w:num w:numId="58">
    <w:abstractNumId w:val="48"/>
  </w:num>
  <w:num w:numId="59">
    <w:abstractNumId w:val="65"/>
  </w:num>
  <w:num w:numId="60">
    <w:abstractNumId w:val="62"/>
  </w:num>
  <w:num w:numId="61">
    <w:abstractNumId w:val="41"/>
  </w:num>
  <w:num w:numId="62">
    <w:abstractNumId w:val="21"/>
  </w:num>
  <w:num w:numId="63">
    <w:abstractNumId w:val="46"/>
  </w:num>
  <w:num w:numId="64">
    <w:abstractNumId w:val="19"/>
  </w:num>
  <w:num w:numId="65">
    <w:abstractNumId w:val="14"/>
  </w:num>
  <w:num w:numId="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heme="minorEastAsia"/>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00" Type="http://schemas.openxmlformats.org/officeDocument/2006/relationships/hyperlink" Target="https://protect.checkpoint.com/v2/r01/___https://www.sec.gov/Archives/edgar/data/1551152/000155115217000016/abbv-20170331xex102.htm___.YzJ1OnBhdWxiYWtlcm5vdGlmaWVkY29tOmM6bzoxZWJkMjhjMTIwZGZlMzlkNTg2Yzk4NjIzMGI0M2I2Nzo3OjhjNjQ6MzY0M2ZlNjMzZDAxMGM5MDE0NGZkZjQyY2M5MzQzMjBiZDE0MjQ5MmI4YWE5OGY2ZGExODNkOGMzMzJhZTk2ODpwOlQ6Tg" TargetMode="External" /><Relationship Id="rId101" Type="http://schemas.openxmlformats.org/officeDocument/2006/relationships/hyperlink" Target="https://protect.checkpoint.com/v2/r01/___https://www.sec.gov/Archives/edgar/data/1551152/000155115217000016/abbv-20170331xex102.htm___.YzJ1OnBhdWxiYWtlcm5vdGlmaWVkY29tOmM6bzoxZWJkMjhjMTIwZGZlMzlkNTg2Yzk4NjIzMGI0M2I2Nzo3OjhjNjQ6MzY0M2ZlNjMzZDAxMGM5MDE0NGZkZjQyY2M5MzQzMjBiZDE0MjQ5MmI4YWE5OGY2ZGExODNkOGMzMzJhZTk2ODpwOlQ6Tg" TargetMode="External" /><Relationship Id="rId102" Type="http://schemas.openxmlformats.org/officeDocument/2006/relationships/hyperlink" Target="https://protect.checkpoint.com/v2/r01/___https://www.sec.gov/Archives/edgar/data/1551152/000155115218000025/abbv-20180331xex103.htm___.YzJ1OnBhdWxiYWtlcm5vdGlmaWVkY29tOmM6bzoxZWJkMjhjMTIwZGZlMzlkNTg2Yzk4NjIzMGI0M2I2Nzo3OmVjMjc6NzY4ZjNkOTczMzhlMjYwYTZlM2YxNGJmZDJmMzRhZDAwZTcwZDVmMTY0M2FkOTY1MWEyNWMzYTk0NTQ1MDI1NjpwOlQ6Tg" TargetMode="External" /><Relationship Id="rId103" Type="http://schemas.openxmlformats.org/officeDocument/2006/relationships/hyperlink" Target="https://protect.checkpoint.com/v2/r01/___https://www.sec.gov/Archives/edgar/data/1551152/000155115218000025/abbv-20180331xex103.htm___.YzJ1OnBhdWxiYWtlcm5vdGlmaWVkY29tOmM6bzoxZWJkMjhjMTIwZGZlMzlkNTg2Yzk4NjIzMGI0M2I2Nzo3OmVjMjc6NzY4ZjNkOTczMzhlMjYwYTZlM2YxNGJmZDJmMzRhZDAwZTcwZDVmMTY0M2FkOTY1MWEyNWMzYTk0NTQ1MDI1NjpwOlQ6Tg" TargetMode="External" /><Relationship Id="rId104" Type="http://schemas.openxmlformats.org/officeDocument/2006/relationships/hyperlink" Target="https://protect.checkpoint.com/v2/r01/___https://www.sec.gov/Archives/edgar/data/1551152/000155115218000025/abbv-20180331xex103.htm___.YzJ1OnBhdWxiYWtlcm5vdGlmaWVkY29tOmM6bzoxZWJkMjhjMTIwZGZlMzlkNTg2Yzk4NjIzMGI0M2I2Nzo3OmVjMjc6NzY4ZjNkOTczMzhlMjYwYTZlM2YxNGJmZDJmMzRhZDAwZTcwZDVmMTY0M2FkOTY1MWEyNWMzYTk0NTQ1MDI1NjpwOlQ6Tg" TargetMode="External" /><Relationship Id="rId105" Type="http://schemas.openxmlformats.org/officeDocument/2006/relationships/hyperlink" Target="https://protect.checkpoint.com/v2/r01/___https://www.sec.gov/Archives/edgar/data/1551152/000155115218000025/abbv-20180331xex104.htm___.YzJ1OnBhdWxiYWtlcm5vdGlmaWVkY29tOmM6bzoxZWJkMjhjMTIwZGZlMzlkNTg2Yzk4NjIzMGI0M2I2Nzo3OjE1ZjA6MThjOWEwMGYzNjc5YjQ5M2I2OTc5ZDZlOTk2YTAyZTA0ZjY4MDM2ZmJkMzVjY2U2ZmY4ZjViZTA0ZWUzMWIyZTpwOlQ6Tg" TargetMode="External" /><Relationship Id="rId106" Type="http://schemas.openxmlformats.org/officeDocument/2006/relationships/hyperlink" Target="https://protect.checkpoint.com/v2/r01/___https://www.sec.gov/Archives/edgar/data/1551152/000155115218000025/abbv-20180331xex104.htm___.YzJ1OnBhdWxiYWtlcm5vdGlmaWVkY29tOmM6bzoxZWJkMjhjMTIwZGZlMzlkNTg2Yzk4NjIzMGI0M2I2Nzo3OjE1ZjA6MThjOWEwMGYzNjc5YjQ5M2I2OTc5ZDZlOTk2YTAyZTA0ZjY4MDM2ZmJkMzVjY2U2ZmY4ZjViZTA0ZWUzMWIyZTpwOlQ6Tg" TargetMode="External" /><Relationship Id="rId107" Type="http://schemas.openxmlformats.org/officeDocument/2006/relationships/hyperlink" Target="https://protect.checkpoint.com/v2/r01/___https://www.sec.gov/Archives/edgar/data/1551152/000155115218000025/abbv-20180331xex104.htm___.YzJ1OnBhdWxiYWtlcm5vdGlmaWVkY29tOmM6bzoxZWJkMjhjMTIwZGZlMzlkNTg2Yzk4NjIzMGI0M2I2Nzo3OjE1ZjA6MThjOWEwMGYzNjc5YjQ5M2I2OTc5ZDZlOTk2YTAyZTA0ZjY4MDM2ZmJkMzVjY2U2ZmY4ZjViZTA0ZWUzMWIyZTpwOlQ6Tg" TargetMode="External" /><Relationship Id="rId108" Type="http://schemas.openxmlformats.org/officeDocument/2006/relationships/hyperlink" Target="https://protect.checkpoint.com/v2/r01/___https://www.sec.gov/Archives/edgar/data/1551152/000155115219000016/abbv-20190331xex103.htm___.YzJ1OnBhdWxiYWtlcm5vdGlmaWVkY29tOmM6bzoxZWJkMjhjMTIwZGZlMzlkNTg2Yzk4NjIzMGI0M2I2Nzo3OmZkNTI6NDdkNWYwM2EyYTJmZDRmMTRhZWJkMjFiY2UwNDdiOGI4NDhjY2NmYzA5NzExOTZkNWRhMDdhMjZkM2ZhMmRjNTpwOlQ6Tg" TargetMode="External" /><Relationship Id="rId109" Type="http://schemas.openxmlformats.org/officeDocument/2006/relationships/hyperlink" Target="https://protect.checkpoint.com/v2/r01/___https://www.sec.gov/Archives/edgar/data/1551152/000155115219000016/abbv-20190331xex103.htm___.YzJ1OnBhdWxiYWtlcm5vdGlmaWVkY29tOmM6bzoxZWJkMjhjMTIwZGZlMzlkNTg2Yzk4NjIzMGI0M2I2Nzo3OmZkNTI6NDdkNWYwM2EyYTJmZDRmMTRhZWJkMjFiY2UwNDdiOGI4NDhjY2NmYzA5NzExOTZkNWRhMDdhMjZkM2ZhMmRjNTpwOlQ6Tg" TargetMode="External" /><Relationship Id="rId11" Type="http://schemas.openxmlformats.org/officeDocument/2006/relationships/image" Target="media/image8.png" /><Relationship Id="rId110" Type="http://schemas.openxmlformats.org/officeDocument/2006/relationships/hyperlink" Target="https://protect.checkpoint.com/v2/r01/___https://www.sec.gov/Archives/edgar/data/1551152/000155115219000016/abbv-20190331xex103.htm___.YzJ1OnBhdWxiYWtlcm5vdGlmaWVkY29tOmM6bzoxZWJkMjhjMTIwZGZlMzlkNTg2Yzk4NjIzMGI0M2I2Nzo3OmZkNTI6NDdkNWYwM2EyYTJmZDRmMTRhZWJkMjFiY2UwNDdiOGI4NDhjY2NmYzA5NzExOTZkNWRhMDdhMjZkM2ZhMmRjNTpwOlQ6Tg" TargetMode="External" /><Relationship Id="rId111" Type="http://schemas.openxmlformats.org/officeDocument/2006/relationships/hyperlink" Target="https://protect.checkpoint.com/v2/r01/___https://www.sec.gov/Archives/edgar/data/1551152/000155115219000016/abbv-20190331xex104.htm___.YzJ1OnBhdWxiYWtlcm5vdGlmaWVkY29tOmM6bzoxZWJkMjhjMTIwZGZlMzlkNTg2Yzk4NjIzMGI0M2I2Nzo3OjJkZjM6Zjc3OGU5NmI5NWM5MDVhNDllMWFiY2RhNzYzNTI4YzJiYjg3OGIxNGJlMjM2ZWQzYTI1NzIyYWYwM2Y4Y2ZjYTpwOlQ6Tg" TargetMode="External" /><Relationship Id="rId112" Type="http://schemas.openxmlformats.org/officeDocument/2006/relationships/hyperlink" Target="https://protect.checkpoint.com/v2/r01/___https://www.sec.gov/Archives/edgar/data/1551152/000155115219000016/abbv-20190331xex104.htm___.YzJ1OnBhdWxiYWtlcm5vdGlmaWVkY29tOmM6bzoxZWJkMjhjMTIwZGZlMzlkNTg2Yzk4NjIzMGI0M2I2Nzo3OjJkZjM6Zjc3OGU5NmI5NWM5MDVhNDllMWFiY2RhNzYzNTI4YzJiYjg3OGIxNGJlMjM2ZWQzYTI1NzIyYWYwM2Y4Y2ZjYTpwOlQ6Tg" TargetMode="External" /><Relationship Id="rId113" Type="http://schemas.openxmlformats.org/officeDocument/2006/relationships/hyperlink" Target="https://protect.checkpoint.com/v2/r01/___https://www.sec.gov/Archives/edgar/data/1551152/000155115219000016/abbv-20190331xex104.htm___.YzJ1OnBhdWxiYWtlcm5vdGlmaWVkY29tOmM6bzoxZWJkMjhjMTIwZGZlMzlkNTg2Yzk4NjIzMGI0M2I2Nzo3OjJkZjM6Zjc3OGU5NmI5NWM5MDVhNDllMWFiY2RhNzYzNTI4YzJiYjg3OGIxNGJlMjM2ZWQzYTI1NzIyYWYwM2Y4Y2ZjYTpwOlQ6Tg" TargetMode="External" /><Relationship Id="rId114" Type="http://schemas.openxmlformats.org/officeDocument/2006/relationships/hyperlink" Target="https://protect.checkpoint.com/v2/r01/___https://www.sec.gov/Archives/edgar/data/1551152/000155115220000015/abbv-20200331xex103.htm___.YzJ1OnBhdWxiYWtlcm5vdGlmaWVkY29tOmM6bzoxZWJkMjhjMTIwZGZlMzlkNTg2Yzk4NjIzMGI0M2I2Nzo3OmNhOWY6MDZjY2ZhZjc2MDIyYzZhMWU3MjJiNTAyZmRkMTQwOGY2MDIwOTM2MDFkMTk4YjNlYmFhZjIzMDlkNTZjNjY5ODpwOlQ6Tg" TargetMode="External" /><Relationship Id="rId115" Type="http://schemas.openxmlformats.org/officeDocument/2006/relationships/hyperlink" Target="https://protect.checkpoint.com/v2/r01/___https://www.sec.gov/Archives/edgar/data/1551152/000155115220000015/abbv-20200331xex103.htm___.YzJ1OnBhdWxiYWtlcm5vdGlmaWVkY29tOmM6bzoxZWJkMjhjMTIwZGZlMzlkNTg2Yzk4NjIzMGI0M2I2Nzo3OmNhOWY6MDZjY2ZhZjc2MDIyYzZhMWU3MjJiNTAyZmRkMTQwOGY2MDIwOTM2MDFkMTk4YjNlYmFhZjIzMDlkNTZjNjY5ODpwOlQ6Tg" TargetMode="External" /><Relationship Id="rId116" Type="http://schemas.openxmlformats.org/officeDocument/2006/relationships/hyperlink" Target="https://protect.checkpoint.com/v2/r01/___https://www.sec.gov/Archives/edgar/data/1551152/000155115220000015/abbv-20200331xex103.htm___.YzJ1OnBhdWxiYWtlcm5vdGlmaWVkY29tOmM6bzoxZWJkMjhjMTIwZGZlMzlkNTg2Yzk4NjIzMGI0M2I2Nzo3OmNhOWY6MDZjY2ZhZjc2MDIyYzZhMWU3MjJiNTAyZmRkMTQwOGY2MDIwOTM2MDFkMTk4YjNlYmFhZjIzMDlkNTZjNjY5ODpwOlQ6Tg" TargetMode="External" /><Relationship Id="rId117" Type="http://schemas.openxmlformats.org/officeDocument/2006/relationships/hyperlink" Target="https://protect.checkpoint.com/v2/r01/___https://www.sec.gov/Archives/edgar/data/1551152/000155115220000015/abbv-20200331xex104.htm___.YzJ1OnBhdWxiYWtlcm5vdGlmaWVkY29tOmM6bzoxZWJkMjhjMTIwZGZlMzlkNTg2Yzk4NjIzMGI0M2I2Nzo3OmY2NGM6MTk3NGZhNzc4MWVlY2FkMmMxMGVjY2Q2ZDM0MTg4MTI4ZGM2M2NkMTFhZjQ4MjI0ZTBjZWFkMWNiMzc2YWRlODpwOlQ6Tg" TargetMode="External" /><Relationship Id="rId118" Type="http://schemas.openxmlformats.org/officeDocument/2006/relationships/hyperlink" Target="https://protect.checkpoint.com/v2/r01/___https://www.sec.gov/Archives/edgar/data/1551152/000155115220000015/abbv-20200331xex104.htm___.YzJ1OnBhdWxiYWtlcm5vdGlmaWVkY29tOmM6bzoxZWJkMjhjMTIwZGZlMzlkNTg2Yzk4NjIzMGI0M2I2Nzo3OmY2NGM6MTk3NGZhNzc4MWVlY2FkMmMxMGVjY2Q2ZDM0MTg4MTI4ZGM2M2NkMTFhZjQ4MjI0ZTBjZWFkMWNiMzc2YWRlODpwOlQ6Tg" TargetMode="External" /><Relationship Id="rId119" Type="http://schemas.openxmlformats.org/officeDocument/2006/relationships/hyperlink" Target="https://protect.checkpoint.com/v2/r01/___https://www.sec.gov/Archives/edgar/data/1551152/000155115220000015/abbv-20200331xex104.htm___.YzJ1OnBhdWxiYWtlcm5vdGlmaWVkY29tOmM6bzoxZWJkMjhjMTIwZGZlMzlkNTg2Yzk4NjIzMGI0M2I2Nzo3OmY2NGM6MTk3NGZhNzc4MWVlY2FkMmMxMGVjY2Q2ZDM0MTg4MTI4ZGM2M2NkMTFhZjQ4MjI0ZTBjZWFkMWNiMzc2YWRlODpwOlQ6Tg" TargetMode="External" /><Relationship Id="rId12" Type="http://schemas.openxmlformats.org/officeDocument/2006/relationships/image" Target="media/image9.jpeg" /><Relationship Id="rId120" Type="http://schemas.openxmlformats.org/officeDocument/2006/relationships/hyperlink" Target="https://protect.checkpoint.com/v2/r01/___https://www.sec.gov/Archives/edgar/data/1551152/000141057819000980/tv528398_ex10-1.htm___.YzJ1OnBhdWxiYWtlcm5vdGlmaWVkY29tOmM6bzoxZWJkMjhjMTIwZGZlMzlkNTg2Yzk4NjIzMGI0M2I2Nzo3OmJjNGQ6YjQ2NTRhZWFkN2JiMTllMjUyZTAzMzNmN2Q1N2QxZWI3NjE4MzZhY2I3YTFiOGMxN2Q5YmE1NTEwZmRiYTU1ODpwOlQ6Tg" TargetMode="External" /><Relationship Id="rId121" Type="http://schemas.openxmlformats.org/officeDocument/2006/relationships/hyperlink" Target="https://protect.checkpoint.com/v2/r01/___https://www.sec.gov/Archives/edgar/data/1551152/000141057819000980/tv528398_ex10-1.htm___.YzJ1OnBhdWxiYWtlcm5vdGlmaWVkY29tOmM6bzoxZWJkMjhjMTIwZGZlMzlkNTg2Yzk4NjIzMGI0M2I2Nzo3OmJjNGQ6YjQ2NTRhZWFkN2JiMTllMjUyZTAzMzNmN2Q1N2QxZWI3NjE4MzZhY2I3YTFiOGMxN2Q5YmE1NTEwZmRiYTU1ODpwOlQ6Tg" TargetMode="External" /><Relationship Id="rId122" Type="http://schemas.openxmlformats.org/officeDocument/2006/relationships/hyperlink" Target="https://protect.checkpoint.com/v2/r01/___https://www.sec.gov/Archives/edgar/data/1551152/000141057819000980/tv528398_ex10-1.htm___.YzJ1OnBhdWxiYWtlcm5vdGlmaWVkY29tOmM6bzoxZWJkMjhjMTIwZGZlMzlkNTg2Yzk4NjIzMGI0M2I2Nzo3OmJjNGQ6YjQ2NTRhZWFkN2JiMTllMjUyZTAzMzNmN2Q1N2QxZWI3NjE4MzZhY2I3YTFiOGMxN2Q5YmE1NTEwZmRiYTU1ODpwOlQ6Tg" TargetMode="External" /><Relationship Id="rId123" Type="http://schemas.openxmlformats.org/officeDocument/2006/relationships/hyperlink" Target="https://protect.checkpoint.com/v2/r01/___https://www.sec.gov/Archives/edgar/data/1551152/000110465919037446/a19-12093_1ex10d1.htm___.YzJ1OnBhdWxiYWtlcm5vdGlmaWVkY29tOmM6bzoxZWJkMjhjMTIwZGZlMzlkNTg2Yzk4NjIzMGI0M2I2Nzo3OmYyNzU6ZDFhNmNmNTU5MzJmOTA1M2FkZGUxYjgxZjViM2I0OTkyMWIyMDI5NDlhYjFhZDg4MTYyMmI0NjQzOTkwZTI1MjpwOlQ6Tg" TargetMode="External" /><Relationship Id="rId124" Type="http://schemas.openxmlformats.org/officeDocument/2006/relationships/hyperlink" Target="https://protect.checkpoint.com/v2/r01/___https://www.sec.gov/Archives/edgar/data/1551152/000110465919037446/a19-12093_1ex10d1.htm___.YzJ1OnBhdWxiYWtlcm5vdGlmaWVkY29tOmM6bzoxZWJkMjhjMTIwZGZlMzlkNTg2Yzk4NjIzMGI0M2I2Nzo3OmYyNzU6ZDFhNmNmNTU5MzJmOTA1M2FkZGUxYjgxZjViM2I0OTkyMWIyMDI5NDlhYjFhZDg4MTYyMmI0NjQzOTkwZTI1MjpwOlQ6Tg" TargetMode="External" /><Relationship Id="rId125" Type="http://schemas.openxmlformats.org/officeDocument/2006/relationships/hyperlink" Target="https://protect.checkpoint.com/v2/r01/___https://www.sec.gov/Archives/edgar/data/1551152/000110465919037446/a19-12093_1ex10d1.htm___.YzJ1OnBhdWxiYWtlcm5vdGlmaWVkY29tOmM6bzoxZWJkMjhjMTIwZGZlMzlkNTg2Yzk4NjIzMGI0M2I2Nzo3OmYyNzU6ZDFhNmNmNTU5MzJmOTA1M2FkZGUxYjgxZjViM2I0OTkyMWIyMDI5NDlhYjFhZDg4MTYyMmI0NjQzOTkwZTI1MjpwOlQ6Tg" TargetMode="External" /><Relationship Id="rId126" Type="http://schemas.openxmlformats.org/officeDocument/2006/relationships/hyperlink" Target="https://protect.checkpoint.com/v2/r01/___https://www.sec.gov/Archives/edgar/data/1551152/000141057819001379/tv529698_ex1-1.htm___.YzJ1OnBhdWxiYWtlcm5vdGlmaWVkY29tOmM6bzoxZWJkMjhjMTIwZGZlMzlkNTg2Yzk4NjIzMGI0M2I2Nzo3OjI3ZmM6ZTA4ZWU4YTgyOWYwMjUyOWEwMzgxMWExMDk0NWMzMTViNzg3M2VmZWQyOWE1Y2M2ODNhMDAwZjZkYzdhZWE4NDpwOlQ6Tg" TargetMode="External" /><Relationship Id="rId127" Type="http://schemas.openxmlformats.org/officeDocument/2006/relationships/hyperlink" Target="https://protect.checkpoint.com/v2/r01/___https://www.sec.gov/Archives/edgar/data/1551152/000141057819001379/tv529698_ex1-1.htm___.YzJ1OnBhdWxiYWtlcm5vdGlmaWVkY29tOmM6bzoxZWJkMjhjMTIwZGZlMzlkNTg2Yzk4NjIzMGI0M2I2Nzo3OjI3ZmM6ZTA4ZWU4YTgyOWYwMjUyOWEwMzgxMWExMDk0NWMzMTViNzg3M2VmZWQyOWE1Y2M2ODNhMDAwZjZkYzdhZWE4NDpwOlQ6Tg" TargetMode="External" /><Relationship Id="rId128" Type="http://schemas.openxmlformats.org/officeDocument/2006/relationships/hyperlink" Target="https://protect.checkpoint.com/v2/r01/___https://www.sec.gov/Archives/edgar/data/1551152/000141057819001379/tv529698_ex1-1.htm___.YzJ1OnBhdWxiYWtlcm5vdGlmaWVkY29tOmM6bzoxZWJkMjhjMTIwZGZlMzlkNTg2Yzk4NjIzMGI0M2I2Nzo3OjI3ZmM6ZTA4ZWU4YTgyOWYwMjUyOWEwMzgxMWExMDk0NWMzMTViNzg3M2VmZWQyOWE1Y2M2ODNhMDAwZjZkYzdhZWE4NDpwOlQ6Tg" TargetMode="External" /><Relationship Id="rId129" Type="http://schemas.openxmlformats.org/officeDocument/2006/relationships/hyperlink" Target="https://protect.checkpoint.com/v2/r01/___https://www.sec.gov/Archives/edgar/data/1551152/000141057819001379/tv529698_ex1-1.htm___.YzJ1OnBhdWxiYWtlcm5vdGlmaWVkY29tOmM6bzoxZWJkMjhjMTIwZGZlMzlkNTg2Yzk4NjIzMGI0M2I2Nzo3OjI3ZmM6ZTA4ZWU4YTgyOWYwMjUyOWEwMzgxMWExMDk0NWMzMTViNzg3M2VmZWQyOWE1Y2M2ODNhMDAwZjZkYzdhZWE4NDpwOlQ6Tg" TargetMode="External" /><Relationship Id="rId13" Type="http://schemas.openxmlformats.org/officeDocument/2006/relationships/image" Target="media/image10.png" /><Relationship Id="rId130" Type="http://schemas.openxmlformats.org/officeDocument/2006/relationships/hyperlink" Target="https://protect.checkpoint.com/v2/r01/___https://www.sec.gov/Archives/edgar/data/1551152/000110465919063366/tm1922692d1_ex1-1.htm___.YzJ1OnBhdWxiYWtlcm5vdGlmaWVkY29tOmM6bzoxZWJkMjhjMTIwZGZlMzlkNTg2Yzk4NjIzMGI0M2I2Nzo3OmI5MDI6NzliMzQ5NzljMzYxM2M1Zjg4MTMyZGI1ZDQwMjEwMmFhY2JiYTdiYzM3ZGViZmFkZTVjN2EyYWUxMDIyODA5ZDpwOlQ6Tg" TargetMode="External" /><Relationship Id="rId131" Type="http://schemas.openxmlformats.org/officeDocument/2006/relationships/hyperlink" Target="https://protect.checkpoint.com/v2/r01/___https://www.sec.gov/Archives/edgar/data/1551152/000110465919063366/tm1922692d1_ex1-1.htm___.YzJ1OnBhdWxiYWtlcm5vdGlmaWVkY29tOmM6bzoxZWJkMjhjMTIwZGZlMzlkNTg2Yzk4NjIzMGI0M2I2Nzo3OmI5MDI6NzliMzQ5NzljMzYxM2M1Zjg4MTMyZGI1ZDQwMjEwMmFhY2JiYTdiYzM3ZGViZmFkZTVjN2EyYWUxMDIyODA5ZDpwOlQ6Tg" TargetMode="External" /><Relationship Id="rId132" Type="http://schemas.openxmlformats.org/officeDocument/2006/relationships/hyperlink" Target="https://protect.checkpoint.com/v2/r01/___https://www.sec.gov/Archives/edgar/data/1551152/000110465919063366/tm1922692d1_ex1-1.htm___.YzJ1OnBhdWxiYWtlcm5vdGlmaWVkY29tOmM6bzoxZWJkMjhjMTIwZGZlMzlkNTg2Yzk4NjIzMGI0M2I2Nzo3OmI5MDI6NzliMzQ5NzljMzYxM2M1Zjg4MTMyZGI1ZDQwMjEwMmFhY2JiYTdiYzM3ZGViZmFkZTVjN2EyYWUxMDIyODA5ZDpwOlQ6Tg" TargetMode="External" /><Relationship Id="rId133" Type="http://schemas.openxmlformats.org/officeDocument/2006/relationships/hyperlink" Target="https://protect.checkpoint.com/v2/r01/___https://www.sec.gov/Archives/edgar/data/1551152/000155115221000016/abbv-20210331xex103.htm___.YzJ1OnBhdWxiYWtlcm5vdGlmaWVkY29tOmM6bzoxZWJkMjhjMTIwZGZlMzlkNTg2Yzk4NjIzMGI0M2I2Nzo3OmY2MDg6Y2FjMjc2M2FiY2IyNzY0ZDJkMWNkYjE3MTY3YTFlM2JmNDcyNWNhYjFhM2Q4Y2NhY2I2MTkzZDk4YmU5ZWJhZjpwOlQ6Tg" TargetMode="External" /><Relationship Id="rId134" Type="http://schemas.openxmlformats.org/officeDocument/2006/relationships/hyperlink" Target="https://protect.checkpoint.com/v2/r01/___https://www.sec.gov/Archives/edgar/data/1551152/000155115221000016/abbv-20210331xex103.htm___.YzJ1OnBhdWxiYWtlcm5vdGlmaWVkY29tOmM6bzoxZWJkMjhjMTIwZGZlMzlkNTg2Yzk4NjIzMGI0M2I2Nzo3OmY2MDg6Y2FjMjc2M2FiY2IyNzY0ZDJkMWNkYjE3MTY3YTFlM2JmNDcyNWNhYjFhM2Q4Y2NhY2I2MTkzZDk4YmU5ZWJhZjpwOlQ6Tg" TargetMode="External" /><Relationship Id="rId135" Type="http://schemas.openxmlformats.org/officeDocument/2006/relationships/hyperlink" Target="https://protect.checkpoint.com/v2/r01/___https://www.sec.gov/Archives/edgar/data/1551152/000155115221000016/abbv-20210331xex103.htm___.YzJ1OnBhdWxiYWtlcm5vdGlmaWVkY29tOmM6bzoxZWJkMjhjMTIwZGZlMzlkNTg2Yzk4NjIzMGI0M2I2Nzo3OmY2MDg6Y2FjMjc2M2FiY2IyNzY0ZDJkMWNkYjE3MTY3YTFlM2JmNDcyNWNhYjFhM2Q4Y2NhY2I2MTkzZDk4YmU5ZWJhZjpwOlQ6Tg" TargetMode="External" /><Relationship Id="rId136" Type="http://schemas.openxmlformats.org/officeDocument/2006/relationships/hyperlink" Target="https://protect.checkpoint.com/v2/r01/___https://www.sec.gov/Archives/edgar/data/1551152/000155115221000016/abbv-20210331xex104.htm___.YzJ1OnBhdWxiYWtlcm5vdGlmaWVkY29tOmM6bzoxZWJkMjhjMTIwZGZlMzlkNTg2Yzk4NjIzMGI0M2I2Nzo3OmNjNGQ6MGY3NWQ3ZjVjNDA4ZTAzNDY4Nzc4MWYwMjkyZTI2MzkyM2NlODE3MjhlNTU5MjEwMDUxN2RlNzg2ZmQyMDhhZDpwOlQ6Tg" TargetMode="External" /><Relationship Id="rId137" Type="http://schemas.openxmlformats.org/officeDocument/2006/relationships/hyperlink" Target="https://protect.checkpoint.com/v2/r01/___https://www.sec.gov/Archives/edgar/data/1551152/000155115221000016/abbv-20210331xex104.htm___.YzJ1OnBhdWxiYWtlcm5vdGlmaWVkY29tOmM6bzoxZWJkMjhjMTIwZGZlMzlkNTg2Yzk4NjIzMGI0M2I2Nzo3OmNjNGQ6MGY3NWQ3ZjVjNDA4ZTAzNDY4Nzc4MWYwMjkyZTI2MzkyM2NlODE3MjhlNTU5MjEwMDUxN2RlNzg2ZmQyMDhhZDpwOlQ6Tg" TargetMode="External" /><Relationship Id="rId138" Type="http://schemas.openxmlformats.org/officeDocument/2006/relationships/hyperlink" Target="https://protect.checkpoint.com/v2/r01/___https://www.sec.gov/Archives/edgar/data/1551152/000155115221000016/abbv-20210331xex104.htm___.YzJ1OnBhdWxiYWtlcm5vdGlmaWVkY29tOmM6bzoxZWJkMjhjMTIwZGZlMzlkNTg2Yzk4NjIzMGI0M2I2Nzo3OmNjNGQ6MGY3NWQ3ZjVjNDA4ZTAzNDY4Nzc4MWYwMjkyZTI2MzkyM2NlODE3MjhlNTU5MjEwMDUxN2RlNzg2ZmQyMDhhZDpwOlQ6Tg" TargetMode="External" /><Relationship Id="rId139" Type="http://schemas.openxmlformats.org/officeDocument/2006/relationships/hyperlink" Target="https://protect.checkpoint.com/v2/r01/___https://www.sec.gov/Archives/edgar/data/1551152/000155115222000007/abbv-20211231xex103.htm___.YzJ1OnBhdWxiYWtlcm5vdGlmaWVkY29tOmM6bzoxZWJkMjhjMTIwZGZlMzlkNTg2Yzk4NjIzMGI0M2I2Nzo3OmRmMmI6ZTM5YTgyOTVmNjQ1Y2I0NjQzN2U2M2U4M2QxZjBiYjY5N2QyNTkwYjE4Zjg0MDIyOGI5N2E3ZGJjN2E4YjMxODpwOlQ6Tg" TargetMode="External" /><Relationship Id="rId14" Type="http://schemas.openxmlformats.org/officeDocument/2006/relationships/image" Target="media/image11.png" /><Relationship Id="rId140" Type="http://schemas.openxmlformats.org/officeDocument/2006/relationships/hyperlink" Target="https://protect.checkpoint.com/v2/r01/___https://www.sec.gov/Archives/edgar/data/1551152/000155115222000007/abbv-20211231xex103.htm___.YzJ1OnBhdWxiYWtlcm5vdGlmaWVkY29tOmM6bzoxZWJkMjhjMTIwZGZlMzlkNTg2Yzk4NjIzMGI0M2I2Nzo3OmRmMmI6ZTM5YTgyOTVmNjQ1Y2I0NjQzN2U2M2U4M2QxZjBiYjY5N2QyNTkwYjE4Zjg0MDIyOGI5N2E3ZGJjN2E4YjMxODpwOlQ6Tg" TargetMode="External" /><Relationship Id="rId141" Type="http://schemas.openxmlformats.org/officeDocument/2006/relationships/hyperlink" Target="https://protect.checkpoint.com/v2/r01/___https://www.sec.gov/Archives/edgar/data/1551152/000155115222000007/abbv-20211231xex103.htm___.YzJ1OnBhdWxiYWtlcm5vdGlmaWVkY29tOmM6bzoxZWJkMjhjMTIwZGZlMzlkNTg2Yzk4NjIzMGI0M2I2Nzo3OmRmMmI6ZTM5YTgyOTVmNjQ1Y2I0NjQzN2U2M2U4M2QxZjBiYjY5N2QyNTkwYjE4Zjg0MDIyOGI5N2E3ZGJjN2E4YjMxODpwOlQ6Tg" TargetMode="External" /><Relationship Id="rId142" Type="http://schemas.openxmlformats.org/officeDocument/2006/relationships/hyperlink" Target="https://protect.checkpoint.com/v2/r01/___https://www.sec.gov/Archives/edgar/data/1551152/000155115223000045/abbv-20230930xex101.htm___.YzJ1OnBhdWxiYWtlcm5vdGlmaWVkY29tOmM6bzoxZWJkMjhjMTIwZGZlMzlkNTg2Yzk4NjIzMGI0M2I2Nzo3OjQzMTA6MDVjMjA1ZmU4OTljMmZkOGI5ZTY2YWEzZWI3Y2E4MjY4MjNkYTNiYjkyNDAzZDFhMTU0NTNjNzM0ZTlhNTkzYTpwOlQ6Tg" TargetMode="External" /><Relationship Id="rId143" Type="http://schemas.openxmlformats.org/officeDocument/2006/relationships/hyperlink" Target="https://protect.checkpoint.com/v2/r01/___https://www.sec.gov/Archives/edgar/data/1551152/000155115223000045/abbv-20230930xex101.htm___.YzJ1OnBhdWxiYWtlcm5vdGlmaWVkY29tOmM6bzoxZWJkMjhjMTIwZGZlMzlkNTg2Yzk4NjIzMGI0M2I2Nzo3OjQzMTA6MDVjMjA1ZmU4OTljMmZkOGI5ZTY2YWEzZWI3Y2E4MjY4MjNkYTNiYjkyNDAzZDFhMTU0NTNjNzM0ZTlhNTkzYTpwOlQ6Tg" TargetMode="External" /><Relationship Id="rId144" Type="http://schemas.openxmlformats.org/officeDocument/2006/relationships/hyperlink" Target="https://protect.checkpoint.com/v2/r01/___https://www.sec.gov/Archives/edgar/data/1551152/000155115223000045/abbv-20230930xex101.htm___.YzJ1OnBhdWxiYWtlcm5vdGlmaWVkY29tOmM6bzoxZWJkMjhjMTIwZGZlMzlkNTg2Yzk4NjIzMGI0M2I2Nzo3OjQzMTA6MDVjMjA1ZmU4OTljMmZkOGI5ZTY2YWEzZWI3Y2E4MjY4MjNkYTNiYjkyNDAzZDFhMTU0NTNjNzM0ZTlhNTkzYTpwOlQ6Tg" TargetMode="External" /><Relationship Id="rId145" Type="http://schemas.openxmlformats.org/officeDocument/2006/relationships/hyperlink" Target="https://protect.checkpoint.com/v2/r01/___https://www.sec.gov/Archives/edgar/data/1551152/000155115222000007/abbv-20211231xex105.htm___.YzJ1OnBhdWxiYWtlcm5vdGlmaWVkY29tOmM6bzoxZWJkMjhjMTIwZGZlMzlkNTg2Yzk4NjIzMGI0M2I2Nzo3OjFkNGE6Y2VhMmY4NzUzMjYyNDc5YjY5MmMwYTYwNTIzMWEyZDUzNTNkNmRhZmEyYmYzYzQ2YWZiM2Q0MTI0M2JjYjYzYTpwOlQ6Tg" TargetMode="External" /><Relationship Id="rId146" Type="http://schemas.openxmlformats.org/officeDocument/2006/relationships/hyperlink" Target="https://protect.checkpoint.com/v2/r01/___https://www.sec.gov/Archives/edgar/data/1551152/000155115222000007/abbv-20211231xex105.htm___.YzJ1OnBhdWxiYWtlcm5vdGlmaWVkY29tOmM6bzoxZWJkMjhjMTIwZGZlMzlkNTg2Yzk4NjIzMGI0M2I2Nzo3OjFkNGE6Y2VhMmY4NzUzMjYyNDc5YjY5MmMwYTYwNTIzMWEyZDUzNTNkNmRhZmEyYmYzYzQ2YWZiM2Q0MTI0M2JjYjYzYTpwOlQ6Tg" TargetMode="External" /><Relationship Id="rId147" Type="http://schemas.openxmlformats.org/officeDocument/2006/relationships/hyperlink" Target="https://protect.checkpoint.com/v2/r01/___https://www.sec.gov/Archives/edgar/data/1551152/000155115222000007/abbv-20211231xex105.htm___.YzJ1OnBhdWxiYWtlcm5vdGlmaWVkY29tOmM6bzoxZWJkMjhjMTIwZGZlMzlkNTg2Yzk4NjIzMGI0M2I2Nzo3OjFkNGE6Y2VhMmY4NzUzMjYyNDc5YjY5MmMwYTYwNTIzMWEyZDUzNTNkNmRhZmEyYmYzYzQ2YWZiM2Q0MTI0M2JjYjYzYTpwOlQ6Tg" TargetMode="External" /><Relationship Id="rId148" Type="http://schemas.openxmlformats.org/officeDocument/2006/relationships/hyperlink" Target="https://protect.checkpoint.com/v2/r01/___https://www.sec.gov/Archives/edgar/data/1551152/000155115222000007/abbv-20211231xex106.htm___.YzJ1OnBhdWxiYWtlcm5vdGlmaWVkY29tOmM6bzoxZWJkMjhjMTIwZGZlMzlkNTg2Yzk4NjIzMGI0M2I2Nzo3OmVmMTI6OTcyZmEyZDE0MjQxZjJiMTI2N2RmNjI2YzBkMDE4Zjg0NjMwMmQ3ZTM3YzE1ODkyMzgyOTc1ZmRkNGFlNjE1MTpwOlQ6Tg" TargetMode="External" /><Relationship Id="rId149" Type="http://schemas.openxmlformats.org/officeDocument/2006/relationships/hyperlink" Target="https://protect.checkpoint.com/v2/r01/___https://www.sec.gov/Archives/edgar/data/1551152/000155115222000007/abbv-20211231xex106.htm___.YzJ1OnBhdWxiYWtlcm5vdGlmaWVkY29tOmM6bzoxZWJkMjhjMTIwZGZlMzlkNTg2Yzk4NjIzMGI0M2I2Nzo3OmVmMTI6OTcyZmEyZDE0MjQxZjJiMTI2N2RmNjI2YzBkMDE4Zjg0NjMwMmQ3ZTM3YzE1ODkyMzgyOTc1ZmRkNGFlNjE1MTpwOlQ6Tg" TargetMode="External" /><Relationship Id="rId15" Type="http://schemas.openxmlformats.org/officeDocument/2006/relationships/image" Target="media/image12.png" /><Relationship Id="rId150" Type="http://schemas.openxmlformats.org/officeDocument/2006/relationships/hyperlink" Target="https://protect.checkpoint.com/v2/r01/___https://www.sec.gov/Archives/edgar/data/1551152/000155115222000007/abbv-20211231xex106.htm___.YzJ1OnBhdWxiYWtlcm5vdGlmaWVkY29tOmM6bzoxZWJkMjhjMTIwZGZlMzlkNTg2Yzk4NjIzMGI0M2I2Nzo3OmVmMTI6OTcyZmEyZDE0MjQxZjJiMTI2N2RmNjI2YzBkMDE4Zjg0NjMwMmQ3ZTM3YzE1ODkyMzgyOTc1ZmRkNGFlNjE1MTpwOlQ6Tg" TargetMode="External" /><Relationship Id="rId151" Type="http://schemas.openxmlformats.org/officeDocument/2006/relationships/hyperlink" Target="https://protect.checkpoint.com/v2/r01/___https://www.sec.gov/Archives/edgar/data/1551152/000155115222000017/abbv-20220331xex101.htm___.YzJ1OnBhdWxiYWtlcm5vdGlmaWVkY29tOmM6bzoxZWJkMjhjMTIwZGZlMzlkNTg2Yzk4NjIzMGI0M2I2Nzo3OjQyN2Q6MWYwM2UxMzM3NWIwM2VlODM3YTQxNGU1MGE0ZmFjODlhNGY2NjViZjIyMTc2OTk3NGQ5OTY1ODJiYmE2ZDQzNjpwOlQ6Tg" TargetMode="External" /><Relationship Id="rId152" Type="http://schemas.openxmlformats.org/officeDocument/2006/relationships/hyperlink" Target="https://protect.checkpoint.com/v2/r01/___https://www.sec.gov/Archives/edgar/data/1551152/000155115222000017/abbv-20220331xex101.htm___.YzJ1OnBhdWxiYWtlcm5vdGlmaWVkY29tOmM6bzoxZWJkMjhjMTIwZGZlMzlkNTg2Yzk4NjIzMGI0M2I2Nzo3OjQyN2Q6MWYwM2UxMzM3NWIwM2VlODM3YTQxNGU1MGE0ZmFjODlhNGY2NjViZjIyMTc2OTk3NGQ5OTY1ODJiYmE2ZDQzNjpwOlQ6Tg" TargetMode="External" /><Relationship Id="rId153" Type="http://schemas.openxmlformats.org/officeDocument/2006/relationships/hyperlink" Target="https://protect.checkpoint.com/v2/r01/___https://www.sec.gov/Archives/edgar/data/1551152/000155115222000017/abbv-20220331xex101.htm___.YzJ1OnBhdWxiYWtlcm5vdGlmaWVkY29tOmM6bzoxZWJkMjhjMTIwZGZlMzlkNTg2Yzk4NjIzMGI0M2I2Nzo3OjQyN2Q6MWYwM2UxMzM3NWIwM2VlODM3YTQxNGU1MGE0ZmFjODlhNGY2NjViZjIyMTc2OTk3NGQ5OTY1ODJiYmE2ZDQzNjpwOlQ6Tg" TargetMode="External" /><Relationship Id="rId154" Type="http://schemas.openxmlformats.org/officeDocument/2006/relationships/hyperlink" Target="https://protect.checkpoint.com/v2/r01/___https://www.sec.gov/Archives/edgar/data/1551152/000155115222000017/abbv-20220331xex102.htm___.YzJ1OnBhdWxiYWtlcm5vdGlmaWVkY29tOmM6bzoxZWJkMjhjMTIwZGZlMzlkNTg2Yzk4NjIzMGI0M2I2Nzo3OmRkNGQ6ODBkM2E2Njk1MGZhNmM3Y2M4OTIzNWUzNDQ2ZTU1OTFlYzYwNWRmNzk4YjFkY2I2MWRmYTViNGFkODdmNDc0NDpwOlQ6Tg" TargetMode="External" /><Relationship Id="rId155" Type="http://schemas.openxmlformats.org/officeDocument/2006/relationships/hyperlink" Target="https://protect.checkpoint.com/v2/r01/___https://www.sec.gov/Archives/edgar/data/1551152/000155115222000017/abbv-20220331xex102.htm___.YzJ1OnBhdWxiYWtlcm5vdGlmaWVkY29tOmM6bzoxZWJkMjhjMTIwZGZlMzlkNTg2Yzk4NjIzMGI0M2I2Nzo3OmRkNGQ6ODBkM2E2Njk1MGZhNmM3Y2M4OTIzNWUzNDQ2ZTU1OTFlYzYwNWRmNzk4YjFkY2I2MWRmYTViNGFkODdmNDc0NDpwOlQ6Tg" TargetMode="External" /><Relationship Id="rId156" Type="http://schemas.openxmlformats.org/officeDocument/2006/relationships/hyperlink" Target="https://protect.checkpoint.com/v2/r01/___https://www.sec.gov/Archives/edgar/data/1551152/000155115222000017/abbv-20220331xex102.htm___.YzJ1OnBhdWxiYWtlcm5vdGlmaWVkY29tOmM6bzoxZWJkMjhjMTIwZGZlMzlkNTg2Yzk4NjIzMGI0M2I2Nzo3OmRkNGQ6ODBkM2E2Njk1MGZhNmM3Y2M4OTIzNWUzNDQ2ZTU1OTFlYzYwNWRmNzk4YjFkY2I2MWRmYTViNGFkODdmNDc0NDpwOlQ6Tg" TargetMode="External" /><Relationship Id="rId157" Type="http://schemas.openxmlformats.org/officeDocument/2006/relationships/hyperlink" Target="https://protect.checkpoint.com/v2/r01/___https://www.sec.gov/Archives/edgar/data/1551152/000155115222000017/abbv-20220331xex103.htm___.YzJ1OnBhdWxiYWtlcm5vdGlmaWVkY29tOmM6bzoxZWJkMjhjMTIwZGZlMzlkNTg2Yzk4NjIzMGI0M2I2Nzo3OjNkYjg6NzBiMGFiNjUwMjY3ZWRiMDQ2NjI2YmVhNjNiMTMxZTYzMmQ5MmY2YzI0NjRkMzEwY2Y1ZWE3ZDkyOTRlNjhiYTpwOlQ6Tg" TargetMode="External" /><Relationship Id="rId158" Type="http://schemas.openxmlformats.org/officeDocument/2006/relationships/hyperlink" Target="https://protect.checkpoint.com/v2/r01/___https://www.sec.gov/Archives/edgar/data/1551152/000155115222000017/abbv-20220331xex103.htm___.YzJ1OnBhdWxiYWtlcm5vdGlmaWVkY29tOmM6bzoxZWJkMjhjMTIwZGZlMzlkNTg2Yzk4NjIzMGI0M2I2Nzo3OjNkYjg6NzBiMGFiNjUwMjY3ZWRiMDQ2NjI2YmVhNjNiMTMxZTYzMmQ5MmY2YzI0NjRkMzEwY2Y1ZWE3ZDkyOTRlNjhiYTpwOlQ6Tg" TargetMode="External" /><Relationship Id="rId159" Type="http://schemas.openxmlformats.org/officeDocument/2006/relationships/hyperlink" Target="https://protect.checkpoint.com/v2/r01/___https://www.sec.gov/Archives/edgar/data/1551152/000155115222000017/abbv-20220331xex103.htm___.YzJ1OnBhdWxiYWtlcm5vdGlmaWVkY29tOmM6bzoxZWJkMjhjMTIwZGZlMzlkNTg2Yzk4NjIzMGI0M2I2Nzo3OjNkYjg6NzBiMGFiNjUwMjY3ZWRiMDQ2NjI2YmVhNjNiMTMxZTYzMmQ5MmY2YzI0NjRkMzEwY2Y1ZWE3ZDkyOTRlNjhiYTpwOlQ6Tg" TargetMode="External" /><Relationship Id="rId16" Type="http://schemas.openxmlformats.org/officeDocument/2006/relationships/hyperlink" Target="https://protect.checkpoint.com/v2/r01/___https://www.sec.gov/Archives/edgar/data/1551152/000110465919037446/a19-12093_1ex2d1.htm___.YzJ1OnBhdWxiYWtlcm5vdGlmaWVkY29tOmM6bzoxZWJkMjhjMTIwZGZlMzlkNTg2Yzk4NjIzMGI0M2I2Nzo3Ojk3YTE6ZTQzNDNmYTg2YjgyNWVhODBjZDkwNzI0NDYyNzI4MTlmNWNiNDk0MWUyZmExNDUxYmQ4YjU0YzMzYzBjMDhkNjpwOlQ6Tg" TargetMode="External" /><Relationship Id="rId160" Type="http://schemas.openxmlformats.org/officeDocument/2006/relationships/hyperlink" Target="https://protect.checkpoint.com/v2/r01/___https://www.sec.gov/Archives/edgar/data/1551152/000155115222000017/abbv-20220331xex104.htm___.YzJ1OnBhdWxiYWtlcm5vdGlmaWVkY29tOmM6bzoxZWJkMjhjMTIwZGZlMzlkNTg2Yzk4NjIzMGI0M2I2Nzo3OmZkNWQ6OTNmNjUxNDQ1ODA3MjE2OTgxMmIzMTU2ZmY3MzRlZTI5OWY3OWZlZDE1NjM3NDU2NzQ5NzlkOTU5ZDdlZWMyOTpwOlQ6Tg" TargetMode="External" /><Relationship Id="rId161" Type="http://schemas.openxmlformats.org/officeDocument/2006/relationships/hyperlink" Target="https://protect.checkpoint.com/v2/r01/___https://www.sec.gov/Archives/edgar/data/1551152/000155115222000017/abbv-20220331xex104.htm___.YzJ1OnBhdWxiYWtlcm5vdGlmaWVkY29tOmM6bzoxZWJkMjhjMTIwZGZlMzlkNTg2Yzk4NjIzMGI0M2I2Nzo3OmZkNWQ6OTNmNjUxNDQ1ODA3MjE2OTgxMmIzMTU2ZmY3MzRlZTI5OWY3OWZlZDE1NjM3NDU2NzQ5NzlkOTU5ZDdlZWMyOTpwOlQ6Tg" TargetMode="External" /><Relationship Id="rId162" Type="http://schemas.openxmlformats.org/officeDocument/2006/relationships/hyperlink" Target="https://protect.checkpoint.com/v2/r01/___https://www.sec.gov/Archives/edgar/data/1551152/000155115222000017/abbv-20220331xex104.htm___.YzJ1OnBhdWxiYWtlcm5vdGlmaWVkY29tOmM6bzoxZWJkMjhjMTIwZGZlMzlkNTg2Yzk4NjIzMGI0M2I2Nzo3OmZkNWQ6OTNmNjUxNDQ1ODA3MjE2OTgxMmIzMTU2ZmY3MzRlZTI5OWY3OWZlZDE1NjM3NDU2NzQ5NzlkOTU5ZDdlZWMyOTpwOlQ6Tg" TargetMode="External" /><Relationship Id="rId163" Type="http://schemas.openxmlformats.org/officeDocument/2006/relationships/hyperlink" Target="https://protect.checkpoint.com/v2/r01/___https://www.sec.gov/Archives/edgar/data/1551152/000155115222000017/abbv-20220331xex105.htm___.YzJ1OnBhdWxiYWtlcm5vdGlmaWVkY29tOmM6bzoxZWJkMjhjMTIwZGZlMzlkNTg2Yzk4NjIzMGI0M2I2Nzo3OmU5MjA6MTQ0M2Q1OGY1MDhiNzNhZGIzMGViYTRmY2FlODczYzA5NDZiY2EwNGE3MWRiMzJiZWY0MzQ2ZjdkMTYwYzIyNTpwOlQ6Tg" TargetMode="External" /><Relationship Id="rId164" Type="http://schemas.openxmlformats.org/officeDocument/2006/relationships/hyperlink" Target="https://protect.checkpoint.com/v2/r01/___https://www.sec.gov/Archives/edgar/data/1551152/000155115222000017/abbv-20220331xex105.htm___.YzJ1OnBhdWxiYWtlcm5vdGlmaWVkY29tOmM6bzoxZWJkMjhjMTIwZGZlMzlkNTg2Yzk4NjIzMGI0M2I2Nzo3OmU5MjA6MTQ0M2Q1OGY1MDhiNzNhZGIzMGViYTRmY2FlODczYzA5NDZiY2EwNGE3MWRiMzJiZWY0MzQ2ZjdkMTYwYzIyNTpwOlQ6Tg" TargetMode="External" /><Relationship Id="rId165" Type="http://schemas.openxmlformats.org/officeDocument/2006/relationships/hyperlink" Target="https://protect.checkpoint.com/v2/r01/___https://www.sec.gov/Archives/edgar/data/1551152/000155115222000017/abbv-20220331xex105.htm___.YzJ1OnBhdWxiYWtlcm5vdGlmaWVkY29tOmM6bzoxZWJkMjhjMTIwZGZlMzlkNTg2Yzk4NjIzMGI0M2I2Nzo3OmU5MjA6MTQ0M2Q1OGY1MDhiNzNhZGIzMGViYTRmY2FlODczYzA5NDZiY2EwNGE3MWRiMzJiZWY0MzQ2ZjdkMTYwYzIyNTpwOlQ6Tg" TargetMode="External" /><Relationship Id="rId166" Type="http://schemas.openxmlformats.org/officeDocument/2006/relationships/hyperlink" Target="https://protect.checkpoint.com/v2/r01/___https://www.sec.gov/Archives/edgar/data/1551152/000155115222000017/abbv-20220331xex106.htm___.YzJ1OnBhdWxiYWtlcm5vdGlmaWVkY29tOmM6bzoxZWJkMjhjMTIwZGZlMzlkNTg2Yzk4NjIzMGI0M2I2Nzo3OmUwYTM6Y2RjN2Y4NjhlNWI3ODMwNzkzZDc4OGFiNGQzMmQ3ZTJhYWEyMjE5NjFhZjRiMTcwOGJlZjJkMzM3NTFmNjRlYTpwOlQ6Tg" TargetMode="External" /><Relationship Id="rId167" Type="http://schemas.openxmlformats.org/officeDocument/2006/relationships/hyperlink" Target="https://protect.checkpoint.com/v2/r01/___https://www.sec.gov/Archives/edgar/data/1551152/000155115222000017/abbv-20220331xex106.htm___.YzJ1OnBhdWxiYWtlcm5vdGlmaWVkY29tOmM6bzoxZWJkMjhjMTIwZGZlMzlkNTg2Yzk4NjIzMGI0M2I2Nzo3OmUwYTM6Y2RjN2Y4NjhlNWI3ODMwNzkzZDc4OGFiNGQzMmQ3ZTJhYWEyMjE5NjFhZjRiMTcwOGJlZjJkMzM3NTFmNjRlYTpwOlQ6Tg" TargetMode="External" /><Relationship Id="rId168" Type="http://schemas.openxmlformats.org/officeDocument/2006/relationships/hyperlink" Target="https://protect.checkpoint.com/v2/r01/___https://www.sec.gov/Archives/edgar/data/1551152/000155115222000017/abbv-20220331xex106.htm___.YzJ1OnBhdWxiYWtlcm5vdGlmaWVkY29tOmM6bzoxZWJkMjhjMTIwZGZlMzlkNTg2Yzk4NjIzMGI0M2I2Nzo3OmUwYTM6Y2RjN2Y4NjhlNWI3ODMwNzkzZDc4OGFiNGQzMmQ3ZTJhYWEyMjE5NjFhZjRiMTcwOGJlZjJkMzM3NTFmNjRlYTpwOlQ6Tg" TargetMode="External" /><Relationship Id="rId169" Type="http://schemas.openxmlformats.org/officeDocument/2006/relationships/hyperlink" Target="https://protect.checkpoint.com/v2/r01/___https://www.sec.gov/Archives/edgar/data/1551152/000155115223000023/abbv-20230331xex101.htm___.YzJ1OnBhdWxiYWtlcm5vdGlmaWVkY29tOmM6bzoxZWJkMjhjMTIwZGZlMzlkNTg2Yzk4NjIzMGI0M2I2Nzo3OmU1ZDE6NmYwNGUwODA1MGQyMDdhMjIwZGQwNTQ5MDQ5ZGEwMzYxNDBhOTFmMGFhZTJiMjJmNWZkY2U5MjBmNzQwOWJlMTpwOlQ6Tg" TargetMode="External" /><Relationship Id="rId17" Type="http://schemas.openxmlformats.org/officeDocument/2006/relationships/hyperlink" Target="https://protect.checkpoint.com/v2/r01/___https://www.sec.gov/Archives/edgar/data/1551152/000110465919037446/a19-12093_1ex2d1.htm___.YzJ1OnBhdWxiYWtlcm5vdGlmaWVkY29tOmM6bzoxZWJkMjhjMTIwZGZlMzlkNTg2Yzk4NjIzMGI0M2I2Nzo3Ojk3YTE6ZTQzNDNmYTg2YjgyNWVhODBjZDkwNzI0NDYyNzI4MTlmNWNiNDk0MWUyZmExNDUxYmQ4YjU0YzMzYzBjMDhkNjpwOlQ6Tg" TargetMode="External" /><Relationship Id="rId170" Type="http://schemas.openxmlformats.org/officeDocument/2006/relationships/hyperlink" Target="https://protect.checkpoint.com/v2/r01/___https://www.sec.gov/Archives/edgar/data/1551152/000155115223000023/abbv-20230331xex101.htm___.YzJ1OnBhdWxiYWtlcm5vdGlmaWVkY29tOmM6bzoxZWJkMjhjMTIwZGZlMzlkNTg2Yzk4NjIzMGI0M2I2Nzo3OmU1ZDE6NmYwNGUwODA1MGQyMDdhMjIwZGQwNTQ5MDQ5ZGEwMzYxNDBhOTFmMGFhZTJiMjJmNWZkY2U5MjBmNzQwOWJlMTpwOlQ6Tg" TargetMode="External" /><Relationship Id="rId171" Type="http://schemas.openxmlformats.org/officeDocument/2006/relationships/hyperlink" Target="https://protect.checkpoint.com/v2/r01/___https://www.sec.gov/Archives/edgar/data/1551152/000155115223000023/abbv-20230331xex101.htm___.YzJ1OnBhdWxiYWtlcm5vdGlmaWVkY29tOmM6bzoxZWJkMjhjMTIwZGZlMzlkNTg2Yzk4NjIzMGI0M2I2Nzo3OmU1ZDE6NmYwNGUwODA1MGQyMDdhMjIwZGQwNTQ5MDQ5ZGEwMzYxNDBhOTFmMGFhZTJiMjJmNWZkY2U5MjBmNzQwOWJlMTpwOlQ6Tg" TargetMode="External" /><Relationship Id="rId172" Type="http://schemas.openxmlformats.org/officeDocument/2006/relationships/hyperlink" Target="https://protect.checkpoint.com/v2/r01/___https://www.sec.gov/Archives/edgar/data/1551152/000155115223000023/abbv-20230331xex102.htm___.YzJ1OnBhdWxiYWtlcm5vdGlmaWVkY29tOmM6bzoxZWJkMjhjMTIwZGZlMzlkNTg2Yzk4NjIzMGI0M2I2Nzo3OjNkNWE6Y2FmMjE0OTMwNzAyYTU1N2FlY2ZkOTIxZTU5MWRjNjEzNDgyY2QwNmY0NGM2NmZjNjEyZWYxMGRkYmU0NmNkYTpwOlQ6Tg" TargetMode="External" /><Relationship Id="rId173" Type="http://schemas.openxmlformats.org/officeDocument/2006/relationships/hyperlink" Target="https://protect.checkpoint.com/v2/r01/___https://www.sec.gov/Archives/edgar/data/1551152/000155115223000023/abbv-20230331xex102.htm___.YzJ1OnBhdWxiYWtlcm5vdGlmaWVkY29tOmM6bzoxZWJkMjhjMTIwZGZlMzlkNTg2Yzk4NjIzMGI0M2I2Nzo3OjNkNWE6Y2FmMjE0OTMwNzAyYTU1N2FlY2ZkOTIxZTU5MWRjNjEzNDgyY2QwNmY0NGM2NmZjNjEyZWYxMGRkYmU0NmNkYTpwOlQ6Tg" TargetMode="External" /><Relationship Id="rId174" Type="http://schemas.openxmlformats.org/officeDocument/2006/relationships/hyperlink" Target="https://protect.checkpoint.com/v2/r01/___https://www.sec.gov/Archives/edgar/data/1551152/000155115223000023/abbv-20230331xex102.htm___.YzJ1OnBhdWxiYWtlcm5vdGlmaWVkY29tOmM6bzoxZWJkMjhjMTIwZGZlMzlkNTg2Yzk4NjIzMGI0M2I2Nzo3OjNkNWE6Y2FmMjE0OTMwNzAyYTU1N2FlY2ZkOTIxZTU5MWRjNjEzNDgyY2QwNmY0NGM2NmZjNjEyZWYxMGRkYmU0NmNkYTpwOlQ6Tg" TargetMode="External" /><Relationship Id="rId175" Type="http://schemas.openxmlformats.org/officeDocument/2006/relationships/hyperlink" Target="https://protect.checkpoint.com/v2/r01/___https://www.sec.gov/Archives/edgar/data/1551152/000155115223000023/abbv-20230331xex103.htm___.YzJ1OnBhdWxiYWtlcm5vdGlmaWVkY29tOmM6bzoxZWJkMjhjMTIwZGZlMzlkNTg2Yzk4NjIzMGI0M2I2Nzo3Ojk2Yzg6ZmE1Y2MyNGM4ZmJlOTRkOWE0NzZmMWRmZjg5MzFjYTc3MDI2NTBmNjc4OTZjMjlkZDdhMTUxMjJmZDIyMWI2YjpwOlQ6Tg" TargetMode="External" /><Relationship Id="rId176" Type="http://schemas.openxmlformats.org/officeDocument/2006/relationships/hyperlink" Target="https://protect.checkpoint.com/v2/r01/___https://www.sec.gov/Archives/edgar/data/1551152/000155115223000023/abbv-20230331xex103.htm___.YzJ1OnBhdWxiYWtlcm5vdGlmaWVkY29tOmM6bzoxZWJkMjhjMTIwZGZlMzlkNTg2Yzk4NjIzMGI0M2I2Nzo3Ojk2Yzg6ZmE1Y2MyNGM4ZmJlOTRkOWE0NzZmMWRmZjg5MzFjYTc3MDI2NTBmNjc4OTZjMjlkZDdhMTUxMjJmZDIyMWI2YjpwOlQ6Tg" TargetMode="External" /><Relationship Id="rId177" Type="http://schemas.openxmlformats.org/officeDocument/2006/relationships/hyperlink" Target="https://protect.checkpoint.com/v2/r01/___https://www.sec.gov/Archives/edgar/data/1551152/000155115223000023/abbv-20230331xex103.htm___.YzJ1OnBhdWxiYWtlcm5vdGlmaWVkY29tOmM6bzoxZWJkMjhjMTIwZGZlMzlkNTg2Yzk4NjIzMGI0M2I2Nzo3Ojk2Yzg6ZmE1Y2MyNGM4ZmJlOTRkOWE0NzZmMWRmZjg5MzFjYTc3MDI2NTBmNjc4OTZjMjlkZDdhMTUxMjJmZDIyMWI2YjpwOlQ6Tg" TargetMode="External" /><Relationship Id="rId178" Type="http://schemas.openxmlformats.org/officeDocument/2006/relationships/hyperlink" Target="https://protect.checkpoint.com/v2/r01/___https://www.sec.gov/Archives/edgar/data/1551152/000155115223000023/abbv-20230331xex104.htm___.YzJ1OnBhdWxiYWtlcm5vdGlmaWVkY29tOmM6bzoxZWJkMjhjMTIwZGZlMzlkNTg2Yzk4NjIzMGI0M2I2Nzo3OmY0NDA6MzljMzIzNDZmMWMxZDA4MGZjMDFlZDA0NDE4MmJjZDJiZTEyYmU3NWNiY2M1MWQ0NzMyOTVkYWMwOTVmMDY1OTpwOlQ6Tg" TargetMode="External" /><Relationship Id="rId179" Type="http://schemas.openxmlformats.org/officeDocument/2006/relationships/hyperlink" Target="https://protect.checkpoint.com/v2/r01/___https://www.sec.gov/Archives/edgar/data/1551152/000155115223000023/abbv-20230331xex104.htm___.YzJ1OnBhdWxiYWtlcm5vdGlmaWVkY29tOmM6bzoxZWJkMjhjMTIwZGZlMzlkNTg2Yzk4NjIzMGI0M2I2Nzo3OmY0NDA6MzljMzIzNDZmMWMxZDA4MGZjMDFlZDA0NDE4MmJjZDJiZTEyYmU3NWNiY2M1MWQ0NzMyOTVkYWMwOTVmMDY1OTpwOlQ6Tg" TargetMode="External" /><Relationship Id="rId18" Type="http://schemas.openxmlformats.org/officeDocument/2006/relationships/hyperlink" Target="https://protect.checkpoint.com/v2/r01/___https://www.sec.gov/Archives/edgar/data/1551152/000110465919037446/a19-12093_1ex2d1.htm___.YzJ1OnBhdWxiYWtlcm5vdGlmaWVkY29tOmM6bzoxZWJkMjhjMTIwZGZlMzlkNTg2Yzk4NjIzMGI0M2I2Nzo3Ojk3YTE6ZTQzNDNmYTg2YjgyNWVhODBjZDkwNzI0NDYyNzI4MTlmNWNiNDk0MWUyZmExNDUxYmQ4YjU0YzMzYzBjMDhkNjpwOlQ6Tg" TargetMode="External" /><Relationship Id="rId180" Type="http://schemas.openxmlformats.org/officeDocument/2006/relationships/hyperlink" Target="https://protect.checkpoint.com/v2/r01/___https://www.sec.gov/Archives/edgar/data/1551152/000155115223000023/abbv-20230331xex104.htm___.YzJ1OnBhdWxiYWtlcm5vdGlmaWVkY29tOmM6bzoxZWJkMjhjMTIwZGZlMzlkNTg2Yzk4NjIzMGI0M2I2Nzo3OmY0NDA6MzljMzIzNDZmMWMxZDA4MGZjMDFlZDA0NDE4MmJjZDJiZTEyYmU3NWNiY2M1MWQ0NzMyOTVkYWMwOTVmMDY1OTpwOlQ6Tg" TargetMode="External" /><Relationship Id="rId181" Type="http://schemas.openxmlformats.org/officeDocument/2006/relationships/hyperlink" Target="https://protect.checkpoint.com/v2/r01/___https://www.sec.gov/Archives/edgar/data/1551152/000155115223000023/abbv-20230331xex105.htm___.YzJ1OnBhdWxiYWtlcm5vdGlmaWVkY29tOmM6bzoxZWJkMjhjMTIwZGZlMzlkNTg2Yzk4NjIzMGI0M2I2Nzo3OmU2NzQ6ZDY0ZTM2YTAwODA2YjdjMTk1Y2E1Y2ViNDQ4NDBhZDdhMjczZDljNDNjNGNjYjJmYmNlYWI0YTc1Njk5YTVlOTpwOlQ6Tg" TargetMode="External" /><Relationship Id="rId182" Type="http://schemas.openxmlformats.org/officeDocument/2006/relationships/hyperlink" Target="https://protect.checkpoint.com/v2/r01/___https://www.sec.gov/Archives/edgar/data/1551152/000155115223000023/abbv-20230331xex105.htm___.YzJ1OnBhdWxiYWtlcm5vdGlmaWVkY29tOmM6bzoxZWJkMjhjMTIwZGZlMzlkNTg2Yzk4NjIzMGI0M2I2Nzo3OmU2NzQ6ZDY0ZTM2YTAwODA2YjdjMTk1Y2E1Y2ViNDQ4NDBhZDdhMjczZDljNDNjNGNjYjJmYmNlYWI0YTc1Njk5YTVlOTpwOlQ6Tg" TargetMode="External" /><Relationship Id="rId183" Type="http://schemas.openxmlformats.org/officeDocument/2006/relationships/hyperlink" Target="https://protect.checkpoint.com/v2/r01/___https://www.sec.gov/Archives/edgar/data/1551152/000155115223000023/abbv-20230331xex105.htm___.YzJ1OnBhdWxiYWtlcm5vdGlmaWVkY29tOmM6bzoxZWJkMjhjMTIwZGZlMzlkNTg2Yzk4NjIzMGI0M2I2Nzo3OmU2NzQ6ZDY0ZTM2YTAwODA2YjdjMTk1Y2E1Y2ViNDQ4NDBhZDdhMjczZDljNDNjNGNjYjJmYmNlYWI0YTc1Njk5YTVlOTpwOlQ6Tg" TargetMode="External" /><Relationship Id="rId184" Type="http://schemas.openxmlformats.org/officeDocument/2006/relationships/hyperlink" Target="https://protect.checkpoint.com/v2/r01/___https://www.sec.gov/Archives/edgar/data/1551152/000155115223000023/abbv-20230331xex106.htm___.YzJ1OnBhdWxiYWtlcm5vdGlmaWVkY29tOmM6bzoxZWJkMjhjMTIwZGZlMzlkNTg2Yzk4NjIzMGI0M2I2Nzo3Ojg3MTY6NGI1OThlMmI3Zjc2ZDBiNjJjNjU5MDJkZmMwY2U0NWFmZjJiNjgyYzNiNDBhZmJiYTc5YzU1YTFmMmZjODc4MTpwOlQ6Tg" TargetMode="External" /><Relationship Id="rId185" Type="http://schemas.openxmlformats.org/officeDocument/2006/relationships/hyperlink" Target="https://protect.checkpoint.com/v2/r01/___https://www.sec.gov/Archives/edgar/data/1551152/000155115223000023/abbv-20230331xex106.htm___.YzJ1OnBhdWxiYWtlcm5vdGlmaWVkY29tOmM6bzoxZWJkMjhjMTIwZGZlMzlkNTg2Yzk4NjIzMGI0M2I2Nzo3Ojg3MTY6NGI1OThlMmI3Zjc2ZDBiNjJjNjU5MDJkZmMwY2U0NWFmZjJiNjgyYzNiNDBhZmJiYTc5YzU1YTFmMmZjODc4MTpwOlQ6Tg" TargetMode="External" /><Relationship Id="rId186" Type="http://schemas.openxmlformats.org/officeDocument/2006/relationships/hyperlink" Target="https://protect.checkpoint.com/v2/r01/___https://www.sec.gov/Archives/edgar/data/1551152/000155115223000023/abbv-20230331xex106.htm___.YzJ1OnBhdWxiYWtlcm5vdGlmaWVkY29tOmM6bzoxZWJkMjhjMTIwZGZlMzlkNTg2Yzk4NjIzMGI0M2I2Nzo3Ojg3MTY6NGI1OThlMmI3Zjc2ZDBiNjJjNjU5MDJkZmMwY2U0NWFmZjJiNjgyYzNiNDBhZmJiYTc5YzU1YTFmMmZjODc4MTpwOlQ6Tg" TargetMode="External" /><Relationship Id="rId187" Type="http://schemas.openxmlformats.org/officeDocument/2006/relationships/hyperlink" Target="https://protect.checkpoint.com/v2/r01/___https://www.sec.gov/Archives/edgar/data/1551152/000155115224000020/abbv-20240331xex101.htm___.YzJ1OnBhdWxiYWtlcm5vdGlmaWVkY29tOmM6bzoxZWJkMjhjMTIwZGZlMzlkNTg2Yzk4NjIzMGI0M2I2Nzo3OmUyOTI6Zjg5NWFmN2ZhYmVjNTI1N2Q5ZGIyYmE3OGIxOGNiOGE1MzdlMmRlY2E3ZTgyNzRmYjAyN2IyNjc1OGM5ZjRkZTpwOlQ6Tg" TargetMode="External" /><Relationship Id="rId188" Type="http://schemas.openxmlformats.org/officeDocument/2006/relationships/hyperlink" Target="https://protect.checkpoint.com/v2/r01/___https://www.sec.gov/Archives/edgar/data/1551152/000155115224000020/abbv-20240331xex101.htm___.YzJ1OnBhdWxiYWtlcm5vdGlmaWVkY29tOmM6bzoxZWJkMjhjMTIwZGZlMzlkNTg2Yzk4NjIzMGI0M2I2Nzo3OmUyOTI6Zjg5NWFmN2ZhYmVjNTI1N2Q5ZGIyYmE3OGIxOGNiOGE1MzdlMmRlY2E3ZTgyNzRmYjAyN2IyNjc1OGM5ZjRkZTpwOlQ6Tg" TargetMode="External" /><Relationship Id="rId189" Type="http://schemas.openxmlformats.org/officeDocument/2006/relationships/hyperlink" Target="https://protect.checkpoint.com/v2/r01/___https://www.sec.gov/Archives/edgar/data/1551152/000155115224000020/abbv-20240331xex102.htm___.YzJ1OnBhdWxiYWtlcm5vdGlmaWVkY29tOmM6bzoxZWJkMjhjMTIwZGZlMzlkNTg2Yzk4NjIzMGI0M2I2Nzo3OmY2Yjk6NDNiYTJhZmY3MTA0Y2ZmYjM1N2EwZDgzNzUxYjdlNGQ0YTRlYzcwZDc5N2U4Y2UwZGQxNjIyYjQxMmE0MWFmYjpwOlQ6Tg" TargetMode="External" /><Relationship Id="rId19" Type="http://schemas.openxmlformats.org/officeDocument/2006/relationships/hyperlink" Target="https://protect.checkpoint.com/v2/r01/___https://www.sec.gov/Archives/edgar/data/1551152/000110465919037446/a19-12093_1ex2d2.htm___.YzJ1OnBhdWxiYWtlcm5vdGlmaWVkY29tOmM6bzoxZWJkMjhjMTIwZGZlMzlkNTg2Yzk4NjIzMGI0M2I2Nzo3OmZmYTI6OTRkYjg3MmVkYWY3Y2FmYjViOTNlNTQ2MWQyNDcxOGVhZDgzZDAyZWQ1NzQwM2VhYzA0OWE1ZjY4MDY2NThmMzpwOlQ6Tg" TargetMode="External" /><Relationship Id="rId190" Type="http://schemas.openxmlformats.org/officeDocument/2006/relationships/hyperlink" Target="https://protect.checkpoint.com/v2/r01/___https://www.sec.gov/Archives/edgar/data/1551152/000155115224000020/abbv-20240331xex102.htm___.YzJ1OnBhdWxiYWtlcm5vdGlmaWVkY29tOmM6bzoxZWJkMjhjMTIwZGZlMzlkNTg2Yzk4NjIzMGI0M2I2Nzo3OmY2Yjk6NDNiYTJhZmY3MTA0Y2ZmYjM1N2EwZDgzNzUxYjdlNGQ0YTRlYzcwZDc5N2U4Y2UwZGQxNjIyYjQxMmE0MWFmYjpwOlQ6Tg" TargetMode="External" /><Relationship Id="rId191" Type="http://schemas.openxmlformats.org/officeDocument/2006/relationships/hyperlink" Target="https://protect.checkpoint.com/v2/r01/___https://www.sec.gov/Archives/edgar/data/1551152/000155115224000020/abbv-20240331xex103.htm___.YzJ1OnBhdWxiYWtlcm5vdGlmaWVkY29tOmM6bzoxZWJkMjhjMTIwZGZlMzlkNTg2Yzk4NjIzMGI0M2I2Nzo3OmM2MDY6MDI2MGQ3YmZmZjZkZTcwZTk1M2U2ZDQ3MWE4ZTBkODJjYTRjM2I5YTAxNDIwMDRmNzBhN2RhZGUzN2Y5MzEwMDpwOlQ6Tg" TargetMode="External" /><Relationship Id="rId192" Type="http://schemas.openxmlformats.org/officeDocument/2006/relationships/hyperlink" Target="https://protect.checkpoint.com/v2/r01/___https://www.sec.gov/Archives/edgar/data/1551152/000155115224000020/abbv-20240331xex103.htm___.YzJ1OnBhdWxiYWtlcm5vdGlmaWVkY29tOmM6bzoxZWJkMjhjMTIwZGZlMzlkNTg2Yzk4NjIzMGI0M2I2Nzo3OmM2MDY6MDI2MGQ3YmZmZjZkZTcwZTk1M2U2ZDQ3MWE4ZTBkODJjYTRjM2I5YTAxNDIwMDRmNzBhN2RhZGUzN2Y5MzEwMDpwOlQ6Tg" TargetMode="External" /><Relationship Id="rId193" Type="http://schemas.openxmlformats.org/officeDocument/2006/relationships/hyperlink" Target="https://protect.checkpoint.com/v2/r01/___https://www.sec.gov/Archives/edgar/data/1551152/000155115224000020/abbv-20240331xex104.htm___.YzJ1OnBhdWxiYWtlcm5vdGlmaWVkY29tOmM6bzoxZWJkMjhjMTIwZGZlMzlkNTg2Yzk4NjIzMGI0M2I2Nzo3OjdiYTI6YjUyYWE3ZjcwZDk2NTAxZjU0M2QwZDE2ZGE5M2UzY2FjMTJjYTI5ZDk1ZGY5M2Y2NzI0M2QxZTcwYzUxOThmMTpwOlQ6Tg" TargetMode="External" /><Relationship Id="rId194" Type="http://schemas.openxmlformats.org/officeDocument/2006/relationships/hyperlink" Target="https://protect.checkpoint.com/v2/r01/___https://www.sec.gov/Archives/edgar/data/1551152/000155115224000020/abbv-20240331xex104.htm___.YzJ1OnBhdWxiYWtlcm5vdGlmaWVkY29tOmM6bzoxZWJkMjhjMTIwZGZlMzlkNTg2Yzk4NjIzMGI0M2I2Nzo3OjdiYTI6YjUyYWE3ZjcwZDk2NTAxZjU0M2QwZDE2ZGE5M2UzY2FjMTJjYTI5ZDk1ZGY5M2Y2NzI0M2QxZTcwYzUxOThmMTpwOlQ6Tg" TargetMode="External" /><Relationship Id="rId195" Type="http://schemas.openxmlformats.org/officeDocument/2006/relationships/hyperlink" Target="https://protect.checkpoint.com/v2/r01/___https://www.sec.gov/Archives/edgar/data/1551152/000155115224000020/abbv-20240331xex105.htm___.YzJ1OnBhdWxiYWtlcm5vdGlmaWVkY29tOmM6bzoxZWJkMjhjMTIwZGZlMzlkNTg2Yzk4NjIzMGI0M2I2Nzo3Ojk1NTM6ZDg5M2UzODhiY2JkNmUyOGQ1ZGZhOWI4ZDdlZmZhZjBmYWJkZWRjYTI1ODg5MWZhZWY1ZGIwODIzNjZlMDZhYTpwOlQ6Tg" TargetMode="External" /><Relationship Id="rId196" Type="http://schemas.openxmlformats.org/officeDocument/2006/relationships/hyperlink" Target="https://protect.checkpoint.com/v2/r01/___https://www.sec.gov/Archives/edgar/data/1551152/000155115224000020/abbv-20240331xex105.htm___.YzJ1OnBhdWxiYWtlcm5vdGlmaWVkY29tOmM6bzoxZWJkMjhjMTIwZGZlMzlkNTg2Yzk4NjIzMGI0M2I2Nzo3Ojk1NTM6ZDg5M2UzODhiY2JkNmUyOGQ1ZGZhOWI4ZDdlZmZhZjBmYWJkZWRjYTI1ODg5MWZhZWY1ZGIwODIzNjZlMDZhYTpwOlQ6Tg" TargetMode="External" /><Relationship Id="rId197" Type="http://schemas.openxmlformats.org/officeDocument/2006/relationships/hyperlink" Target="https://protect.checkpoint.com/v2/r01/___https://www.sec.gov/Archives/edgar/data/1551152/000110465922108910/tm2228135d1_ex10-1.htm___.YzJ1OnBhdWxiYWtlcm5vdGlmaWVkY29tOmM6bzoxZWJkMjhjMTIwZGZlMzlkNTg2Yzk4NjIzMGI0M2I2Nzo3Ojg0Y2E6NThlNzU4ZGI5NzE2ZWFiNWFkZDc0YzVkYjgwYTVlZDM3ZGM4NTllOThlYmYwOWY4ZDY5NmQ0ZGYwZmQ0MmM5NjpwOlQ6Tg" TargetMode="External" /><Relationship Id="rId198" Type="http://schemas.openxmlformats.org/officeDocument/2006/relationships/hyperlink" Target="https://protect.checkpoint.com/v2/r01/___https://www.sec.gov/Archives/edgar/data/1551152/000110465922108910/tm2228135d1_ex10-1.htm___.YzJ1OnBhdWxiYWtlcm5vdGlmaWVkY29tOmM6bzoxZWJkMjhjMTIwZGZlMzlkNTg2Yzk4NjIzMGI0M2I2Nzo3Ojg0Y2E6NThlNzU4ZGI5NzE2ZWFiNWFkZDc0YzVkYjgwYTVlZDM3ZGM4NTllOThlYmYwOWY4ZDY5NmQ0ZGYwZmQ0MmM5NjpwOlQ6Tg" TargetMode="External" /><Relationship Id="rId199" Type="http://schemas.openxmlformats.org/officeDocument/2006/relationships/hyperlink" Target="https://protect.checkpoint.com/v2/r01/___https://www.sec.gov/Archives/edgar/data/1551152/000110465922108910/tm2228135d1_ex10-1.htm___.YzJ1OnBhdWxiYWtlcm5vdGlmaWVkY29tOmM6bzoxZWJkMjhjMTIwZGZlMzlkNTg2Yzk4NjIzMGI0M2I2Nzo3Ojg0Y2E6NThlNzU4ZGI5NzE2ZWFiNWFkZDc0YzVkYjgwYTVlZDM3ZGM4NTllOThlYmYwOWY4ZDY5NmQ0ZGYwZmQ0MmM5NjpwOlQ6Tg" TargetMode="External" /><Relationship Id="rId2" Type="http://schemas.openxmlformats.org/officeDocument/2006/relationships/webSettings" Target="webSettings.xml" /><Relationship Id="rId20" Type="http://schemas.openxmlformats.org/officeDocument/2006/relationships/hyperlink" Target="https://protect.checkpoint.com/v2/r01/___https://www.sec.gov/Archives/edgar/data/1551152/000110465919037446/a19-12093_1ex2d2.htm___.YzJ1OnBhdWxiYWtlcm5vdGlmaWVkY29tOmM6bzoxZWJkMjhjMTIwZGZlMzlkNTg2Yzk4NjIzMGI0M2I2Nzo3OmZmYTI6OTRkYjg3MmVkYWY3Y2FmYjViOTNlNTQ2MWQyNDcxOGVhZDgzZDAyZWQ1NzQwM2VhYzA0OWE1ZjY4MDY2NThmMzpwOlQ6Tg" TargetMode="External" /><Relationship Id="rId200" Type="http://schemas.openxmlformats.org/officeDocument/2006/relationships/hyperlink" Target="https://protect.checkpoint.com/v2/r01/___https://www.sec.gov/Archives/edgar/data/1551152/000155115224000011/abbv-20231231xex97.htm___.YzJ1OnBhdWxiYWtlcm5vdGlmaWVkY29tOmM6bzoxZWJkMjhjMTIwZGZlMzlkNTg2Yzk4NjIzMGI0M2I2Nzo3OjhmNGU6M2NjODNmZGI3ZTVkZDZiOTYxMDAyNmYxNWY5MjM2MzI5YjY5ZTJiZmQwZThmZjEzNjE3MjNhOTk4NDlmNzU4ODpwOlQ6Tg" TargetMode="External" /><Relationship Id="rId201" Type="http://schemas.openxmlformats.org/officeDocument/2006/relationships/hyperlink" Target="https://protect.checkpoint.com/v2/r01/___https://www.sec.gov/Archives/edgar/data/1551152/000155115224000011/abbv-20231231xex97.htm___.YzJ1OnBhdWxiYWtlcm5vdGlmaWVkY29tOmM6bzoxZWJkMjhjMTIwZGZlMzlkNTg2Yzk4NjIzMGI0M2I2Nzo3OjhmNGU6M2NjODNmZGI3ZTVkZDZiOTYxMDAyNmYxNWY5MjM2MzI5YjY5ZTJiZmQwZThmZjEzNjE3MjNhOTk4NDlmNzU4ODpwOlQ6Tg" TargetMode="External" /><Relationship Id="rId202" Type="http://schemas.openxmlformats.org/officeDocument/2006/relationships/image" Target="media/image13.png" /><Relationship Id="rId203" Type="http://schemas.openxmlformats.org/officeDocument/2006/relationships/image" Target="media/image14.png" /><Relationship Id="rId204" Type="http://schemas.openxmlformats.org/officeDocument/2006/relationships/image" Target="media/image15.png" /><Relationship Id="rId205" Type="http://schemas.openxmlformats.org/officeDocument/2006/relationships/image" Target="media/image16.png" /><Relationship Id="rId206" Type="http://schemas.openxmlformats.org/officeDocument/2006/relationships/image" Target="media/image17.png" /><Relationship Id="rId207" Type="http://schemas.openxmlformats.org/officeDocument/2006/relationships/image" Target="media/image18.png" /><Relationship Id="rId208" Type="http://schemas.openxmlformats.org/officeDocument/2006/relationships/image" Target="media/image19.png" /><Relationship Id="rId209" Type="http://schemas.openxmlformats.org/officeDocument/2006/relationships/image" Target="media/image20.png" /><Relationship Id="rId21" Type="http://schemas.openxmlformats.org/officeDocument/2006/relationships/hyperlink" Target="https://protect.checkpoint.com/v2/r01/___https://www.sec.gov/Archives/edgar/data/1551152/000110465919037446/a19-12093_1ex2d2.htm___.YzJ1OnBhdWxiYWtlcm5vdGlmaWVkY29tOmM6bzoxZWJkMjhjMTIwZGZlMzlkNTg2Yzk4NjIzMGI0M2I2Nzo3OmZmYTI6OTRkYjg3MmVkYWY3Y2FmYjViOTNlNTQ2MWQyNDcxOGVhZDgzZDAyZWQ1NzQwM2VhYzA0OWE1ZjY4MDY2NThmMzpwOlQ6Tg" TargetMode="External" /><Relationship Id="rId210" Type="http://schemas.openxmlformats.org/officeDocument/2006/relationships/image" Target="media/image21.png" /><Relationship Id="rId211" Type="http://schemas.openxmlformats.org/officeDocument/2006/relationships/image" Target="media/image22.png" /><Relationship Id="rId212" Type="http://schemas.openxmlformats.org/officeDocument/2006/relationships/image" Target="media/image23.png" /><Relationship Id="rId213" Type="http://schemas.openxmlformats.org/officeDocument/2006/relationships/image" Target="media/image24.png" /><Relationship Id="rId214" Type="http://schemas.openxmlformats.org/officeDocument/2006/relationships/image" Target="media/image25.png" /><Relationship Id="rId215" Type="http://schemas.openxmlformats.org/officeDocument/2006/relationships/image" Target="media/image26.png" /><Relationship Id="rId216" Type="http://schemas.openxmlformats.org/officeDocument/2006/relationships/image" Target="media/image27.png" /><Relationship Id="rId217" Type="http://schemas.openxmlformats.org/officeDocument/2006/relationships/image" Target="media/image28.png" /><Relationship Id="rId218" Type="http://schemas.openxmlformats.org/officeDocument/2006/relationships/image" Target="media/image29.png" /><Relationship Id="rId219" Type="http://schemas.openxmlformats.org/officeDocument/2006/relationships/image" Target="media/image30.png" /><Relationship Id="rId22" Type="http://schemas.openxmlformats.org/officeDocument/2006/relationships/hyperlink" Target="https://protect.checkpoint.com/v2/r01/___https://www.sec.gov/Archives/edgar/data/1551152/000110465919037446/a19-12093_1ex2d3.htm___.YzJ1OnBhdWxiYWtlcm5vdGlmaWVkY29tOmM6bzoxZWJkMjhjMTIwZGZlMzlkNTg2Yzk4NjIzMGI0M2I2Nzo3OmFiODc6ZGMwZDc5NGY4NmVkZTNlYTVjNzc3YTA1Y2ExNjk4ZTEwOTE0M2YyNjYyNTIwYzM1NjI2M2VjMjJjYWQ3MGJhZjpwOlQ6Tg" TargetMode="External" /><Relationship Id="rId220" Type="http://schemas.openxmlformats.org/officeDocument/2006/relationships/image" Target="media/image31.png" /><Relationship Id="rId221" Type="http://schemas.openxmlformats.org/officeDocument/2006/relationships/image" Target="media/image32.png" /><Relationship Id="rId222" Type="http://schemas.openxmlformats.org/officeDocument/2006/relationships/image" Target="media/image33.png" /><Relationship Id="rId223" Type="http://schemas.openxmlformats.org/officeDocument/2006/relationships/image" Target="media/image34.png" /><Relationship Id="rId224" Type="http://schemas.openxmlformats.org/officeDocument/2006/relationships/image" Target="media/image35.png" /><Relationship Id="rId225" Type="http://schemas.openxmlformats.org/officeDocument/2006/relationships/image" Target="media/image36.png" /><Relationship Id="rId226" Type="http://schemas.openxmlformats.org/officeDocument/2006/relationships/image" Target="media/image37.png" /><Relationship Id="rId227" Type="http://schemas.openxmlformats.org/officeDocument/2006/relationships/image" Target="media/image38.png" /><Relationship Id="rId228" Type="http://schemas.openxmlformats.org/officeDocument/2006/relationships/image" Target="media/image39.png" /><Relationship Id="rId229" Type="http://schemas.openxmlformats.org/officeDocument/2006/relationships/image" Target="media/image40.png" /><Relationship Id="rId23" Type="http://schemas.openxmlformats.org/officeDocument/2006/relationships/hyperlink" Target="https://protect.checkpoint.com/v2/r01/___https://www.sec.gov/Archives/edgar/data/1551152/000110465919037446/a19-12093_1ex2d3.htm___.YzJ1OnBhdWxiYWtlcm5vdGlmaWVkY29tOmM6bzoxZWJkMjhjMTIwZGZlMzlkNTg2Yzk4NjIzMGI0M2I2Nzo3OmFiODc6ZGMwZDc5NGY4NmVkZTNlYTVjNzc3YTA1Y2ExNjk4ZTEwOTE0M2YyNjYyNTIwYzM1NjI2M2VjMjJjYWQ3MGJhZjpwOlQ6Tg" TargetMode="External" /><Relationship Id="rId230" Type="http://schemas.openxmlformats.org/officeDocument/2006/relationships/image" Target="media/image41.png" /><Relationship Id="rId231" Type="http://schemas.openxmlformats.org/officeDocument/2006/relationships/image" Target="media/image42.png" /><Relationship Id="rId232" Type="http://schemas.openxmlformats.org/officeDocument/2006/relationships/image" Target="media/image43.png" /><Relationship Id="rId233" Type="http://schemas.openxmlformats.org/officeDocument/2006/relationships/image" Target="media/image44.png" /><Relationship Id="rId234" Type="http://schemas.openxmlformats.org/officeDocument/2006/relationships/image" Target="media/image45.png" /><Relationship Id="rId235" Type="http://schemas.openxmlformats.org/officeDocument/2006/relationships/image" Target="media/image46.png" /><Relationship Id="rId236" Type="http://schemas.openxmlformats.org/officeDocument/2006/relationships/image" Target="media/image47.png" /><Relationship Id="rId237" Type="http://schemas.openxmlformats.org/officeDocument/2006/relationships/image" Target="media/image48.png" /><Relationship Id="rId238" Type="http://schemas.openxmlformats.org/officeDocument/2006/relationships/image" Target="media/image49.png" /><Relationship Id="rId239" Type="http://schemas.openxmlformats.org/officeDocument/2006/relationships/image" Target="media/image50.png" /><Relationship Id="rId24" Type="http://schemas.openxmlformats.org/officeDocument/2006/relationships/hyperlink" Target="https://protect.checkpoint.com/v2/r01/___https://www.sec.gov/Archives/edgar/data/1551152/000110465919037446/a19-12093_1ex2d3.htm___.YzJ1OnBhdWxiYWtlcm5vdGlmaWVkY29tOmM6bzoxZWJkMjhjMTIwZGZlMzlkNTg2Yzk4NjIzMGI0M2I2Nzo3OmFiODc6ZGMwZDc5NGY4NmVkZTNlYTVjNzc3YTA1Y2ExNjk4ZTEwOTE0M2YyNjYyNTIwYzM1NjI2M2VjMjJjYWQ3MGJhZjpwOlQ6Tg" TargetMode="External" /><Relationship Id="rId240" Type="http://schemas.openxmlformats.org/officeDocument/2006/relationships/image" Target="media/image51.png" /><Relationship Id="rId241" Type="http://schemas.openxmlformats.org/officeDocument/2006/relationships/image" Target="media/image52.png" /><Relationship Id="rId242" Type="http://schemas.openxmlformats.org/officeDocument/2006/relationships/theme" Target="theme/theme1.xml" /><Relationship Id="rId243" Type="http://schemas.openxmlformats.org/officeDocument/2006/relationships/numbering" Target="numbering.xml" /><Relationship Id="rId244" Type="http://schemas.openxmlformats.org/officeDocument/2006/relationships/styles" Target="styles.xml" /><Relationship Id="rId25" Type="http://schemas.openxmlformats.org/officeDocument/2006/relationships/hyperlink" Target="https://protect.checkpoint.com/v2/r01/___https://www.sec.gov/Archives/edgar/data/1551152/000155115220000015/abbv-20200331xex21.htm___.YzJ1OnBhdWxiYWtlcm5vdGlmaWVkY29tOmM6bzoxZWJkMjhjMTIwZGZlMzlkNTg2Yzk4NjIzMGI0M2I2Nzo3OmM3YWI6MzA5YzA5NjA4NGRkNDc4NDM1NmNlOTYwZTE5NTFlNTY5NWY0NjE0NzI0MzE2ZWQwMmVlYzc4MjI3MDFmMDIxZTpwOlQ6Tg" TargetMode="External" /><Relationship Id="rId26" Type="http://schemas.openxmlformats.org/officeDocument/2006/relationships/hyperlink" Target="https://protect.checkpoint.com/v2/r01/___https://www.sec.gov/Archives/edgar/data/1551152/000155115220000015/abbv-20200331xex21.htm___.YzJ1OnBhdWxiYWtlcm5vdGlmaWVkY29tOmM6bzoxZWJkMjhjMTIwZGZlMzlkNTg2Yzk4NjIzMGI0M2I2Nzo3OmM3YWI6MzA5YzA5NjA4NGRkNDc4NDM1NmNlOTYwZTE5NTFlNTY5NWY0NjE0NzI0MzE2ZWQwMmVlYzc4MjI3MDFmMDIxZTpwOlQ6Tg" TargetMode="External" /><Relationship Id="rId27" Type="http://schemas.openxmlformats.org/officeDocument/2006/relationships/hyperlink" Target="https://protect.checkpoint.com/v2/r01/___https://www.sec.gov/Archives/edgar/data/1551152/000155115220000015/abbv-20200331xex21.htm___.YzJ1OnBhdWxiYWtlcm5vdGlmaWVkY29tOmM6bzoxZWJkMjhjMTIwZGZlMzlkNTg2Yzk4NjIzMGI0M2I2Nzo3OmM3YWI6MzA5YzA5NjA4NGRkNDc4NDM1NmNlOTYwZTE5NTFlNTY5NWY0NjE0NzI0MzE2ZWQwMmVlYzc4MjI3MDFmMDIxZTpwOlQ6Tg" TargetMode="External" /><Relationship Id="rId28" Type="http://schemas.openxmlformats.org/officeDocument/2006/relationships/hyperlink" Target="https://protect.checkpoint.com/v2/r01/___https://www.sec.gov/Archives/edgar/data/1551152/000104746913000017/a2212291zex-3_1.htm___.YzJ1OnBhdWxiYWtlcm5vdGlmaWVkY29tOmM6bzoxZWJkMjhjMTIwZGZlMzlkNTg2Yzk4NjIzMGI0M2I2Nzo3OjU0YmY6N2UzNTNiYjVmMWRjM2Q0MzVjMjZiZTJhZWIxM2FlZmRhOWU5NmU4NjNiOTAxMDVkN2UyMTI5ZDc5MzZkODdiNTpwOlQ6Tg" TargetMode="External" /><Relationship Id="rId29" Type="http://schemas.openxmlformats.org/officeDocument/2006/relationships/hyperlink" Target="https://protect.checkpoint.com/v2/r01/___https://www.sec.gov/Archives/edgar/data/1551152/000104746913000017/a2212291zex-3_1.htm___.YzJ1OnBhdWxiYWtlcm5vdGlmaWVkY29tOmM6bzoxZWJkMjhjMTIwZGZlMzlkNTg2Yzk4NjIzMGI0M2I2Nzo3OjU0YmY6N2UzNTNiYjVmMWRjM2Q0MzVjMjZiZTJhZWIxM2FlZmRhOWU5NmU4NjNiOTAxMDVkN2UyMTI5ZDc5MzZkODdiNTpwOlQ6Tg" TargetMode="External" /><Relationship Id="rId3" Type="http://schemas.openxmlformats.org/officeDocument/2006/relationships/fontTable" Target="fontTable.xml" /><Relationship Id="rId30" Type="http://schemas.openxmlformats.org/officeDocument/2006/relationships/hyperlink" Target="https://protect.checkpoint.com/v2/r01/___https://www.sec.gov/Archives/edgar/data/1551152/000110465922108910/tm2228135d1_ex3-1.htm___.YzJ1OnBhdWxiYWtlcm5vdGlmaWVkY29tOmM6bzoxZWJkMjhjMTIwZGZlMzlkNTg2Yzk4NjIzMGI0M2I2Nzo3OmUxMDM6ZDI2N2NhZjVmOTJlNjMwYTVkNDAwNjZhNDQwM2E3MTVhOTc2MmVkNDM5ZGY2YWIyMzFlYWUwOWEyYjNmN2Q2NDpwOlQ6Tg" TargetMode="External" /><Relationship Id="rId31" Type="http://schemas.openxmlformats.org/officeDocument/2006/relationships/hyperlink" Target="https://protect.checkpoint.com/v2/r01/___https://www.sec.gov/Archives/edgar/data/1551152/000110465922108910/tm2228135d1_ex3-1.htm___.YzJ1OnBhdWxiYWtlcm5vdGlmaWVkY29tOmM6bzoxZWJkMjhjMTIwZGZlMzlkNTg2Yzk4NjIzMGI0M2I2Nzo3OmUxMDM6ZDI2N2NhZjVmOTJlNjMwYTVkNDAwNjZhNDQwM2E3MTVhOTc2MmVkNDM5ZGY2YWIyMzFlYWUwOWEyYjNmN2Q2NDpwOlQ6Tg" TargetMode="External" /><Relationship Id="rId32" Type="http://schemas.openxmlformats.org/officeDocument/2006/relationships/hyperlink" Target="https://protect.checkpoint.com/v2/r01/___https://www.sec.gov/Archives/edgar/data/1551152/000104746912010673/a2211869zex-4_1.htm___.YzJ1OnBhdWxiYWtlcm5vdGlmaWVkY29tOmM6bzoxZWJkMjhjMTIwZGZlMzlkNTg2Yzk4NjIzMGI0M2I2Nzo3OjlhODM6ZTk4NzEyN2E4M2JlMjQzNzNmMzAzYjczYzdmNDkxNWIyZjllNjE4YzA5MjYzZTk1OTMwYTUzN2Y0MjU1MjUxOTpwOlQ6Tg" TargetMode="External" /><Relationship Id="rId33" Type="http://schemas.openxmlformats.org/officeDocument/2006/relationships/hyperlink" Target="https://protect.checkpoint.com/v2/r01/___https://www.sec.gov/Archives/edgar/data/1551152/000104746912010673/a2211869zex-4_1.htm___.YzJ1OnBhdWxiYWtlcm5vdGlmaWVkY29tOmM6bzoxZWJkMjhjMTIwZGZlMzlkNTg2Yzk4NjIzMGI0M2I2Nzo3OjlhODM6ZTk4NzEyN2E4M2JlMjQzNzNmMzAzYjczYzdmNDkxNWIyZjllNjE4YzA5MjYzZTk1OTMwYTUzN2Y0MjU1MjUxOTpwOlQ6Tg" TargetMode="External" /><Relationship Id="rId34" Type="http://schemas.openxmlformats.org/officeDocument/2006/relationships/hyperlink" Target="https://protect.checkpoint.com/v2/r01/___https://www.sec.gov/Archives/edgar/data/1551152/000104746912010673/a2211869zex-4_1.htm___.YzJ1OnBhdWxiYWtlcm5vdGlmaWVkY29tOmM6bzoxZWJkMjhjMTIwZGZlMzlkNTg2Yzk4NjIzMGI0M2I2Nzo3OjlhODM6ZTk4NzEyN2E4M2JlMjQzNzNmMzAzYjczYzdmNDkxNWIyZjllNjE4YzA5MjYzZTk1OTMwYTUzN2Y0MjU1MjUxOTpwOlQ6Tg" TargetMode="External" /><Relationship Id="rId35" Type="http://schemas.openxmlformats.org/officeDocument/2006/relationships/hyperlink" Target="https://protect.checkpoint.com/v2/r01/___https://www.sec.gov/Archives/edgar/data/1551152/000104746912010673/a2211869zex-4_2.htm___.YzJ1OnBhdWxiYWtlcm5vdGlmaWVkY29tOmM6bzoxZWJkMjhjMTIwZGZlMzlkNTg2Yzk4NjIzMGI0M2I2Nzo3OjAzMTk6MDcyMTIxYThlZjhjMGIwMDU2NmQ0NjMxZGY5YTExNDQ0YzEwNGM4ZGU0MWIxNzkzMjQ0OTQxNzM1OTBmMjU2MDpwOlQ6Tg" TargetMode="External" /><Relationship Id="rId36" Type="http://schemas.openxmlformats.org/officeDocument/2006/relationships/hyperlink" Target="https://protect.checkpoint.com/v2/r01/___https://www.sec.gov/Archives/edgar/data/1551152/000104746912010673/a2211869zex-4_2.htm___.YzJ1OnBhdWxiYWtlcm5vdGlmaWVkY29tOmM6bzoxZWJkMjhjMTIwZGZlMzlkNTg2Yzk4NjIzMGI0M2I2Nzo3OjAzMTk6MDcyMTIxYThlZjhjMGIwMDU2NmQ0NjMxZGY5YTExNDQ0YzEwNGM4ZGU0MWIxNzkzMjQ0OTQxNzM1OTBmMjU2MDpwOlQ6Tg" TargetMode="External" /><Relationship Id="rId37" Type="http://schemas.openxmlformats.org/officeDocument/2006/relationships/hyperlink" Target="https://protect.checkpoint.com/v2/r01/___https://www.sec.gov/Archives/edgar/data/1551152/000104746912010673/a2211869zex-4_2.htm___.YzJ1OnBhdWxiYWtlcm5vdGlmaWVkY29tOmM6bzoxZWJkMjhjMTIwZGZlMzlkNTg2Yzk4NjIzMGI0M2I2Nzo3OjAzMTk6MDcyMTIxYThlZjhjMGIwMDU2NmQ0NjMxZGY5YTExNDQ0YzEwNGM4ZGU0MWIxNzkzMjQ0OTQxNzM1OTBmMjU2MDpwOlQ6Tg" TargetMode="External" /><Relationship Id="rId38" Type="http://schemas.openxmlformats.org/officeDocument/2006/relationships/hyperlink" Target="https://protect.checkpoint.com/v2/r01/___https://www.sec.gov/Archives/edgar/data/1551152/000110465915037934/a15-10708_4ex4d1.htm___.YzJ1OnBhdWxiYWtlcm5vdGlmaWVkY29tOmM6bzoxZWJkMjhjMTIwZGZlMzlkNTg2Yzk4NjIzMGI0M2I2Nzo3OjE1MDU6NGZjOTExYWVlNjI0M2Q2OWE3MTczYjFmYzU4YmE5MjRlYmU5MDg1OTE3ZDAyOWUyNWU3MmY5NDk1YTBjNTIxNDpwOlQ6Tg" TargetMode="External" /><Relationship Id="rId39" Type="http://schemas.openxmlformats.org/officeDocument/2006/relationships/hyperlink" Target="https://protect.checkpoint.com/v2/r01/___https://www.sec.gov/Archives/edgar/data/1551152/000110465915037934/a15-10708_4ex4d1.htm___.YzJ1OnBhdWxiYWtlcm5vdGlmaWVkY29tOmM6bzoxZWJkMjhjMTIwZGZlMzlkNTg2Yzk4NjIzMGI0M2I2Nzo3OjE1MDU6NGZjOTExYWVlNjI0M2Q2OWE3MTczYjFmYzU4YmE5MjRlYmU5MDg1OTE3ZDAyOWUyNWU3MmY5NDk1YTBjNTIxNDpwOlQ6Tg" TargetMode="External" /><Relationship Id="rId4" Type="http://schemas.openxmlformats.org/officeDocument/2006/relationships/image" Target="media/image1.png" /><Relationship Id="rId40" Type="http://schemas.openxmlformats.org/officeDocument/2006/relationships/hyperlink" Target="https://protect.checkpoint.com/v2/r01/___https://www.sec.gov/Archives/edgar/data/1551152/000110465915037934/a15-10708_4ex4d1.htm___.YzJ1OnBhdWxiYWtlcm5vdGlmaWVkY29tOmM6bzoxZWJkMjhjMTIwZGZlMzlkNTg2Yzk4NjIzMGI0M2I2Nzo3OjE1MDU6NGZjOTExYWVlNjI0M2Q2OWE3MTczYjFmYzU4YmE5MjRlYmU5MDg1OTE3ZDAyOWUyNWU3MmY5NDk1YTBjNTIxNDpwOlQ6Tg" TargetMode="External" /><Relationship Id="rId41" Type="http://schemas.openxmlformats.org/officeDocument/2006/relationships/hyperlink" Target="https://protect.checkpoint.com/v2/r01/___https://www.sec.gov/Archives/edgar/data/1551152/000110465916120300/a16-10664_3ex4d1.htm___.YzJ1OnBhdWxiYWtlcm5vdGlmaWVkY29tOmM6bzoxZWJkMjhjMTIwZGZlMzlkNTg2Yzk4NjIzMGI0M2I2Nzo3OjE5ZmM6MzE0MmUwMDMxNTZiMTdmYWU5MWI1NGU4ZmNmOTIyN2I3MDA3MDk5Y2RhNWViYTEwMDQ2ZjIzOTUwY2MxMTViNDpwOlQ6Tg" TargetMode="External" /><Relationship Id="rId42" Type="http://schemas.openxmlformats.org/officeDocument/2006/relationships/hyperlink" Target="https://protect.checkpoint.com/v2/r01/___https://www.sec.gov/Archives/edgar/data/1551152/000110465916120300/a16-10664_3ex4d1.htm___.YzJ1OnBhdWxiYWtlcm5vdGlmaWVkY29tOmM6bzoxZWJkMjhjMTIwZGZlMzlkNTg2Yzk4NjIzMGI0M2I2Nzo3OjE5ZmM6MzE0MmUwMDMxNTZiMTdmYWU5MWI1NGU4ZmNmOTIyN2I3MDA3MDk5Y2RhNWViYTEwMDQ2ZjIzOTUwY2MxMTViNDpwOlQ6Tg" TargetMode="External" /><Relationship Id="rId43" Type="http://schemas.openxmlformats.org/officeDocument/2006/relationships/hyperlink" Target="https://protect.checkpoint.com/v2/r01/___https://www.sec.gov/Archives/edgar/data/1551152/000110465916120300/a16-10664_3ex4d1.htm___.YzJ1OnBhdWxiYWtlcm5vdGlmaWVkY29tOmM6bzoxZWJkMjhjMTIwZGZlMzlkNTg2Yzk4NjIzMGI0M2I2Nzo3OjE5ZmM6MzE0MmUwMDMxNTZiMTdmYWU5MWI1NGU4ZmNmOTIyN2I3MDA3MDk5Y2RhNWViYTEwMDQ2ZjIzOTUwY2MxMTViNDpwOlQ6Tg" TargetMode="External" /><Relationship Id="rId44" Type="http://schemas.openxmlformats.org/officeDocument/2006/relationships/hyperlink" Target="https://protect.checkpoint.com/v2/r01/___https://www.sec.gov/Archives/edgar/data/1551152/000110465916157845/a16-21418_4ex4d1.htm___.YzJ1OnBhdWxiYWtlcm5vdGlmaWVkY29tOmM6bzoxZWJkMjhjMTIwZGZlMzlkNTg2Yzk4NjIzMGI0M2I2Nzo3OjgxMWE6YTZjMWNmNWU1YTQ0YjQzMzY5ZWRjNzQxN2ZkNjJhNmE0YmExN2Y2NjUzMTY5N2IzYjJiZWI2MDhiNWU3OWUwYTpwOlQ6Tg" TargetMode="External" /><Relationship Id="rId45" Type="http://schemas.openxmlformats.org/officeDocument/2006/relationships/hyperlink" Target="https://protect.checkpoint.com/v2/r01/___https://www.sec.gov/Archives/edgar/data/1551152/000110465916157845/a16-21418_4ex4d1.htm___.YzJ1OnBhdWxiYWtlcm5vdGlmaWVkY29tOmM6bzoxZWJkMjhjMTIwZGZlMzlkNTg2Yzk4NjIzMGI0M2I2Nzo3OjgxMWE6YTZjMWNmNWU1YTQ0YjQzMzY5ZWRjNzQxN2ZkNjJhNmE0YmExN2Y2NjUzMTY5N2IzYjJiZWI2MDhiNWU3OWUwYTpwOlQ6Tg" TargetMode="External" /><Relationship Id="rId46" Type="http://schemas.openxmlformats.org/officeDocument/2006/relationships/hyperlink" Target="https://protect.checkpoint.com/v2/r01/___https://www.sec.gov/Archives/edgar/data/1551152/000110465916157845/a16-21418_4ex4d1.htm___.YzJ1OnBhdWxiYWtlcm5vdGlmaWVkY29tOmM6bzoxZWJkMjhjMTIwZGZlMzlkNTg2Yzk4NjIzMGI0M2I2Nzo3OjgxMWE6YTZjMWNmNWU1YTQ0YjQzMzY5ZWRjNzQxN2ZkNjJhNmE0YmExN2Y2NjUzMTY5N2IzYjJiZWI2MDhiNWU3OWUwYTpwOlQ6Tg" TargetMode="External" /><Relationship Id="rId47" Type="http://schemas.openxmlformats.org/officeDocument/2006/relationships/hyperlink" Target="https://protect.checkpoint.com/v2/r01/___https://www.sec.gov/Archives/edgar/data/1551152/000110465916157845/a16-21418_4ex4d1.htm___.YzJ1OnBhdWxiYWtlcm5vdGlmaWVkY29tOmM6bzoxZWJkMjhjMTIwZGZlMzlkNTg2Yzk4NjIzMGI0M2I2Nzo3OjgxMWE6YTZjMWNmNWU1YTQ0YjQzMzY5ZWRjNzQxN2ZkNjJhNmE0YmExN2Y2NjUzMTY5N2IzYjJiZWI2MDhiNWU3OWUwYTpwOlQ6Tg" TargetMode="External" /><Relationship Id="rId48" Type="http://schemas.openxmlformats.org/officeDocument/2006/relationships/hyperlink" Target="https://protect.checkpoint.com/v2/r01/___https://www.sec.gov/Archives/edgar/data/1551152/000110465918057447/a18-27129_5ex4d2.htm___.YzJ1OnBhdWxiYWtlcm5vdGlmaWVkY29tOmM6bzoxZWJkMjhjMTIwZGZlMzlkNTg2Yzk4NjIzMGI0M2I2Nzo3OjMxM2I6ZTExZmI3YmU2MWM2NTkwODAwN2IzNTFkMDE3ZTAxMDBmZTZlZDY5YTM3MTk0NmMyODNlY2U2YzNlY2ZiYTJjNzpwOlQ6Tg" TargetMode="External" /><Relationship Id="rId49" Type="http://schemas.openxmlformats.org/officeDocument/2006/relationships/hyperlink" Target="https://protect.checkpoint.com/v2/r01/___https://www.sec.gov/Archives/edgar/data/1551152/000110465918057447/a18-27129_5ex4d2.htm___.YzJ1OnBhdWxiYWtlcm5vdGlmaWVkY29tOmM6bzoxZWJkMjhjMTIwZGZlMzlkNTg2Yzk4NjIzMGI0M2I2Nzo3OjMxM2I6ZTExZmI3YmU2MWM2NTkwODAwN2IzNTFkMDE3ZTAxMDBmZTZlZDY5YTM3MTk0NmMyODNlY2U2YzNlY2ZiYTJjNzpwOlQ6Tg" TargetMode="External" /><Relationship Id="rId5" Type="http://schemas.openxmlformats.org/officeDocument/2006/relationships/image" Target="media/image2.jpeg" /><Relationship Id="rId50" Type="http://schemas.openxmlformats.org/officeDocument/2006/relationships/hyperlink" Target="https://protect.checkpoint.com/v2/r01/___https://www.sec.gov/Archives/edgar/data/1551152/000110465918057447/a18-27129_5ex4d2.htm___.YzJ1OnBhdWxiYWtlcm5vdGlmaWVkY29tOmM6bzoxZWJkMjhjMTIwZGZlMzlkNTg2Yzk4NjIzMGI0M2I2Nzo3OjMxM2I6ZTExZmI3YmU2MWM2NTkwODAwN2IzNTFkMDE3ZTAxMDBmZTZlZDY5YTM3MTk0NmMyODNlY2U2YzNlY2ZiYTJjNzpwOlQ6Tg" TargetMode="External" /><Relationship Id="rId51" Type="http://schemas.openxmlformats.org/officeDocument/2006/relationships/hyperlink" Target="https://protect.checkpoint.com/v2/r01/___https://www.sec.gov/Archives/edgar/data/1551152/000141057819001438/tv530006_ex4-2.htm___.YzJ1OnBhdWxiYWtlcm5vdGlmaWVkY29tOmM6bzoxZWJkMjhjMTIwZGZlMzlkNTg2Yzk4NjIzMGI0M2I2Nzo3OjNlNTM6ZTNhODZiZDFmNTVlNGVkN2MzOGUxNmE0OTNmNjI4MGU4ZDliZGZmZGY1MzA0MTFmODAyYjc4YjIxYjliN2YwMDpwOlQ6Tg" TargetMode="External" /><Relationship Id="rId52" Type="http://schemas.openxmlformats.org/officeDocument/2006/relationships/hyperlink" Target="https://protect.checkpoint.com/v2/r01/___https://www.sec.gov/Archives/edgar/data/1551152/000141057819001438/tv530006_ex4-2.htm___.YzJ1OnBhdWxiYWtlcm5vdGlmaWVkY29tOmM6bzoxZWJkMjhjMTIwZGZlMzlkNTg2Yzk4NjIzMGI0M2I2Nzo3OjNlNTM6ZTNhODZiZDFmNTVlNGVkN2MzOGUxNmE0OTNmNjI4MGU4ZDliZGZmZGY1MzA0MTFmODAyYjc4YjIxYjliN2YwMDpwOlQ6Tg" TargetMode="External" /><Relationship Id="rId53" Type="http://schemas.openxmlformats.org/officeDocument/2006/relationships/hyperlink" Target="https://protect.checkpoint.com/v2/r01/___https://www.sec.gov/Archives/edgar/data/1551152/000110465919067264/tm1923664d1_ex4-2.htm___.YzJ1OnBhdWxiYWtlcm5vdGlmaWVkY29tOmM6bzoxZWJkMjhjMTIwZGZlMzlkNTg2Yzk4NjIzMGI0M2I2Nzo3OjIwOTE6N2Y5MWNlNTI4ZDFjYzFiZmY2NWZjNDRiYWM5NTY5NWYxMWNkZjhmNDkxY2JmOTMyNjc3YmE2NzJhMmFhYjJkZjpwOlQ6Tg" TargetMode="External" /><Relationship Id="rId54" Type="http://schemas.openxmlformats.org/officeDocument/2006/relationships/hyperlink" Target="https://protect.checkpoint.com/v2/r01/___https://www.sec.gov/Archives/edgar/data/1551152/000110465919067264/tm1923664d1_ex4-2.htm___.YzJ1OnBhdWxiYWtlcm5vdGlmaWVkY29tOmM6bzoxZWJkMjhjMTIwZGZlMzlkNTg2Yzk4NjIzMGI0M2I2Nzo3OjIwOTE6N2Y5MWNlNTI4ZDFjYzFiZmY2NWZjNDRiYWM5NTY5NWYxMWNkZjhmNDkxY2JmOTMyNjc3YmE2NzJhMmFhYjJkZjpwOlQ6Tg" TargetMode="External" /><Relationship Id="rId55" Type="http://schemas.openxmlformats.org/officeDocument/2006/relationships/hyperlink" Target="https://protect.checkpoint.com/v2/r01/___https://www.sec.gov/Archives/edgar/data/1551152/000110465919067264/tm1923664d1_ex4-2.htm___.YzJ1OnBhdWxiYWtlcm5vdGlmaWVkY29tOmM6bzoxZWJkMjhjMTIwZGZlMzlkNTg2Yzk4NjIzMGI0M2I2Nzo3OjIwOTE6N2Y5MWNlNTI4ZDFjYzFiZmY2NWZjNDRiYWM5NTY5NWYxMWNkZjhmNDkxY2JmOTMyNjc3YmE2NzJhMmFhYjJkZjpwOlQ6Tg" TargetMode="External" /><Relationship Id="rId56" Type="http://schemas.openxmlformats.org/officeDocument/2006/relationships/hyperlink" Target="https://protect.checkpoint.com/v2/r01/___https://www.sec.gov/Archives/edgar/data/1551152/000110465920061621/tm2019527d2_ex4-2.htm___.YzJ1OnBhdWxiYWtlcm5vdGlmaWVkY29tOmM6bzoxZWJkMjhjMTIwZGZlMzlkNTg2Yzk4NjIzMGI0M2I2Nzo3OjMwYmI6MmZhNjdiOTMzZTgzMGE0NjNjNTlmNjE2NmI4MjVhMWY0M2Y3ZDZiNjViYWJiMDZkNTk1ZjhkYTFlN2M4NjllMzpwOlQ6Tg" TargetMode="External" /><Relationship Id="rId57" Type="http://schemas.openxmlformats.org/officeDocument/2006/relationships/hyperlink" Target="https://protect.checkpoint.com/v2/r01/___https://www.sec.gov/Archives/edgar/data/1551152/000110465920061621/tm2019527d2_ex4-2.htm___.YzJ1OnBhdWxiYWtlcm5vdGlmaWVkY29tOmM6bzoxZWJkMjhjMTIwZGZlMzlkNTg2Yzk4NjIzMGI0M2I2Nzo3OjMwYmI6MmZhNjdiOTMzZTgzMGE0NjNjNTlmNjE2NmI4MjVhMWY0M2Y3ZDZiNjViYWJiMDZkNTk1ZjhkYTFlN2M4NjllMzpwOlQ6Tg" TargetMode="External" /><Relationship Id="rId58" Type="http://schemas.openxmlformats.org/officeDocument/2006/relationships/hyperlink" Target="https://protect.checkpoint.com/v2/r01/___https://www.sec.gov/Archives/edgar/data/1551152/000110465920061621/tm2019527d2_ex4-2.htm___.YzJ1OnBhdWxiYWtlcm5vdGlmaWVkY29tOmM6bzoxZWJkMjhjMTIwZGZlMzlkNTg2Yzk4NjIzMGI0M2I2Nzo3OjMwYmI6MmZhNjdiOTMzZTgzMGE0NjNjNTlmNjE2NmI4MjVhMWY0M2Y3ZDZiNjViYWJiMDZkNTk1ZjhkYTFlN2M4NjllMzpwOlQ6Tg" TargetMode="External" /><Relationship Id="rId59" Type="http://schemas.openxmlformats.org/officeDocument/2006/relationships/hyperlink" Target="https://protect.checkpoint.com/v2/r01/___https://www.sec.gov/Archives/edgar/data/1551152/000110465920061621/tm2019527d2_ex4-15.htm___.YzJ1OnBhdWxiYWtlcm5vdGlmaWVkY29tOmM6bzoxZWJkMjhjMTIwZGZlMzlkNTg2Yzk4NjIzMGI0M2I2Nzo3OmU2MzY6MjRiMDM4MGRjM2YwNzg5YzFhOTYzMTgxZDNmMDAwZDc1MGViYzI3NWRiYWM0NTkxZjcyNTdjMTE3MmYxNmFmMjpwOlQ6Tg" TargetMode="External" /><Relationship Id="rId6" Type="http://schemas.openxmlformats.org/officeDocument/2006/relationships/image" Target="media/image3.png" /><Relationship Id="rId60" Type="http://schemas.openxmlformats.org/officeDocument/2006/relationships/hyperlink" Target="https://protect.checkpoint.com/v2/r01/___https://www.sec.gov/Archives/edgar/data/1551152/000110465920061621/tm2019527d2_ex4-15.htm___.YzJ1OnBhdWxiYWtlcm5vdGlmaWVkY29tOmM6bzoxZWJkMjhjMTIwZGZlMzlkNTg2Yzk4NjIzMGI0M2I2Nzo3OmU2MzY6MjRiMDM4MGRjM2YwNzg5YzFhOTYzMTgxZDNmMDAwZDc1MGViYzI3NWRiYWM0NTkxZjcyNTdjMTE3MmYxNmFmMjpwOlQ6Tg" TargetMode="External" /><Relationship Id="rId61" Type="http://schemas.openxmlformats.org/officeDocument/2006/relationships/hyperlink" Target="https://protect.checkpoint.com/v2/r01/___https://www.sec.gov/Archives/edgar/data/1551152/000110465920061621/tm2019527d2_ex4-15.htm___.YzJ1OnBhdWxiYWtlcm5vdGlmaWVkY29tOmM6bzoxZWJkMjhjMTIwZGZlMzlkNTg2Yzk4NjIzMGI0M2I2Nzo3OmU2MzY6MjRiMDM4MGRjM2YwNzg5YzFhOTYzMTgxZDNmMDAwZDc1MGViYzI3NWRiYWM0NTkxZjcyNTdjMTE3MmYxNmFmMjpwOlQ6Tg" TargetMode="External" /><Relationship Id="rId62" Type="http://schemas.openxmlformats.org/officeDocument/2006/relationships/hyperlink" Target="https://protect.checkpoint.com/v2/r01/___https://www.sec.gov/Archives/edgar/data/1551152/000110465924027585/tm246405d5_ex4-2.htm___.YzJ1OnBhdWxiYWtlcm5vdGlmaWVkY29tOmM6bzoxZWJkMjhjMTIwZGZlMzlkNTg2Yzk4NjIzMGI0M2I2Nzo3OjE2YWQ6NjVjNmM1YTJiOTI0NzY2MDM4OWIzZDIwNjZjNmIwYmY0NDY5ZTM0MzVmNzNkOGNhNjJlM2NjZjE1MmQzYjJmZjpwOlQ6Tg" TargetMode="External" /><Relationship Id="rId63" Type="http://schemas.openxmlformats.org/officeDocument/2006/relationships/hyperlink" Target="https://protect.checkpoint.com/v2/r01/___https://www.sec.gov/Archives/edgar/data/1551152/000110465924027585/tm246405d5_ex4-2.htm___.YzJ1OnBhdWxiYWtlcm5vdGlmaWVkY29tOmM6bzoxZWJkMjhjMTIwZGZlMzlkNTg2Yzk4NjIzMGI0M2I2Nzo3OjE2YWQ6NjVjNmM1YTJiOTI0NzY2MDM4OWIzZDIwNjZjNmIwYmY0NDY5ZTM0MzVmNzNkOGNhNjJlM2NjZjE1MmQzYjJmZjpwOlQ6Tg" TargetMode="External" /><Relationship Id="rId64" Type="http://schemas.openxmlformats.org/officeDocument/2006/relationships/hyperlink" Target="https://protect.checkpoint.com/v2/r01/___https://www.sec.gov/Archives/edgar/data/1551152/000110465924027585/tm246405d5_ex4-2.htm___.YzJ1OnBhdWxiYWtlcm5vdGlmaWVkY29tOmM6bzoxZWJkMjhjMTIwZGZlMzlkNTg2Yzk4NjIzMGI0M2I2Nzo3OjE2YWQ6NjVjNmM1YTJiOTI0NzY2MDM4OWIzZDIwNjZjNmIwYmY0NDY5ZTM0MzVmNzNkOGNhNjJlM2NjZjE1MmQzYjJmZjpwOlQ6Tg" TargetMode="External" /><Relationship Id="rId65" Type="http://schemas.openxmlformats.org/officeDocument/2006/relationships/hyperlink" Target="https://protect.checkpoint.com/v2/r01/___https://www.sec.gov/Archives/edgar/data/1551152/000110465916157845/a16-21418_4ex4d2.htm___.YzJ1OnBhdWxiYWtlcm5vdGlmaWVkY29tOmM6bzoxZWJkMjhjMTIwZGZlMzlkNTg2Yzk4NjIzMGI0M2I2Nzo3OmU4YjI6MDcwMTQwZDc4MzNlNDZmZGI4YTIwNmU3ZTg3YzhlNmY1ZTQzMWU3YWE3OTgxODkzN2I5NWM3OTk0ZWNmZTNmMjpwOlQ6Tg" TargetMode="External" /><Relationship Id="rId66" Type="http://schemas.openxmlformats.org/officeDocument/2006/relationships/hyperlink" Target="https://protect.checkpoint.com/v2/r01/___https://www.sec.gov/Archives/edgar/data/1551152/000110465916157845/a16-21418_4ex4d2.htm___.YzJ1OnBhdWxiYWtlcm5vdGlmaWVkY29tOmM6bzoxZWJkMjhjMTIwZGZlMzlkNTg2Yzk4NjIzMGI0M2I2Nzo3OmU4YjI6MDcwMTQwZDc4MzNlNDZmZGI4YTIwNmU3ZTg3YzhlNmY1ZTQzMWU3YWE3OTgxODkzN2I5NWM3OTk0ZWNmZTNmMjpwOlQ6Tg" TargetMode="External" /><Relationship Id="rId67" Type="http://schemas.openxmlformats.org/officeDocument/2006/relationships/hyperlink" Target="https://protect.checkpoint.com/v2/r01/___https://www.sec.gov/Archives/edgar/data/1551152/000110465916157845/a16-21418_4ex4d2.htm___.YzJ1OnBhdWxiYWtlcm5vdGlmaWVkY29tOmM6bzoxZWJkMjhjMTIwZGZlMzlkNTg2Yzk4NjIzMGI0M2I2Nzo3OmU4YjI6MDcwMTQwZDc4MzNlNDZmZGI4YTIwNmU3ZTg3YzhlNmY1ZTQzMWU3YWE3OTgxODkzN2I5NWM3OTk0ZWNmZTNmMjpwOlQ6Tg" TargetMode="External" /><Relationship Id="rId68" Type="http://schemas.openxmlformats.org/officeDocument/2006/relationships/hyperlink" Target="https://protect.checkpoint.com/v2/r01/___https://www.sec.gov/Archives/edgar/data/1551152/000141057819001438/tv530006_ex4-3.htm___.YzJ1OnBhdWxiYWtlcm5vdGlmaWVkY29tOmM6bzoxZWJkMjhjMTIwZGZlMzlkNTg2Yzk4NjIzMGI0M2I2Nzo3Ojg0NmU6M2UyZjYxNzQ5ZDQ4MWQ0ZjQ2NWI2NzZmMmI0NmZmMzNjNmIxMzM2MTQ2ODQxMTBmOThkNGQxYWM0MTY2NmI5OTpwOlQ6Tg" TargetMode="External" /><Relationship Id="rId69" Type="http://schemas.openxmlformats.org/officeDocument/2006/relationships/hyperlink" Target="https://protect.checkpoint.com/v2/r01/___https://www.sec.gov/Archives/edgar/data/1551152/000141057819001438/tv530006_ex4-3.htm___.YzJ1OnBhdWxiYWtlcm5vdGlmaWVkY29tOmM6bzoxZWJkMjhjMTIwZGZlMzlkNTg2Yzk4NjIzMGI0M2I2Nzo3Ojg0NmU6M2UyZjYxNzQ5ZDQ4MWQ0ZjQ2NWI2NzZmMmI0NmZmMzNjNmIxMzM2MTQ2ODQxMTBmOThkNGQxYWM0MTY2NmI5OTpwOlQ6Tg" TargetMode="External" /><Relationship Id="rId7" Type="http://schemas.openxmlformats.org/officeDocument/2006/relationships/image" Target="media/image4.png" /><Relationship Id="rId70" Type="http://schemas.openxmlformats.org/officeDocument/2006/relationships/hyperlink" Target="https://protect.checkpoint.com/v2/r01/___https://www.sec.gov/Archives/edgar/data/1551152/000141057819001438/tv530006_ex4-3.htm___.YzJ1OnBhdWxiYWtlcm5vdGlmaWVkY29tOmM6bzoxZWJkMjhjMTIwZGZlMzlkNTg2Yzk4NjIzMGI0M2I2Nzo3Ojg0NmU6M2UyZjYxNzQ5ZDQ4MWQ0ZjQ2NWI2NzZmMmI0NmZmMzNjNmIxMzM2MTQ2ODQxMTBmOThkNGQxYWM0MTY2NmI5OTpwOlQ6Tg" TargetMode="External" /><Relationship Id="rId71" Type="http://schemas.openxmlformats.org/officeDocument/2006/relationships/hyperlink" Target="https://protect.checkpoint.com/v2/r01/___https://www.sec.gov/Archives/edgar/data/1551152/000110465919067264/tm1923664d1_ex4-13.htm___.YzJ1OnBhdWxiYWtlcm5vdGlmaWVkY29tOmM6bzoxZWJkMjhjMTIwZGZlMzlkNTg2Yzk4NjIzMGI0M2I2Nzo3OjdmMWM6OTRlOTE5ZjNhYTllYTU2M2I2MGRiZTQ5YjdhNzFhNTk3N2U3NTAwMTAwYmNjZDIyNjcwNzkzNDUyZTk3YWZmNDpwOlQ6Tg" TargetMode="External" /><Relationship Id="rId72" Type="http://schemas.openxmlformats.org/officeDocument/2006/relationships/hyperlink" Target="https://protect.checkpoint.com/v2/r01/___https://www.sec.gov/Archives/edgar/data/1551152/000110465919067264/tm1923664d1_ex4-13.htm___.YzJ1OnBhdWxiYWtlcm5vdGlmaWVkY29tOmM6bzoxZWJkMjhjMTIwZGZlMzlkNTg2Yzk4NjIzMGI0M2I2Nzo3OjdmMWM6OTRlOTE5ZjNhYTllYTU2M2I2MGRiZTQ5YjdhNzFhNTk3N2U3NTAwMTAwYmNjZDIyNjcwNzkzNDUyZTk3YWZmNDpwOlQ6Tg" TargetMode="External" /><Relationship Id="rId73" Type="http://schemas.openxmlformats.org/officeDocument/2006/relationships/hyperlink" Target="https://protect.checkpoint.com/v2/r01/___https://www.sec.gov/Archives/edgar/data/1551152/000110465919067264/tm1923664d1_ex4-13.htm___.YzJ1OnBhdWxiYWtlcm5vdGlmaWVkY29tOmM6bzoxZWJkMjhjMTIwZGZlMzlkNTg2Yzk4NjIzMGI0M2I2Nzo3OjdmMWM6OTRlOTE5ZjNhYTllYTU2M2I2MGRiZTQ5YjdhNzFhNTk3N2U3NTAwMTAwYmNjZDIyNjcwNzkzNDUyZTk3YWZmNDpwOlQ6Tg" TargetMode="External" /><Relationship Id="rId74" Type="http://schemas.openxmlformats.org/officeDocument/2006/relationships/hyperlink" Target="https://protect.checkpoint.com/v2/r01/___https://www.sec.gov/Archives/edgar/data/1551152/000110465920061621/tm2019527d2_ex4-16.htm___.YzJ1OnBhdWxiYWtlcm5vdGlmaWVkY29tOmM6bzoxZWJkMjhjMTIwZGZlMzlkNTg2Yzk4NjIzMGI0M2I2Nzo3Ojk0NTM6MjY4ZGJmMGE1YWI5ZWEyOGQzOWZiOGVjMzJiNjc2NzhjMzU2OGEwOTBhYzEyZjc4ZmU4MzY3ZmQzMzdjYzFhYTpwOlQ6Tg" TargetMode="External" /><Relationship Id="rId75" Type="http://schemas.openxmlformats.org/officeDocument/2006/relationships/hyperlink" Target="https://protect.checkpoint.com/v2/r01/___https://www.sec.gov/Archives/edgar/data/1551152/000110465920061621/tm2019527d2_ex4-16.htm___.YzJ1OnBhdWxiYWtlcm5vdGlmaWVkY29tOmM6bzoxZWJkMjhjMTIwZGZlMzlkNTg2Yzk4NjIzMGI0M2I2Nzo3Ojk0NTM6MjY4ZGJmMGE1YWI5ZWEyOGQzOWZiOGVjMzJiNjc2NzhjMzU2OGEwOTBhYzEyZjc4ZmU4MzY3ZmQzMzdjYzFhYTpwOlQ6Tg" TargetMode="External" /><Relationship Id="rId76" Type="http://schemas.openxmlformats.org/officeDocument/2006/relationships/hyperlink" Target="https://protect.checkpoint.com/v2/r01/___https://www.sec.gov/Archives/edgar/data/1551152/000110465920061621/tm2019527d2_ex4-16.htm___.YzJ1OnBhdWxiYWtlcm5vdGlmaWVkY29tOmM6bzoxZWJkMjhjMTIwZGZlMzlkNTg2Yzk4NjIzMGI0M2I2Nzo3Ojk0NTM6MjY4ZGJmMGE1YWI5ZWEyOGQzOWZiOGVjMzJiNjc2NzhjMzU2OGEwOTBhYzEyZjc4ZmU4MzY3ZmQzMzdjYzFhYTpwOlQ6Tg" TargetMode="External" /><Relationship Id="rId77" Type="http://schemas.openxmlformats.org/officeDocument/2006/relationships/hyperlink" Target="https://protect.checkpoint.com/v2/r01/___https://www.sec.gov/Archives/edgar/data/1551152/000110465920061621/tm2019527d2_ex4-23.htm___.YzJ1OnBhdWxiYWtlcm5vdGlmaWVkY29tOmM6bzoxZWJkMjhjMTIwZGZlMzlkNTg2Yzk4NjIzMGI0M2I2Nzo3OjFlMGQ6NjY1ZjA2ZWQyMjgxNDZiZDRkOTU2NmVjMmNmYzhjNTIyNTI3N2Q2YTdlMjI4MDNiZjliODgxOGEyM2Q3ZmQ2YzpwOlQ6Tg" TargetMode="External" /><Relationship Id="rId78" Type="http://schemas.openxmlformats.org/officeDocument/2006/relationships/hyperlink" Target="https://protect.checkpoint.com/v2/r01/___https://www.sec.gov/Archives/edgar/data/1551152/000110465920061621/tm2019527d2_ex4-23.htm___.YzJ1OnBhdWxiYWtlcm5vdGlmaWVkY29tOmM6bzoxZWJkMjhjMTIwZGZlMzlkNTg2Yzk4NjIzMGI0M2I2Nzo3OjFlMGQ6NjY1ZjA2ZWQyMjgxNDZiZDRkOTU2NmVjMmNmYzhjNTIyNTI3N2Q2YTdlMjI4MDNiZjliODgxOGEyM2Q3ZmQ2YzpwOlQ6Tg" TargetMode="External" /><Relationship Id="rId79" Type="http://schemas.openxmlformats.org/officeDocument/2006/relationships/hyperlink" Target="https://protect.checkpoint.com/v2/r01/___https://www.sec.gov/Archives/edgar/data/1551152/000110465920061621/tm2019527d2_ex4-23.htm___.YzJ1OnBhdWxiYWtlcm5vdGlmaWVkY29tOmM6bzoxZWJkMjhjMTIwZGZlMzlkNTg2Yzk4NjIzMGI0M2I2Nzo3OjFlMGQ6NjY1ZjA2ZWQyMjgxNDZiZDRkOTU2NmVjMmNmYzhjNTIyNTI3N2Q2YTdlMjI4MDNiZjliODgxOGEyM2Q3ZmQ2YzpwOlQ6Tg" TargetMode="External" /><Relationship Id="rId8" Type="http://schemas.openxmlformats.org/officeDocument/2006/relationships/image" Target="media/image5.png" /><Relationship Id="rId80" Type="http://schemas.openxmlformats.org/officeDocument/2006/relationships/hyperlink" Target="https://protect.checkpoint.com/v2/r01/___https://www.sec.gov/Archives/edgar/data/1551152/000110465920061621/tm2019527d2_ex4-23.htm___.YzJ1OnBhdWxiYWtlcm5vdGlmaWVkY29tOmM6bzoxZWJkMjhjMTIwZGZlMzlkNTg2Yzk4NjIzMGI0M2I2Nzo3OjFlMGQ6NjY1ZjA2ZWQyMjgxNDZiZDRkOTU2NmVjMmNmYzhjNTIyNTI3N2Q2YTdlMjI4MDNiZjliODgxOGEyM2Q3ZmQ2YzpwOlQ6Tg" TargetMode="External" /><Relationship Id="rId81" Type="http://schemas.openxmlformats.org/officeDocument/2006/relationships/hyperlink" Target="https://protect.checkpoint.com/v2/r01/___https://www.sec.gov/Archives/edgar/data/1551152/000155837021003318/tmb-20210507xdef14a.htm___.YzJ1OnBhdWxiYWtlcm5vdGlmaWVkY29tOmM6bzoxZWJkMjhjMTIwZGZlMzlkNTg2Yzk4NjIzMGI0M2I2Nzo3OjJkYzM6OGYzMGEzYWI3NDM4YjcxODdlZDIyYjE2NjI5MGQ5MmFkODU1MjgxZGUwYzVjYzkzMmUyYjI5OGFmNTI1YzhmMjpwOlQ6Tg" TargetMode="External" /><Relationship Id="rId82" Type="http://schemas.openxmlformats.org/officeDocument/2006/relationships/hyperlink" Target="https://protect.checkpoint.com/v2/r01/___https://www.sec.gov/Archives/edgar/data/1551152/000155837021003318/tmb-20210507xdef14a.htm___.YzJ1OnBhdWxiYWtlcm5vdGlmaWVkY29tOmM6bzoxZWJkMjhjMTIwZGZlMzlkNTg2Yzk4NjIzMGI0M2I2Nzo3OjJkYzM6OGYzMGEzYWI3NDM4YjcxODdlZDIyYjE2NjI5MGQ5MmFkODU1MjgxZGUwYzVjYzkzMmUyYjI5OGFmNTI1YzhmMjpwOlQ6Tg" TargetMode="External" /><Relationship Id="rId83" Type="http://schemas.openxmlformats.org/officeDocument/2006/relationships/hyperlink" Target="https://protect.checkpoint.com/v2/r01/___https://www.sec.gov/Archives/edgar/data/1551152/000155837021003318/tmb-20210507xdef14a.htm___.YzJ1OnBhdWxiYWtlcm5vdGlmaWVkY29tOmM6bzoxZWJkMjhjMTIwZGZlMzlkNTg2Yzk4NjIzMGI0M2I2Nzo3OjJkYzM6OGYzMGEzYWI3NDM4YjcxODdlZDIyYjE2NjI5MGQ5MmFkODU1MjgxZGUwYzVjYzkzMmUyYjI5OGFmNTI1YzhmMjpwOlQ6Tg" TargetMode="External" /><Relationship Id="rId84" Type="http://schemas.openxmlformats.org/officeDocument/2006/relationships/hyperlink" Target="https://protect.checkpoint.com/v2/r01/___https://www.sec.gov/Archives/edgar/data/1551152/000155115217000004/abbv-20161231xex105.htm___.YzJ1OnBhdWxiYWtlcm5vdGlmaWVkY29tOmM6bzoxZWJkMjhjMTIwZGZlMzlkNTg2Yzk4NjIzMGI0M2I2Nzo3OjFiMWY6YzhmNmM4NTUwYTdlYjUyYjUzZDcyYmZiOGMwMzY2ZGUzY2ZmMjNmZmJlZjBiMTZjZWFiZjVlMGQzZWMxYmU4ZDpwOlQ6Tg" TargetMode="External" /><Relationship Id="rId85" Type="http://schemas.openxmlformats.org/officeDocument/2006/relationships/hyperlink" Target="https://protect.checkpoint.com/v2/r01/___https://www.sec.gov/Archives/edgar/data/1551152/000155115217000004/abbv-20161231xex105.htm___.YzJ1OnBhdWxiYWtlcm5vdGlmaWVkY29tOmM6bzoxZWJkMjhjMTIwZGZlMzlkNTg2Yzk4NjIzMGI0M2I2Nzo3OjFiMWY6YzhmNmM4NTUwYTdlYjUyYjUzZDcyYmZiOGMwMzY2ZGUzY2ZmMjNmZmJlZjBiMTZjZWFiZjVlMGQzZWMxYmU4ZDpwOlQ6Tg" TargetMode="External" /><Relationship Id="rId86" Type="http://schemas.openxmlformats.org/officeDocument/2006/relationships/hyperlink" Target="https://protect.checkpoint.com/v2/r01/___https://www.sec.gov/Archives/edgar/data/1551152/000155115217000004/abbv-20161231xex105.htm___.YzJ1OnBhdWxiYWtlcm5vdGlmaWVkY29tOmM6bzoxZWJkMjhjMTIwZGZlMzlkNTg2Yzk4NjIzMGI0M2I2Nzo3OjFiMWY6YzhmNmM4NTUwYTdlYjUyYjUzZDcyYmZiOGMwMzY2ZGUzY2ZmMjNmZmJlZjBiMTZjZWFiZjVlMGQzZWMxYmU4ZDpwOlQ6Tg" TargetMode="External" /><Relationship Id="rId87" Type="http://schemas.openxmlformats.org/officeDocument/2006/relationships/hyperlink" Target="https://protect.checkpoint.com/v2/r01/___https://www.sec.gov/Archives/edgar/data/1551152/000155115222000045/abbv-2022930xex102.htm___.YzJ1OnBhdWxiYWtlcm5vdGlmaWVkY29tOmM6bzoxZWJkMjhjMTIwZGZlMzlkNTg2Yzk4NjIzMGI0M2I2Nzo3OjIwN2Q6ZmQ4NmJjZWNiNjcwOTgxOTA2Zjg3OTYyMWFkNTI5YzI2ZWJhYTIzY2RlMzczMmM1YjNmMjgxY2I5Yzg2MTgxMjpwOlQ6Tg" TargetMode="External" /><Relationship Id="rId88" Type="http://schemas.openxmlformats.org/officeDocument/2006/relationships/hyperlink" Target="https://protect.checkpoint.com/v2/r01/___https://www.sec.gov/Archives/edgar/data/1551152/000155115222000045/abbv-2022930xex102.htm___.YzJ1OnBhdWxiYWtlcm5vdGlmaWVkY29tOmM6bzoxZWJkMjhjMTIwZGZlMzlkNTg2Yzk4NjIzMGI0M2I2Nzo3OjIwN2Q6ZmQ4NmJjZWNiNjcwOTgxOTA2Zjg3OTYyMWFkNTI5YzI2ZWJhYTIzY2RlMzczMmM1YjNmMjgxY2I5Yzg2MTgxMjpwOlQ6Tg" TargetMode="External" /><Relationship Id="rId89" Type="http://schemas.openxmlformats.org/officeDocument/2006/relationships/hyperlink" Target="https://protect.checkpoint.com/v2/r01/___https://www.sec.gov/Archives/edgar/data/1551152/000155115222000045/abbv-2022930xex102.htm___.YzJ1OnBhdWxiYWtlcm5vdGlmaWVkY29tOmM6bzoxZWJkMjhjMTIwZGZlMzlkNTg2Yzk4NjIzMGI0M2I2Nzo3OjIwN2Q6ZmQ4NmJjZWNiNjcwOTgxOTA2Zjg3OTYyMWFkNTI5YzI2ZWJhYTIzY2RlMzczMmM1YjNmMjgxY2I5Yzg2MTgxMjpwOlQ6Tg" TargetMode="External" /><Relationship Id="rId9" Type="http://schemas.openxmlformats.org/officeDocument/2006/relationships/image" Target="media/image6.png" /><Relationship Id="rId90" Type="http://schemas.openxmlformats.org/officeDocument/2006/relationships/hyperlink" Target="https://protect.checkpoint.com/v2/r01/___https://www.sec.gov/Archives/edgar/data/1551152/000110465916118639/a16-6520_1ex10d1.htm___.YzJ1OnBhdWxiYWtlcm5vdGlmaWVkY29tOmM6bzoxZWJkMjhjMTIwZGZlMzlkNTg2Yzk4NjIzMGI0M2I2Nzo3OjRiODk6NzVjOTU5YWRkYWUxNGI0YjYyNzdmMWY1YjY1YTdmY2QzMzllYzc3NjhjYTdlMDk0YThkYjE2NWEzNDUxZmQ5MTpwOlQ6Tg" TargetMode="External" /><Relationship Id="rId91" Type="http://schemas.openxmlformats.org/officeDocument/2006/relationships/hyperlink" Target="https://protect.checkpoint.com/v2/r01/___https://www.sec.gov/Archives/edgar/data/1551152/000110465916118639/a16-6520_1ex10d1.htm___.YzJ1OnBhdWxiYWtlcm5vdGlmaWVkY29tOmM6bzoxZWJkMjhjMTIwZGZlMzlkNTg2Yzk4NjIzMGI0M2I2Nzo3OjRiODk6NzVjOTU5YWRkYWUxNGI0YjYyNzdmMWY1YjY1YTdmY2QzMzllYzc3NjhjYTdlMDk0YThkYjE2NWEzNDUxZmQ5MTpwOlQ6Tg" TargetMode="External" /><Relationship Id="rId92" Type="http://schemas.openxmlformats.org/officeDocument/2006/relationships/hyperlink" Target="https://protect.checkpoint.com/v2/r01/___https://www.sec.gov/Archives/edgar/data/1551152/000110465916118639/a16-6520_1ex10d1.htm___.YzJ1OnBhdWxiYWtlcm5vdGlmaWVkY29tOmM6bzoxZWJkMjhjMTIwZGZlMzlkNTg2Yzk4NjIzMGI0M2I2Nzo3OjRiODk6NzVjOTU5YWRkYWUxNGI0YjYyNzdmMWY1YjY1YTdmY2QzMzllYzc3NjhjYTdlMDk0YThkYjE2NWEzNDUxZmQ5MTpwOlQ6Tg" TargetMode="External" /><Relationship Id="rId93" Type="http://schemas.openxmlformats.org/officeDocument/2006/relationships/hyperlink" Target="https://protect.checkpoint.com/v2/r01/___https://www.sec.gov/Archives/edgar/data/1551152/000110465916118639/a16-6520_1ex10d2.htm___.YzJ1OnBhdWxiYWtlcm5vdGlmaWVkY29tOmM6bzoxZWJkMjhjMTIwZGZlMzlkNTg2Yzk4NjIzMGI0M2I2Nzo3OjRhMzY6OGY2ODUzNDk2MjZmYTc1YmUyNTc0ZmJiZDU0ZTBhMWM5NmIzZTVlMjAyZTc2Zjc3YTAwZTZhZmExNmU0NTk3ZTpwOlQ6Tg" TargetMode="External" /><Relationship Id="rId94" Type="http://schemas.openxmlformats.org/officeDocument/2006/relationships/hyperlink" Target="https://protect.checkpoint.com/v2/r01/___https://www.sec.gov/Archives/edgar/data/1551152/000110465916118639/a16-6520_1ex10d2.htm___.YzJ1OnBhdWxiYWtlcm5vdGlmaWVkY29tOmM6bzoxZWJkMjhjMTIwZGZlMzlkNTg2Yzk4NjIzMGI0M2I2Nzo3OjRhMzY6OGY2ODUzNDk2MjZmYTc1YmUyNTc0ZmJiZDU0ZTBhMWM5NmIzZTVlMjAyZTc2Zjc3YTAwZTZhZmExNmU0NTk3ZTpwOlQ6Tg" TargetMode="External" /><Relationship Id="rId95" Type="http://schemas.openxmlformats.org/officeDocument/2006/relationships/hyperlink" Target="https://protect.checkpoint.com/v2/r01/___https://www.sec.gov/Archives/edgar/data/1551152/000110465916118639/a16-6520_1ex10d2.htm___.YzJ1OnBhdWxiYWtlcm5vdGlmaWVkY29tOmM6bzoxZWJkMjhjMTIwZGZlMzlkNTg2Yzk4NjIzMGI0M2I2Nzo3OjRhMzY6OGY2ODUzNDk2MjZmYTc1YmUyNTc0ZmJiZDU0ZTBhMWM5NmIzZTVlMjAyZTc2Zjc3YTAwZTZhZmExNmU0NTk3ZTpwOlQ6Tg" TargetMode="External" /><Relationship Id="rId96" Type="http://schemas.openxmlformats.org/officeDocument/2006/relationships/hyperlink" Target="https://protect.checkpoint.com/v2/r01/___https://www.sec.gov/Archives/edgar/data/1551152/000155115217000016/abbv-20170331xex101.htm___.YzJ1OnBhdWxiYWtlcm5vdGlmaWVkY29tOmM6bzoxZWJkMjhjMTIwZGZlMzlkNTg2Yzk4NjIzMGI0M2I2Nzo3OjY4ZmY6MDYxNmZiYWVmOWI5YzY5ZjdjMGE3NDJlY2ZkODU4YjA0ODZhMTljZjE0MzVhNzRiNmJmOGUzNDg2NTY1ZWJhYjpwOlQ6Tg" TargetMode="External" /><Relationship Id="rId97" Type="http://schemas.openxmlformats.org/officeDocument/2006/relationships/hyperlink" Target="https://protect.checkpoint.com/v2/r01/___https://www.sec.gov/Archives/edgar/data/1551152/000155115217000016/abbv-20170331xex101.htm___.YzJ1OnBhdWxiYWtlcm5vdGlmaWVkY29tOmM6bzoxZWJkMjhjMTIwZGZlMzlkNTg2Yzk4NjIzMGI0M2I2Nzo3OjY4ZmY6MDYxNmZiYWVmOWI5YzY5ZjdjMGE3NDJlY2ZkODU4YjA0ODZhMTljZjE0MzVhNzRiNmJmOGUzNDg2NTY1ZWJhYjpwOlQ6Tg" TargetMode="External" /><Relationship Id="rId98" Type="http://schemas.openxmlformats.org/officeDocument/2006/relationships/hyperlink" Target="https://protect.checkpoint.com/v2/r01/___https://www.sec.gov/Archives/edgar/data/1551152/000155115217000016/abbv-20170331xex101.htm___.YzJ1OnBhdWxiYWtlcm5vdGlmaWVkY29tOmM6bzoxZWJkMjhjMTIwZGZlMzlkNTg2Yzk4NjIzMGI0M2I2Nzo3OjY4ZmY6MDYxNmZiYWVmOWI5YzY5ZjdjMGE3NDJlY2ZkODU4YjA0ODZhMTljZjE0MzVhNzRiNmJmOGUzNDg2NTY1ZWJhYjpwOlQ6Tg" TargetMode="External" /><Relationship Id="rId99" Type="http://schemas.openxmlformats.org/officeDocument/2006/relationships/hyperlink" Target="https://protect.checkpoint.com/v2/r01/___https://www.sec.gov/Archives/edgar/data/1551152/000155115217000016/abbv-20170331xex102.htm___.YzJ1OnBhdWxiYWtlcm5vdGlmaWVkY29tOmM6bzoxZWJkMjhjMTIwZGZlMzlkNTg2Yzk4NjIzMGI0M2I2Nzo3OjhjNjQ6MzY0M2ZlNjMzZDAxMGM5MDE0NGZkZjQyY2M5MzQzMjBiZDE0MjQ5MmI4YWE5OGY2ZGExODNkOGMzMzJhZTk2ODpwOlQ6T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2025-02-14T12:29:55Z</dcterms:created>
  <dcterms:modified xsi:type="dcterms:W3CDTF">2025-02-14T12:29:55Z</dcterms:modified>
</cp:coreProperties>
</file>