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16, 2021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ABBVIE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Delaware</w:t>
            </w:r>
          </w:p>
        </w:tc>
        <w:tc>
          <w:tcPr>
            <w:tcW w:w="4060" w:type="dxa"/>
            <w:vAlign w:val="bottom"/>
            <w:gridSpan w:val="2"/>
          </w:tcPr>
          <w:p>
            <w:pPr>
              <w:jc w:val="center"/>
              <w:ind w:left="1190"/>
              <w:spacing w:after="0"/>
              <w:rPr>
                <w:sz w:val="20"/>
                <w:szCs w:val="20"/>
                <w:color w:val="auto"/>
              </w:rPr>
            </w:pPr>
            <w:r>
              <w:rPr>
                <w:rFonts w:ascii="Arial" w:cs="Arial" w:eastAsia="Arial" w:hAnsi="Arial"/>
                <w:sz w:val="18"/>
                <w:szCs w:val="18"/>
                <w:b w:val="1"/>
                <w:bCs w:val="1"/>
                <w:color w:val="auto"/>
                <w:w w:val="90"/>
              </w:rPr>
              <w:t>001-35565</w:t>
            </w:r>
          </w:p>
        </w:tc>
        <w:tc>
          <w:tcPr>
            <w:tcW w:w="1400" w:type="dxa"/>
            <w:vAlign w:val="bottom"/>
          </w:tcPr>
          <w:p>
            <w:pPr>
              <w:spacing w:after="0"/>
              <w:rPr>
                <w:sz w:val="19"/>
                <w:szCs w:val="19"/>
                <w:color w:val="auto"/>
              </w:rPr>
            </w:pPr>
          </w:p>
        </w:tc>
        <w:tc>
          <w:tcPr>
            <w:tcW w:w="170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32-0375147</w:t>
            </w:r>
          </w:p>
        </w:tc>
      </w:tr>
      <w:tr>
        <w:trPr>
          <w:trHeight w:val="216"/>
        </w:trPr>
        <w:tc>
          <w:tcPr>
            <w:tcW w:w="2100" w:type="dxa"/>
            <w:vAlign w:val="bottom"/>
          </w:tcPr>
          <w:p>
            <w:pPr>
              <w:jc w:val="center"/>
              <w:ind w:right="110"/>
              <w:spacing w:after="0"/>
              <w:rPr>
                <w:sz w:val="20"/>
                <w:szCs w:val="20"/>
                <w:color w:val="auto"/>
              </w:rPr>
            </w:pPr>
            <w:r>
              <w:rPr>
                <w:rFonts w:ascii="Arial" w:cs="Arial" w:eastAsia="Arial" w:hAnsi="Arial"/>
                <w:sz w:val="18"/>
                <w:szCs w:val="18"/>
                <w:color w:val="auto"/>
                <w:w w:val="90"/>
              </w:rPr>
              <w:t>(State or other Jurisdiction</w:t>
            </w:r>
          </w:p>
        </w:tc>
        <w:tc>
          <w:tcPr>
            <w:tcW w:w="1260" w:type="dxa"/>
            <w:vAlign w:val="bottom"/>
          </w:tcPr>
          <w:p>
            <w:pPr>
              <w:spacing w:after="0"/>
              <w:rPr>
                <w:sz w:val="18"/>
                <w:szCs w:val="18"/>
                <w:color w:val="auto"/>
              </w:rPr>
            </w:pPr>
          </w:p>
        </w:tc>
        <w:tc>
          <w:tcPr>
            <w:tcW w:w="4200" w:type="dxa"/>
            <w:vAlign w:val="bottom"/>
            <w:gridSpan w:val="2"/>
          </w:tcPr>
          <w:p>
            <w:pPr>
              <w:jc w:val="center"/>
              <w:ind w:right="1360"/>
              <w:spacing w:after="0"/>
              <w:rPr>
                <w:sz w:val="20"/>
                <w:szCs w:val="20"/>
                <w:color w:val="auto"/>
              </w:rPr>
            </w:pPr>
            <w:r>
              <w:rPr>
                <w:rFonts w:ascii="Arial" w:cs="Arial" w:eastAsia="Arial" w:hAnsi="Arial"/>
                <w:sz w:val="18"/>
                <w:szCs w:val="18"/>
                <w:color w:val="auto"/>
                <w:w w:val="93"/>
              </w:rPr>
              <w:t>(Commission File Number)</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3"/>
              </w:rPr>
              <w:t>(IRS Employer</w:t>
            </w:r>
          </w:p>
        </w:tc>
      </w:tr>
      <w:tr>
        <w:trPr>
          <w:trHeight w:val="230"/>
        </w:trPr>
        <w:tc>
          <w:tcPr>
            <w:tcW w:w="2100" w:type="dxa"/>
            <w:vAlign w:val="bottom"/>
          </w:tcPr>
          <w:p>
            <w:pPr>
              <w:jc w:val="center"/>
              <w:ind w:right="110"/>
              <w:spacing w:after="0"/>
              <w:rPr>
                <w:sz w:val="20"/>
                <w:szCs w:val="20"/>
                <w:color w:val="auto"/>
              </w:rPr>
            </w:pPr>
            <w:r>
              <w:rPr>
                <w:rFonts w:ascii="Arial" w:cs="Arial" w:eastAsia="Arial" w:hAnsi="Arial"/>
                <w:sz w:val="18"/>
                <w:szCs w:val="18"/>
                <w:color w:val="auto"/>
                <w:w w:val="93"/>
              </w:rPr>
              <w:t>of incorporation)</w:t>
            </w: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5"/>
              </w:rPr>
              <w:t>Identification No.)</w:t>
            </w:r>
          </w:p>
        </w:tc>
      </w:tr>
      <w:tr>
        <w:trPr>
          <w:trHeight w:val="216"/>
        </w:trPr>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4"/>
        </w:trPr>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92"/>
              </w:rPr>
              <w:t>1 North Waukegan Road</w:t>
            </w:r>
          </w:p>
        </w:tc>
        <w:tc>
          <w:tcPr>
            <w:tcW w:w="1700" w:type="dxa"/>
            <w:vAlign w:val="bottom"/>
          </w:tcPr>
          <w:p>
            <w:pPr>
              <w:spacing w:after="0"/>
              <w:rPr>
                <w:sz w:val="24"/>
                <w:szCs w:val="24"/>
                <w:color w:val="auto"/>
              </w:rPr>
            </w:pPr>
          </w:p>
        </w:tc>
      </w:tr>
      <w:tr>
        <w:trPr>
          <w:trHeight w:val="220"/>
        </w:trPr>
        <w:tc>
          <w:tcPr>
            <w:tcW w:w="2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91"/>
              </w:rPr>
              <w:t>North Chicago, Illinois 60064-6400</w:t>
            </w:r>
          </w:p>
        </w:tc>
        <w:tc>
          <w:tcPr>
            <w:tcW w:w="1700" w:type="dxa"/>
            <w:vAlign w:val="bottom"/>
          </w:tcPr>
          <w:p>
            <w:pPr>
              <w:spacing w:after="0"/>
              <w:rPr>
                <w:sz w:val="19"/>
                <w:szCs w:val="19"/>
                <w:color w:val="auto"/>
              </w:rPr>
            </w:pPr>
          </w:p>
        </w:tc>
      </w:tr>
      <w:tr>
        <w:trPr>
          <w:trHeight w:val="230"/>
        </w:trPr>
        <w:tc>
          <w:tcPr>
            <w:tcW w:w="2100" w:type="dxa"/>
            <w:vAlign w:val="bottom"/>
          </w:tcPr>
          <w:p>
            <w:pPr>
              <w:spacing w:after="0"/>
              <w:rPr>
                <w:sz w:val="20"/>
                <w:szCs w:val="20"/>
                <w:color w:val="auto"/>
              </w:rPr>
            </w:pPr>
          </w:p>
        </w:tc>
        <w:tc>
          <w:tcPr>
            <w:tcW w:w="546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(Address of principal executive offices) (Zip Code)</w:t>
            </w:r>
          </w:p>
        </w:tc>
        <w:tc>
          <w:tcPr>
            <w:tcW w:w="170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546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(847) 932-7900</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60" w:lineRule="auto"/>
        <w:tabs>
          <w:tab w:leader="none" w:pos="34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ind w:left="1180"/>
              <w:spacing w:after="0"/>
              <w:rPr>
                <w:sz w:val="20"/>
                <w:szCs w:val="20"/>
                <w:color w:val="auto"/>
              </w:rPr>
            </w:pPr>
            <w:r>
              <w:rPr>
                <w:rFonts w:ascii="Arial" w:cs="Arial" w:eastAsia="Arial" w:hAnsi="Arial"/>
                <w:sz w:val="18"/>
                <w:szCs w:val="18"/>
                <w:b w:val="1"/>
                <w:bCs w:val="1"/>
                <w:color w:val="auto"/>
              </w:rPr>
              <w:t>Title of each class</w:t>
            </w: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620" w:type="dxa"/>
            <w:vAlign w:val="bottom"/>
            <w:tcBorders>
              <w:top w:val="single" w:sz="8" w:color="auto"/>
            </w:tcBorders>
          </w:tcPr>
          <w:p>
            <w:pPr>
              <w:ind w:left="680"/>
              <w:spacing w:after="0" w:line="195" w:lineRule="exact"/>
              <w:rPr>
                <w:sz w:val="20"/>
                <w:szCs w:val="20"/>
                <w:color w:val="auto"/>
              </w:rPr>
            </w:pPr>
            <w:r>
              <w:rPr>
                <w:rFonts w:ascii="Arial" w:cs="Arial" w:eastAsia="Arial" w:hAnsi="Arial"/>
                <w:sz w:val="18"/>
                <w:szCs w:val="18"/>
                <w:color w:val="auto"/>
              </w:rPr>
              <w:t>Common Stock, $0.01 Par Value</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ind w:left="10"/>
              <w:spacing w:after="0" w:line="195" w:lineRule="exact"/>
              <w:rPr>
                <w:sz w:val="20"/>
                <w:szCs w:val="20"/>
                <w:color w:val="auto"/>
              </w:rPr>
            </w:pPr>
            <w:r>
              <w:rPr>
                <w:rFonts w:ascii="Arial" w:cs="Arial" w:eastAsia="Arial" w:hAnsi="Arial"/>
                <w:sz w:val="18"/>
                <w:szCs w:val="18"/>
                <w:color w:val="auto"/>
              </w:rPr>
              <w:t>ABBV</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Chicago Stock Exchange</w:t>
            </w:r>
          </w:p>
        </w:tc>
      </w:tr>
      <w:tr>
        <w:trPr>
          <w:trHeight w:val="216"/>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1.500% Senior Notes due 2023</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ABBV23B</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1.375% Senior Notes due 2024</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ABBV24</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1.250% Senior Notes due 2024</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ABBV24B</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0.750% Senior Notes due 2027</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ABBV27</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2.125% Senior Notes due 2028</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ABBV28</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2.625% Senior Notes due 2028</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ABBV28B</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2.125% Senior Notes due 2029</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ABBV29</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1.250% Senior Notes due 2031</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ABBV31</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ind w:right="2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Robert A. Michael, 51, has been appointed Vice Chairman, Finance and Commercial Operations and Chief Financial Officer, effective as of December 16, 2021. Mr. Michael has been AbbVie’s Executive Vice President, Chief Financial Officer since October 2018, previously serving as AbbVie’s Vice President, Controller from March 2017 until October 2018, as Vice President, Treasurer from 2015 to 2016, and as Vice President, Controller, Commercial Operations from 2013 to 2015. Mr. Michael joined Abbott Laboratories in 1993 and held numerous positions in the finance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ABBVIE INC.</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Date:  December 16, 2021</w:t>
            </w:r>
          </w:p>
        </w:tc>
        <w:tc>
          <w:tcPr>
            <w:tcW w:w="7420" w:type="dxa"/>
            <w:vAlign w:val="bottom"/>
            <w:gridSpan w:val="2"/>
          </w:tcPr>
          <w:p>
            <w:pPr>
              <w:ind w:left="1820"/>
              <w:spacing w:after="0"/>
              <w:rPr>
                <w:sz w:val="20"/>
                <w:szCs w:val="20"/>
                <w:color w:val="auto"/>
              </w:rPr>
            </w:pPr>
            <w:r>
              <w:rPr>
                <w:rFonts w:ascii="Arial" w:cs="Arial" w:eastAsia="Arial" w:hAnsi="Arial"/>
                <w:sz w:val="18"/>
                <w:szCs w:val="18"/>
                <w:color w:val="auto"/>
              </w:rPr>
              <w:t>By: /s/ Timothy J. Richmond</w:t>
            </w:r>
          </w:p>
        </w:tc>
      </w:tr>
      <w:tr>
        <w:trPr>
          <w:trHeight w:val="195"/>
        </w:trPr>
        <w:tc>
          <w:tcPr>
            <w:tcW w:w="38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J. Richmond</w:t>
            </w:r>
          </w:p>
        </w:tc>
      </w:tr>
      <w:tr>
        <w:trPr>
          <w:trHeight w:val="216"/>
        </w:trPr>
        <w:tc>
          <w:tcPr>
            <w:tcW w:w="38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8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Human Resources Officer</w:t>
            </w:r>
          </w:p>
        </w:tc>
      </w:tr>
      <w:tr>
        <w:trPr>
          <w:trHeight w:val="432"/>
        </w:trPr>
        <w:tc>
          <w:tcPr>
            <w:tcW w:w="38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2021-12-16T16:04:11Z</dcterms:created>
  <dcterms:modified xsi:type="dcterms:W3CDTF">2021-12-16T16:04:11Z</dcterms:modified>
</cp:coreProperties>
</file>