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_____________________________________________________</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2, 2018</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ABBVIE INC.</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_____________________________________________________</w:t>
      </w:r>
    </w:p>
    <w:p>
      <w:pPr>
        <w:sectPr>
          <w:pgSz w:w="11900" w:h="16838" w:orient="portrait"/>
          <w:cols w:equalWidth="0" w:num="1">
            <w:col w:w="11420"/>
          </w:cols>
          <w:pgMar w:left="240" w:top="968" w:right="239" w:bottom="1440" w:gutter="0" w:footer="0" w:header="0"/>
        </w:sectPr>
      </w:pPr>
    </w:p>
    <w:p>
      <w:pPr>
        <w:spacing w:after="0" w:line="365"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jc w:val="center"/>
        <w:ind w:right="2360"/>
        <w:spacing w:after="0"/>
        <w:rPr>
          <w:sz w:val="20"/>
          <w:szCs w:val="20"/>
          <w:color w:val="auto"/>
        </w:rPr>
      </w:pPr>
      <w:r>
        <w:rPr>
          <w:rFonts w:ascii="Arial" w:cs="Arial" w:eastAsia="Arial" w:hAnsi="Arial"/>
          <w:sz w:val="17"/>
          <w:szCs w:val="17"/>
          <w:b w:val="1"/>
          <w:bCs w:val="1"/>
          <w:color w:val="auto"/>
        </w:rPr>
        <w:t>001-35565</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32-0375147</w:t>
      </w:r>
    </w:p>
    <w:p>
      <w:pPr>
        <w:spacing w:after="0" w:line="83" w:lineRule="exact"/>
        <w:rPr>
          <w:sz w:val="24"/>
          <w:szCs w:val="24"/>
          <w:color w:val="auto"/>
        </w:rPr>
      </w:pPr>
    </w:p>
    <w:p>
      <w:pPr>
        <w:sectPr>
          <w:pgSz w:w="11900" w:h="16838" w:orient="portrait"/>
          <w:cols w:equalWidth="0" w:num="3">
            <w:col w:w="4520" w:space="720"/>
            <w:col w:w="3220" w:space="720"/>
            <w:col w:w="2240"/>
          </w:cols>
          <w:pgMar w:left="240" w:top="968" w:right="239" w:bottom="1440" w:gutter="0" w:footer="0" w:header="0"/>
          <w:type w:val="continuous"/>
        </w:sectPr>
      </w:pPr>
    </w:p>
    <w:p>
      <w:pPr>
        <w:ind w:left="680"/>
        <w:spacing w:after="0"/>
        <w:rPr>
          <w:sz w:val="20"/>
          <w:szCs w:val="20"/>
          <w:color w:val="auto"/>
        </w:rPr>
      </w:pPr>
      <w:r>
        <w:rPr>
          <w:rFonts w:ascii="Arial" w:cs="Arial" w:eastAsia="Arial" w:hAnsi="Arial"/>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w:t>
      </w:r>
    </w:p>
    <w:p>
      <w:pPr>
        <w:spacing w:after="0" w:line="61" w:lineRule="exact"/>
        <w:rPr>
          <w:sz w:val="24"/>
          <w:szCs w:val="24"/>
          <w:color w:val="auto"/>
        </w:rPr>
      </w:pPr>
    </w:p>
    <w:p>
      <w:pPr>
        <w:sectPr>
          <w:pgSz w:w="11900" w:h="16838" w:orient="portrait"/>
          <w:cols w:equalWidth="0" w:num="3">
            <w:col w:w="3880" w:space="720"/>
            <w:col w:w="3760" w:space="720"/>
            <w:col w:w="2340"/>
          </w:cols>
          <w:pgMar w:left="240" w:top="968" w:right="239" w:bottom="1440" w:gutter="0" w:footer="0" w:header="0"/>
          <w:type w:val="continuous"/>
        </w:sectPr>
      </w:pPr>
    </w:p>
    <w:p>
      <w:pPr>
        <w:ind w:left="10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Identification No.)</w:t>
      </w:r>
    </w:p>
    <w:p>
      <w:pPr>
        <w:spacing w:after="0" w:line="34" w:lineRule="exact"/>
        <w:rPr>
          <w:sz w:val="24"/>
          <w:szCs w:val="24"/>
          <w:color w:val="auto"/>
        </w:rPr>
      </w:pPr>
    </w:p>
    <w:p>
      <w:pPr>
        <w:sectPr>
          <w:pgSz w:w="11900" w:h="16838" w:orient="portrait"/>
          <w:cols w:equalWidth="0" w:num="2">
            <w:col w:w="8240" w:space="720"/>
            <w:col w:w="2460"/>
          </w:cols>
          <w:pgMar w:left="240" w:top="968" w:right="239" w:bottom="1440" w:gutter="0" w:footer="0" w:header="0"/>
          <w:type w:val="continuous"/>
        </w:sectPr>
      </w:pPr>
    </w:p>
    <w:p>
      <w:pPr>
        <w:ind w:left="3080"/>
        <w:spacing w:after="0"/>
        <w:rPr>
          <w:sz w:val="20"/>
          <w:szCs w:val="20"/>
          <w:color w:val="auto"/>
        </w:rPr>
      </w:pPr>
      <w:r>
        <w:rPr>
          <w:rFonts w:ascii="Arial" w:cs="Arial" w:eastAsia="Arial" w:hAnsi="Arial"/>
          <w:sz w:val="18"/>
          <w:szCs w:val="18"/>
          <w:color w:val="auto"/>
        </w:rPr>
        <w:t>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North Waukegan Road</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offices)(Zip Code)</w:t>
      </w:r>
    </w:p>
    <w:p>
      <w:pPr>
        <w:sectPr>
          <w:pgSz w:w="11900" w:h="16838" w:orient="portrait"/>
          <w:cols w:equalWidth="0" w:num="1">
            <w:col w:w="11420"/>
          </w:cols>
          <w:pgMar w:left="240" w:top="968" w:right="239" w:bottom="1440" w:gutter="0" w:footer="0" w:header="0"/>
          <w:type w:val="continuous"/>
        </w:sectPr>
      </w:pPr>
    </w:p>
    <w:p>
      <w:pPr>
        <w:spacing w:after="0" w:line="225" w:lineRule="exact"/>
        <w:rPr>
          <w:sz w:val="24"/>
          <w:szCs w:val="24"/>
          <w:color w:val="auto"/>
        </w:rPr>
      </w:pPr>
    </w:p>
    <w:p>
      <w:pPr>
        <w:ind w:left="2980"/>
        <w:spacing w:after="0"/>
        <w:rPr>
          <w:sz w:val="20"/>
          <w:szCs w:val="20"/>
          <w:color w:val="auto"/>
        </w:rPr>
      </w:pPr>
      <w:r>
        <w:rPr>
          <w:rFonts w:ascii="Arial" w:cs="Arial" w:eastAsia="Arial" w:hAnsi="Arial"/>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(847) 932-7900</w:t>
      </w:r>
    </w:p>
    <w:p>
      <w:pPr>
        <w:spacing w:after="0" w:line="210" w:lineRule="exact"/>
        <w:rPr>
          <w:sz w:val="24"/>
          <w:szCs w:val="24"/>
          <w:color w:val="auto"/>
        </w:rPr>
      </w:pPr>
    </w:p>
    <w:p>
      <w:pPr>
        <w:sectPr>
          <w:pgSz w:w="11900" w:h="16838" w:orient="portrait"/>
          <w:cols w:equalWidth="0" w:num="2">
            <w:col w:w="7120" w:space="100"/>
            <w:col w:w="4200"/>
          </w:cols>
          <w:pgMar w:left="240" w:top="968" w:right="239" w:bottom="1440" w:gutter="0" w:footer="0" w:header="0"/>
          <w:type w:val="continuous"/>
        </w:sectPr>
      </w:pPr>
    </w:p>
    <w:p>
      <w:pPr>
        <w:spacing w:after="0" w:line="3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6"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65"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p>
      <w:pPr>
        <w:ind w:right="18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0" w:lineRule="exact"/>
        <w:rPr>
          <w:sz w:val="24"/>
          <w:szCs w:val="24"/>
          <w:color w:val="auto"/>
        </w:rPr>
      </w:pPr>
    </w:p>
    <w:p>
      <w:pPr>
        <w:ind w:left="6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12"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53"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color w:val="auto"/>
        </w:rPr>
        <w:t>On November 2, 2018, AbbVie Inc. issued a press release announcing financial results for the third quarter ended September 30, 2018. A copy of the press release is furnished as Exhibit 99.1 to this report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60" w:type="dxa"/>
            <w:vAlign w:val="bottom"/>
            <w:gridSpan w:val="2"/>
          </w:tcPr>
          <w:p>
            <w:pPr>
              <w:spacing w:after="0"/>
              <w:rPr>
                <w:sz w:val="20"/>
                <w:szCs w:val="20"/>
                <w:color w:val="auto"/>
              </w:rPr>
            </w:pPr>
            <w:r>
              <w:rPr>
                <w:rFonts w:ascii="Arial" w:cs="Arial" w:eastAsia="Arial" w:hAnsi="Arial"/>
                <w:sz w:val="20"/>
                <w:szCs w:val="20"/>
                <w:color w:val="auto"/>
              </w:rPr>
              <w:t>(d) Exhibits</w:t>
            </w:r>
          </w:p>
        </w:tc>
        <w:tc>
          <w:tcPr>
            <w:tcW w:w="9460" w:type="dxa"/>
            <w:vAlign w:val="bottom"/>
          </w:tcPr>
          <w:p>
            <w:pPr>
              <w:spacing w:after="0"/>
              <w:rPr>
                <w:sz w:val="20"/>
                <w:szCs w:val="20"/>
                <w:color w:val="auto"/>
              </w:rPr>
            </w:pPr>
          </w:p>
        </w:tc>
      </w:tr>
      <w:tr>
        <w:trPr>
          <w:trHeight w:val="396"/>
        </w:trPr>
        <w:tc>
          <w:tcPr>
            <w:tcW w:w="1960" w:type="dxa"/>
            <w:vAlign w:val="bottom"/>
            <w:gridSpan w:val="2"/>
          </w:tcPr>
          <w:p>
            <w:pPr>
              <w:ind w:left="40"/>
              <w:spacing w:after="0"/>
              <w:rPr>
                <w:sz w:val="20"/>
                <w:szCs w:val="20"/>
                <w:color w:val="auto"/>
              </w:rPr>
            </w:pPr>
            <w:r>
              <w:rPr>
                <w:rFonts w:ascii="Arial" w:cs="Arial" w:eastAsia="Arial" w:hAnsi="Arial"/>
                <w:sz w:val="20"/>
                <w:szCs w:val="20"/>
                <w:b w:val="1"/>
                <w:bCs w:val="1"/>
                <w:color w:val="auto"/>
              </w:rPr>
              <w:t>Exhibit No.</w:t>
            </w:r>
          </w:p>
        </w:tc>
        <w:tc>
          <w:tcPr>
            <w:tcW w:w="9460" w:type="dxa"/>
            <w:vAlign w:val="bottom"/>
          </w:tcPr>
          <w:p>
            <w:pPr>
              <w:ind w:left="20"/>
              <w:spacing w:after="0"/>
              <w:rPr>
                <w:sz w:val="20"/>
                <w:szCs w:val="20"/>
                <w:color w:val="auto"/>
              </w:rPr>
            </w:pPr>
            <w:r>
              <w:rPr>
                <w:rFonts w:ascii="Arial" w:cs="Arial" w:eastAsia="Arial" w:hAnsi="Arial"/>
                <w:sz w:val="20"/>
                <w:szCs w:val="20"/>
                <w:b w:val="1"/>
                <w:bCs w:val="1"/>
                <w:color w:val="auto"/>
              </w:rPr>
              <w:t>Exhibit</w:t>
            </w:r>
          </w:p>
        </w:tc>
      </w:tr>
      <w:tr>
        <w:trPr>
          <w:trHeight w:val="259"/>
        </w:trPr>
        <w:tc>
          <w:tcPr>
            <w:tcW w:w="1380" w:type="dxa"/>
            <w:vAlign w:val="bottom"/>
            <w:tcBorders>
              <w:top w:val="single" w:sz="8" w:color="auto"/>
            </w:tcBorders>
          </w:tcPr>
          <w:p>
            <w:pPr>
              <w:ind w:left="40"/>
              <w:spacing w:after="0"/>
              <w:rPr>
                <w:rFonts w:ascii="Arial" w:cs="Arial" w:eastAsia="Arial" w:hAnsi="Arial"/>
                <w:sz w:val="20"/>
                <w:szCs w:val="20"/>
                <w:color w:val="auto"/>
              </w:rPr>
            </w:pPr>
            <w:hyperlink w:anchor="page4">
              <w:r>
                <w:rPr>
                  <w:rFonts w:ascii="Arial" w:cs="Arial" w:eastAsia="Arial" w:hAnsi="Arial"/>
                  <w:sz w:val="20"/>
                  <w:szCs w:val="20"/>
                  <w:color w:val="auto"/>
                </w:rPr>
                <w:t>99.1</w:t>
              </w:r>
            </w:hyperlink>
          </w:p>
        </w:tc>
        <w:tc>
          <w:tcPr>
            <w:tcW w:w="580" w:type="dxa"/>
            <w:vAlign w:val="bottom"/>
          </w:tcPr>
          <w:p>
            <w:pPr>
              <w:spacing w:after="0"/>
              <w:rPr>
                <w:sz w:val="22"/>
                <w:szCs w:val="22"/>
                <w:color w:val="auto"/>
              </w:rPr>
            </w:pPr>
          </w:p>
        </w:tc>
        <w:tc>
          <w:tcPr>
            <w:tcW w:w="9460" w:type="dxa"/>
            <w:vAlign w:val="bottom"/>
            <w:tcBorders>
              <w:top w:val="single" w:sz="8" w:color="auto"/>
            </w:tcBorders>
          </w:tcPr>
          <w:p>
            <w:pPr>
              <w:ind w:left="20"/>
              <w:spacing w:after="0"/>
              <w:rPr>
                <w:rFonts w:ascii="Arial" w:cs="Arial" w:eastAsia="Arial" w:hAnsi="Arial"/>
                <w:sz w:val="20"/>
                <w:szCs w:val="20"/>
                <w:color w:val="auto"/>
              </w:rPr>
            </w:pPr>
            <w:hyperlink w:anchor="page4">
              <w:r>
                <w:rPr>
                  <w:rFonts w:ascii="Arial" w:cs="Arial" w:eastAsia="Arial" w:hAnsi="Arial"/>
                  <w:sz w:val="20"/>
                  <w:szCs w:val="20"/>
                  <w:color w:val="auto"/>
                </w:rPr>
                <w:t>Press Release dated November 2, 2018 (furnished pursuant to Item 2.02).</w:t>
              </w:r>
            </w:hyperlink>
          </w:p>
        </w:tc>
      </w:tr>
    </w:tbl>
    <w:p>
      <w:pPr>
        <w:sectPr>
          <w:pgSz w:w="11900" w:h="16838" w:orient="portrait"/>
          <w:cols w:equalWidth="0" w:num="1">
            <w:col w:w="11420"/>
          </w:cols>
          <w:pgMar w:left="240" w:top="571"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0"/>
          <w:szCs w:val="20"/>
          <w:b w:val="1"/>
          <w:bCs w:val="1"/>
          <w:color w:val="auto"/>
        </w:rPr>
        <w:t>SIGNATURE</w:t>
      </w:r>
    </w:p>
    <w:p>
      <w:pPr>
        <w:spacing w:after="0" w:line="253"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53" w:lineRule="exact"/>
        <w:rPr>
          <w:sz w:val="20"/>
          <w:szCs w:val="20"/>
          <w:color w:val="auto"/>
        </w:rPr>
      </w:pPr>
    </w:p>
    <w:p>
      <w:pPr>
        <w:ind w:left="7240"/>
        <w:spacing w:after="0"/>
        <w:rPr>
          <w:sz w:val="20"/>
          <w:szCs w:val="20"/>
          <w:color w:val="auto"/>
        </w:rPr>
      </w:pPr>
      <w:r>
        <w:rPr>
          <w:rFonts w:ascii="Arial" w:cs="Arial" w:eastAsia="Arial" w:hAnsi="Arial"/>
          <w:sz w:val="20"/>
          <w:szCs w:val="20"/>
          <w:b w:val="1"/>
          <w:bCs w:val="1"/>
          <w:color w:val="auto"/>
        </w:rPr>
        <w:t>ABBVIE INC.</w:t>
      </w:r>
    </w:p>
    <w:p>
      <w:pPr>
        <w:spacing w:after="0" w:line="334" w:lineRule="exact"/>
        <w:rPr>
          <w:sz w:val="20"/>
          <w:szCs w:val="20"/>
          <w:color w:val="auto"/>
        </w:rPr>
      </w:pPr>
    </w:p>
    <w:p>
      <w:pPr>
        <w:ind w:left="40"/>
        <w:spacing w:after="0"/>
        <w:tabs>
          <w:tab w:leader="none" w:pos="700" w:val="left"/>
          <w:tab w:leader="none" w:pos="6640" w:val="left"/>
          <w:tab w:leader="none" w:pos="7220" w:val="left"/>
        </w:tabs>
        <w:rPr>
          <w:sz w:val="20"/>
          <w:szCs w:val="20"/>
          <w:color w:val="auto"/>
        </w:rPr>
      </w:pPr>
      <w:r>
        <w:rPr>
          <w:rFonts w:ascii="Arial" w:cs="Arial" w:eastAsia="Arial" w:hAnsi="Arial"/>
          <w:sz w:val="20"/>
          <w:szCs w:val="20"/>
          <w:color w:val="auto"/>
        </w:rPr>
        <w:t>Date:</w:t>
        <w:tab/>
        <w:t>November 2, 2018</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Robert A.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4" w:lineRule="exact"/>
        <w:rPr>
          <w:sz w:val="20"/>
          <w:szCs w:val="20"/>
          <w:color w:val="auto"/>
        </w:rPr>
      </w:pPr>
    </w:p>
    <w:p>
      <w:pPr>
        <w:ind w:left="7240"/>
        <w:spacing w:after="0"/>
        <w:rPr>
          <w:sz w:val="20"/>
          <w:szCs w:val="20"/>
          <w:color w:val="auto"/>
        </w:rPr>
      </w:pPr>
      <w:r>
        <w:rPr>
          <w:rFonts w:ascii="Arial" w:cs="Arial" w:eastAsia="Arial" w:hAnsi="Arial"/>
          <w:sz w:val="20"/>
          <w:szCs w:val="20"/>
          <w:color w:val="auto"/>
        </w:rPr>
        <w:t>Robert A. Michael</w:t>
      </w:r>
    </w:p>
    <w:p>
      <w:pPr>
        <w:spacing w:after="0" w:line="40" w:lineRule="exact"/>
        <w:rPr>
          <w:sz w:val="20"/>
          <w:szCs w:val="20"/>
          <w:color w:val="auto"/>
        </w:rPr>
      </w:pPr>
    </w:p>
    <w:p>
      <w:pPr>
        <w:ind w:left="7240"/>
        <w:spacing w:after="0"/>
        <w:rPr>
          <w:sz w:val="20"/>
          <w:szCs w:val="20"/>
          <w:color w:val="auto"/>
        </w:rPr>
      </w:pPr>
      <w:r>
        <w:rPr>
          <w:rFonts w:ascii="Arial" w:cs="Arial" w:eastAsia="Arial" w:hAnsi="Arial"/>
          <w:sz w:val="20"/>
          <w:szCs w:val="20"/>
          <w:color w:val="auto"/>
        </w:rPr>
        <w:t>Senior Vice President,</w:t>
      </w:r>
    </w:p>
    <w:p>
      <w:pPr>
        <w:spacing w:after="0" w:line="40" w:lineRule="exact"/>
        <w:rPr>
          <w:sz w:val="20"/>
          <w:szCs w:val="20"/>
          <w:color w:val="auto"/>
        </w:rPr>
      </w:pPr>
    </w:p>
    <w:p>
      <w:pPr>
        <w:ind w:left="7240"/>
        <w:spacing w:after="0"/>
        <w:rPr>
          <w:sz w:val="20"/>
          <w:szCs w:val="20"/>
          <w:color w:val="auto"/>
        </w:rPr>
      </w:pPr>
      <w:r>
        <w:rPr>
          <w:rFonts w:ascii="Arial" w:cs="Arial" w:eastAsia="Arial" w:hAnsi="Arial"/>
          <w:sz w:val="20"/>
          <w:szCs w:val="20"/>
          <w:color w:val="auto"/>
        </w:rPr>
        <w:t>Chief Financial Officer</w:t>
      </w:r>
    </w:p>
    <w:p>
      <w:pPr>
        <w:sectPr>
          <w:pgSz w:w="11900" w:h="16838" w:orient="portrait"/>
          <w:cols w:equalWidth="0" w:num="1">
            <w:col w:w="11380"/>
          </w:cols>
          <w:pgMar w:left="240" w:top="571" w:right="2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286510" cy="214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651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9"/>
          <w:szCs w:val="29"/>
          <w:b w:val="1"/>
          <w:bCs w:val="1"/>
          <w:color w:val="071D49"/>
        </w:rPr>
        <w:t>PRESS RELEASE</w:t>
      </w: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AbbVie Reports Third-Quarter 2018 Financial Results</w:t>
      </w:r>
    </w:p>
    <w:p>
      <w:pPr>
        <w:spacing w:after="0" w:line="246" w:lineRule="exact"/>
        <w:rPr>
          <w:sz w:val="20"/>
          <w:szCs w:val="20"/>
          <w:color w:val="auto"/>
        </w:rPr>
      </w:pPr>
    </w:p>
    <w:p>
      <w:pPr>
        <w:ind w:left="660" w:right="580" w:hanging="328"/>
        <w:spacing w:after="0" w:line="267" w:lineRule="auto"/>
        <w:tabs>
          <w:tab w:leader="none" w:pos="660" w:val="left"/>
        </w:tabs>
        <w:numPr>
          <w:ilvl w:val="0"/>
          <w:numId w:val="2"/>
        </w:numPr>
        <w:rPr>
          <w:rFonts w:ascii="Arial" w:cs="Arial" w:eastAsia="Arial" w:hAnsi="Arial"/>
          <w:sz w:val="20"/>
          <w:szCs w:val="20"/>
          <w:b w:val="1"/>
          <w:bCs w:val="1"/>
          <w:color w:val="auto"/>
        </w:rPr>
      </w:pPr>
      <w:r>
        <w:rPr>
          <w:rFonts w:ascii="Arial" w:cs="Arial" w:eastAsia="Arial" w:hAnsi="Arial"/>
          <w:sz w:val="20"/>
          <w:szCs w:val="20"/>
          <w:i w:val="1"/>
          <w:iCs w:val="1"/>
          <w:color w:val="auto"/>
        </w:rPr>
        <w:t>Reports Third-Quarter Diluted EPS of $1.81 on a GAAP Basis; Adjusted Diluted EPS of $2.14 Reflects Growth of 51.8 Percent</w:t>
      </w:r>
    </w:p>
    <w:p>
      <w:pPr>
        <w:spacing w:after="0" w:line="177" w:lineRule="exact"/>
        <w:rPr>
          <w:rFonts w:ascii="Arial" w:cs="Arial" w:eastAsia="Arial" w:hAnsi="Arial"/>
          <w:sz w:val="20"/>
          <w:szCs w:val="20"/>
          <w:b w:val="1"/>
          <w:bCs w:val="1"/>
          <w:color w:val="auto"/>
        </w:rPr>
      </w:pPr>
    </w:p>
    <w:p>
      <w:pPr>
        <w:ind w:left="660" w:hanging="328"/>
        <w:spacing w:after="0" w:line="267" w:lineRule="auto"/>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Delivers Third-Quarter Net Revenues of $8.236 Billion on a GAAP Basis; Adjusted Net Revenues of $8.236 Billion Increased 18.5 Percent on an Operational Basis</w:t>
      </w:r>
    </w:p>
    <w:p>
      <w:pPr>
        <w:spacing w:after="0" w:line="177" w:lineRule="exact"/>
        <w:rPr>
          <w:rFonts w:ascii="Arial" w:cs="Arial" w:eastAsia="Arial" w:hAnsi="Arial"/>
          <w:sz w:val="20"/>
          <w:szCs w:val="20"/>
          <w:i w:val="1"/>
          <w:iCs w:val="1"/>
          <w:color w:val="auto"/>
        </w:rPr>
      </w:pPr>
    </w:p>
    <w:p>
      <w:pPr>
        <w:ind w:left="660" w:right="640" w:hanging="328"/>
        <w:spacing w:after="0" w:line="267" w:lineRule="auto"/>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Third-Quarter Global HUMIRA Sales of $5.124 Billion Increased 9.0 Percent on a Reported Basis, or 9.8 Percent on an Operational Basis</w:t>
      </w:r>
    </w:p>
    <w:p>
      <w:pPr>
        <w:spacing w:after="0" w:line="177" w:lineRule="exact"/>
        <w:rPr>
          <w:rFonts w:ascii="Arial" w:cs="Arial" w:eastAsia="Arial" w:hAnsi="Arial"/>
          <w:sz w:val="20"/>
          <w:szCs w:val="20"/>
          <w:i w:val="1"/>
          <w:iCs w:val="1"/>
          <w:color w:val="auto"/>
        </w:rPr>
      </w:pPr>
    </w:p>
    <w:p>
      <w:pPr>
        <w:ind w:left="660" w:hanging="328"/>
        <w:spacing w:after="0"/>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Global Net Revenues from the Hematologic Oncology Portfolio Were $1.068 Billion in the Third Quarter, an Increase of</w:t>
      </w:r>
    </w:p>
    <w:p>
      <w:pPr>
        <w:spacing w:after="0" w:line="19" w:lineRule="exact"/>
        <w:rPr>
          <w:rFonts w:ascii="Arial" w:cs="Arial" w:eastAsia="Arial" w:hAnsi="Arial"/>
          <w:sz w:val="20"/>
          <w:szCs w:val="20"/>
          <w:i w:val="1"/>
          <w:iCs w:val="1"/>
          <w:color w:val="auto"/>
        </w:rPr>
      </w:pPr>
    </w:p>
    <w:p>
      <w:pPr>
        <w:ind w:left="660" w:right="40"/>
        <w:spacing w:after="0" w:line="247" w:lineRule="auto"/>
        <w:rPr>
          <w:rFonts w:ascii="Arial" w:cs="Arial" w:eastAsia="Arial" w:hAnsi="Arial"/>
          <w:sz w:val="20"/>
          <w:szCs w:val="20"/>
          <w:i w:val="1"/>
          <w:iCs w:val="1"/>
          <w:color w:val="auto"/>
        </w:rPr>
      </w:pPr>
      <w:r>
        <w:rPr>
          <w:rFonts w:ascii="Arial" w:cs="Arial" w:eastAsia="Arial" w:hAnsi="Arial"/>
          <w:sz w:val="20"/>
          <w:szCs w:val="20"/>
          <w:i w:val="1"/>
          <w:iCs w:val="1"/>
          <w:color w:val="auto"/>
        </w:rPr>
        <w:t>48.1 Percent on a Reported Basis; Third-Quarter Global IMBRUVICA Net Revenues Were $972 Million, an Increase of 41.3 Percent; Third-Quarter Global VENCLEXTA Net Revenues Were $96 Million</w:t>
      </w:r>
    </w:p>
    <w:p>
      <w:pPr>
        <w:spacing w:after="0" w:line="195" w:lineRule="exact"/>
        <w:rPr>
          <w:rFonts w:ascii="Arial" w:cs="Arial" w:eastAsia="Arial" w:hAnsi="Arial"/>
          <w:sz w:val="20"/>
          <w:szCs w:val="20"/>
          <w:i w:val="1"/>
          <w:iCs w:val="1"/>
          <w:color w:val="auto"/>
        </w:rPr>
      </w:pPr>
    </w:p>
    <w:p>
      <w:pPr>
        <w:ind w:left="660" w:hanging="328"/>
        <w:spacing w:after="0"/>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Third-Quarter Global HCV Net Revenues Were $862 Million</w:t>
      </w:r>
    </w:p>
    <w:p>
      <w:pPr>
        <w:spacing w:after="0" w:line="229" w:lineRule="exact"/>
        <w:rPr>
          <w:rFonts w:ascii="Arial" w:cs="Arial" w:eastAsia="Arial" w:hAnsi="Arial"/>
          <w:sz w:val="20"/>
          <w:szCs w:val="20"/>
          <w:i w:val="1"/>
          <w:iCs w:val="1"/>
          <w:color w:val="auto"/>
        </w:rPr>
      </w:pPr>
    </w:p>
    <w:p>
      <w:pPr>
        <w:ind w:left="660" w:right="20" w:hanging="328"/>
        <w:spacing w:after="0" w:line="267" w:lineRule="auto"/>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Updates 2018 GAAP Diluted EPS Guidance Range to $6.43 to $6.45; Raises 2018 Adjusted Diluted EPS Guidance Range to $7.90 to $7.92, Representing Growth of 41.3 Percent at Midpoint</w:t>
      </w:r>
    </w:p>
    <w:p>
      <w:pPr>
        <w:spacing w:after="0" w:line="177" w:lineRule="exact"/>
        <w:rPr>
          <w:rFonts w:ascii="Arial" w:cs="Arial" w:eastAsia="Arial" w:hAnsi="Arial"/>
          <w:sz w:val="20"/>
          <w:szCs w:val="20"/>
          <w:i w:val="1"/>
          <w:iCs w:val="1"/>
          <w:color w:val="auto"/>
        </w:rPr>
      </w:pPr>
    </w:p>
    <w:p>
      <w:pPr>
        <w:ind w:left="660" w:hanging="328"/>
        <w:spacing w:after="0"/>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Announces 2019 Dividend Increase of 11.5 Percent, Beginning with Dividend Payable in February 2019</w:t>
      </w:r>
    </w:p>
    <w:p>
      <w:pPr>
        <w:spacing w:after="0" w:line="225" w:lineRule="exact"/>
        <w:rPr>
          <w:sz w:val="20"/>
          <w:szCs w:val="20"/>
          <w:color w:val="auto"/>
        </w:rPr>
      </w:pPr>
    </w:p>
    <w:p>
      <w:pPr>
        <w:ind w:right="680"/>
        <w:spacing w:after="0" w:line="272" w:lineRule="auto"/>
        <w:rPr>
          <w:sz w:val="20"/>
          <w:szCs w:val="20"/>
          <w:color w:val="auto"/>
        </w:rPr>
      </w:pPr>
      <w:r>
        <w:rPr>
          <w:rFonts w:ascii="Arial" w:cs="Arial" w:eastAsia="Arial" w:hAnsi="Arial"/>
          <w:sz w:val="20"/>
          <w:szCs w:val="20"/>
          <w:b w:val="1"/>
          <w:bCs w:val="1"/>
          <w:color w:val="auto"/>
        </w:rPr>
        <w:t xml:space="preserve">NORTH CHICAGO, Ill., </w:t>
      </w:r>
      <w:r>
        <w:rPr>
          <w:rFonts w:ascii="Arial" w:cs="Arial" w:eastAsia="Arial" w:hAnsi="Arial"/>
          <w:sz w:val="20"/>
          <w:szCs w:val="20"/>
          <w:color w:val="auto"/>
        </w:rPr>
        <w:t>November 2, 2018 – AbbVie (NYSE:ABBV) announced financial results for the third quarter ended</w:t>
      </w:r>
      <w:r>
        <w:rPr>
          <w:rFonts w:ascii="Arial" w:cs="Arial" w:eastAsia="Arial" w:hAnsi="Arial"/>
          <w:sz w:val="20"/>
          <w:szCs w:val="20"/>
          <w:b w:val="1"/>
          <w:bCs w:val="1"/>
          <w:color w:val="auto"/>
        </w:rPr>
        <w:t xml:space="preserve"> </w:t>
      </w:r>
      <w:r>
        <w:rPr>
          <w:rFonts w:ascii="Arial" w:cs="Arial" w:eastAsia="Arial" w:hAnsi="Arial"/>
          <w:sz w:val="20"/>
          <w:szCs w:val="20"/>
          <w:color w:val="auto"/>
        </w:rPr>
        <w:t>September 30, 2018.</w:t>
      </w:r>
    </w:p>
    <w:p>
      <w:pPr>
        <w:spacing w:after="0" w:line="191" w:lineRule="exact"/>
        <w:rPr>
          <w:sz w:val="20"/>
          <w:szCs w:val="20"/>
          <w:color w:val="auto"/>
        </w:rPr>
      </w:pPr>
    </w:p>
    <w:p>
      <w:pPr>
        <w:ind w:right="260"/>
        <w:spacing w:after="0" w:line="257" w:lineRule="auto"/>
        <w:rPr>
          <w:sz w:val="20"/>
          <w:szCs w:val="20"/>
          <w:color w:val="auto"/>
        </w:rPr>
      </w:pPr>
      <w:r>
        <w:rPr>
          <w:rFonts w:ascii="Arial" w:cs="Arial" w:eastAsia="Arial" w:hAnsi="Arial"/>
          <w:sz w:val="19"/>
          <w:szCs w:val="19"/>
          <w:color w:val="auto"/>
        </w:rPr>
        <w:t>“We delivered another exceptional quarter, with results well ahead of our expectations, including operational revenue growth above 18 percent and EPS growth greater than 50 percent. Based on our continued momentum across multiple products in our portfolio, we are raising our full year 2018 EPS guidance once again,” said Richard A. Gonzalez, chairman and chief executive officer, AbbVie. “We’re particularly pleased with our progress in building a leading hematologic oncology franchise, which is now delivering revenue in excess of $1 billion per quarter and is poised for continued strong growth next year and beyond.”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Third-Quarter Results</w:t>
      </w:r>
    </w:p>
    <w:p>
      <w:pPr>
        <w:spacing w:after="0" w:line="240" w:lineRule="exact"/>
        <w:rPr>
          <w:sz w:val="20"/>
          <w:szCs w:val="20"/>
          <w:color w:val="auto"/>
        </w:rPr>
      </w:pPr>
    </w:p>
    <w:p>
      <w:pPr>
        <w:ind w:left="660" w:right="100" w:hanging="328"/>
        <w:spacing w:after="0" w:line="25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Worldwide GAAP net revenues were $8.236 billion in the third quarter, up 17.8 percent year-over-year. Worldwide adjusted net revenues of $8.236 billion increased 18.5 percent on an operational basis, excluding a 0.7 percent unfavorable impact from foreign exchange.</w:t>
      </w:r>
    </w:p>
    <w:p>
      <w:pPr>
        <w:spacing w:after="0" w:line="199" w:lineRule="exact"/>
        <w:rPr>
          <w:rFonts w:ascii="Arial" w:cs="Arial" w:eastAsia="Arial" w:hAnsi="Arial"/>
          <w:sz w:val="20"/>
          <w:szCs w:val="20"/>
          <w:color w:val="auto"/>
        </w:rPr>
      </w:pPr>
    </w:p>
    <w:p>
      <w:pPr>
        <w:ind w:left="660" w:right="500" w:hanging="328"/>
        <w:spacing w:after="0" w:line="25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Global HUMIRA sales increased 9.0 percent on a reported basis, or 9.8 percent operationally, excluding a 0.8 percent unfavorable impact from foreign exchange. In the U.S., HUMIRA sales grew 12.5 percent in the quarter. Internationally, HUMIRA sales grew 4.2 percent, excluding a 2.4 percent unfavorable impact from foreign exchange.</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Third-Quarter Results (continued)</w:t>
      </w:r>
    </w:p>
    <w:p>
      <w:pPr>
        <w:spacing w:after="0" w:line="240" w:lineRule="exact"/>
        <w:rPr>
          <w:sz w:val="20"/>
          <w:szCs w:val="20"/>
          <w:color w:val="auto"/>
        </w:rPr>
      </w:pPr>
    </w:p>
    <w:p>
      <w:pPr>
        <w:ind w:left="660" w:right="420" w:hanging="328"/>
        <w:spacing w:after="0" w:line="260"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Third-quarter global IMBRUVICA net revenues were $972 million, with U.S. sales of $812 million and international profit sharing of $160 million for the quarter, reflecting growth of 41.3 percent.</w:t>
      </w:r>
    </w:p>
    <w:p>
      <w:pPr>
        <w:spacing w:after="0" w:line="190"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Third-quarter global HCV net revenues were $862 million.</w:t>
      </w:r>
    </w:p>
    <w:p>
      <w:pPr>
        <w:spacing w:after="0" w:line="229" w:lineRule="exact"/>
        <w:rPr>
          <w:rFonts w:ascii="Arial" w:cs="Arial" w:eastAsia="Arial" w:hAnsi="Arial"/>
          <w:sz w:val="20"/>
          <w:szCs w:val="20"/>
          <w:color w:val="auto"/>
        </w:rPr>
      </w:pPr>
    </w:p>
    <w:p>
      <w:pPr>
        <w:ind w:left="660" w:right="240" w:hanging="328"/>
        <w:spacing w:after="0" w:line="260"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a GAAP basis, the gross margin ratio in the third quarter was 77.7 percent. The adjusted gross margin ratio was 81.7 percent.</w:t>
      </w:r>
    </w:p>
    <w:p>
      <w:pPr>
        <w:spacing w:after="0" w:line="203" w:lineRule="exact"/>
        <w:rPr>
          <w:rFonts w:ascii="Arial" w:cs="Arial" w:eastAsia="Arial" w:hAnsi="Arial"/>
          <w:sz w:val="20"/>
          <w:szCs w:val="20"/>
          <w:color w:val="auto"/>
        </w:rPr>
      </w:pPr>
    </w:p>
    <w:p>
      <w:pPr>
        <w:ind w:left="660" w:right="460" w:hanging="328"/>
        <w:spacing w:after="0" w:line="247"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a GAAP basis, selling, general and administrative expense was 23.3 percent of net revenues. The adjusted SG&amp;A expense was 19.1 percent of net revenues.</w:t>
      </w:r>
    </w:p>
    <w:p>
      <w:pPr>
        <w:spacing w:after="0" w:line="215" w:lineRule="exact"/>
        <w:rPr>
          <w:rFonts w:ascii="Arial" w:cs="Arial" w:eastAsia="Arial" w:hAnsi="Arial"/>
          <w:sz w:val="20"/>
          <w:szCs w:val="20"/>
          <w:color w:val="auto"/>
        </w:rPr>
      </w:pPr>
    </w:p>
    <w:p>
      <w:pPr>
        <w:ind w:left="660" w:right="40" w:hanging="328"/>
        <w:spacing w:after="0" w:line="247"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a GAAP basis, research and development expense was 15.4 percent of net revenues. The adjusted R&amp;D expense was 15.4 percent, reflecting funding actions supporting all stages of our pipeline.</w:t>
      </w:r>
    </w:p>
    <w:p>
      <w:pPr>
        <w:spacing w:after="0" w:line="202" w:lineRule="exact"/>
        <w:rPr>
          <w:rFonts w:ascii="Arial" w:cs="Arial" w:eastAsia="Arial" w:hAnsi="Arial"/>
          <w:sz w:val="20"/>
          <w:szCs w:val="20"/>
          <w:color w:val="auto"/>
        </w:rPr>
      </w:pPr>
    </w:p>
    <w:p>
      <w:pPr>
        <w:ind w:left="660" w:right="440" w:hanging="328"/>
        <w:spacing w:after="0" w:line="260"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a GAAP basis, the operating margin in the third quarter was 38.4 percent. The adjusted operating margin was 47.2 percent.</w:t>
      </w:r>
    </w:p>
    <w:p>
      <w:pPr>
        <w:spacing w:after="0" w:line="190" w:lineRule="exact"/>
        <w:rPr>
          <w:rFonts w:ascii="Arial" w:cs="Arial" w:eastAsia="Arial" w:hAnsi="Arial"/>
          <w:sz w:val="20"/>
          <w:szCs w:val="20"/>
          <w:color w:val="auto"/>
        </w:rPr>
      </w:pPr>
    </w:p>
    <w:p>
      <w:pPr>
        <w:ind w:left="660" w:right="60" w:hanging="328"/>
        <w:spacing w:after="0" w:line="260"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a GAAP basis, net interest expense was $302 million. On a GAAP basis, the tax rate in the quarter was 0.5 percent. The adjusted tax rate was 9.1 percent.</w:t>
      </w:r>
    </w:p>
    <w:p>
      <w:pPr>
        <w:spacing w:after="0" w:line="190"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Diluted EPS in the third quarter was $1.81 on a GAAP basis. Adjusted diluted EPS, excluding specified items, was $2.14, up 51.8 percent.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Events</w:t>
      </w:r>
    </w:p>
    <w:p>
      <w:pPr>
        <w:spacing w:after="0" w:line="253" w:lineRule="exact"/>
        <w:rPr>
          <w:sz w:val="20"/>
          <w:szCs w:val="20"/>
          <w:color w:val="auto"/>
        </w:rPr>
      </w:pPr>
    </w:p>
    <w:p>
      <w:pPr>
        <w:ind w:left="660" w:right="20" w:hanging="328"/>
        <w:spacing w:after="0" w:line="255" w:lineRule="auto"/>
        <w:tabs>
          <w:tab w:leader="none" w:pos="660" w:val="left"/>
        </w:tabs>
        <w:numPr>
          <w:ilvl w:val="0"/>
          <w:numId w:val="5"/>
        </w:numPr>
        <w:rPr>
          <w:rFonts w:ascii="Arial" w:cs="Arial" w:eastAsia="Arial" w:hAnsi="Arial"/>
          <w:sz w:val="19"/>
          <w:szCs w:val="19"/>
          <w:color w:val="auto"/>
        </w:rPr>
      </w:pPr>
      <w:r>
        <w:rPr>
          <w:rFonts w:ascii="Arial" w:cs="Arial" w:eastAsia="Arial" w:hAnsi="Arial"/>
          <w:sz w:val="19"/>
          <w:szCs w:val="19"/>
          <w:color w:val="auto"/>
        </w:rPr>
        <w:t>AbbVie announced U.S. Food and Drug Administration (FDA) approval, under Priority Review, of IMBRUVICA (ibrutinib) plus rituximab for the treatment of adult patients with Waldenström's macroglobulinemia (WM), a rare and incurable type of non-Hodgkin's lymphoma (NHL). With this approval, the IMBRUVICA prescribing information now includes combination use with rituximab, representing the first and only chemotherapy-free combination treatment specifically indicated for the disease. The approval is based on data from the Phase 3 iNNOVATE study, which demonstrated a significant improvement in progression-free survival (PFS) with IMBRUVICA plus rituximab compared to rituximab alone. Patients taking IMBRUVICA plus rituximab experienced an 80 percent reduction in relative risk of disease progression or death compared to those only treated with rituximab. IMBRUVICA is jointly developed and commercialized with Janssen Biotech, Inc.</w:t>
      </w:r>
    </w:p>
    <w:p>
      <w:pPr>
        <w:spacing w:after="0" w:line="209" w:lineRule="exact"/>
        <w:rPr>
          <w:rFonts w:ascii="Arial" w:cs="Arial" w:eastAsia="Arial" w:hAnsi="Arial"/>
          <w:sz w:val="19"/>
          <w:szCs w:val="19"/>
          <w:color w:val="auto"/>
        </w:rPr>
      </w:pPr>
    </w:p>
    <w:p>
      <w:pPr>
        <w:ind w:left="660" w:right="40" w:hanging="328"/>
        <w:spacing w:after="0" w:line="241"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AbbVie announced FDA acceptance of a supplemental New Drug Application (sNDA) for Priority Review for IMBRUVICA in combination with obinutuzumab in previously untreated adult patients with chronic lymphocytic leukemia or small lymphocytic lymphoma (CLL/SLL). The submission is based on positive results from the Phase 3 iLLUMINATE (PCYC-1130) trial, which demonstrated superior progression-free survival for IMBRUVICA plus obinutuzumab versus chlorambucil plus obinutuzumab in CLL/SLL. If approved, the use of IMBRUVICA with obinutuzumab would become the first chemotherapy-free, anti-CD20 combination approved by the FDA for the first-line treatment of CLL/SLL.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71"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Recent Events (continued)</w:t>
      </w:r>
    </w:p>
    <w:p>
      <w:pPr>
        <w:spacing w:after="0" w:line="253" w:lineRule="exact"/>
        <w:rPr>
          <w:sz w:val="20"/>
          <w:szCs w:val="20"/>
          <w:color w:val="auto"/>
        </w:rPr>
      </w:pPr>
    </w:p>
    <w:p>
      <w:pPr>
        <w:ind w:left="660" w:right="120" w:hanging="328"/>
        <w:spacing w:after="0" w:line="255" w:lineRule="auto"/>
        <w:tabs>
          <w:tab w:leader="none" w:pos="660" w:val="left"/>
        </w:tabs>
        <w:numPr>
          <w:ilvl w:val="0"/>
          <w:numId w:val="6"/>
        </w:numPr>
        <w:rPr>
          <w:rFonts w:ascii="Arial" w:cs="Arial" w:eastAsia="Arial" w:hAnsi="Arial"/>
          <w:sz w:val="19"/>
          <w:szCs w:val="19"/>
          <w:color w:val="auto"/>
        </w:rPr>
      </w:pPr>
      <w:r>
        <w:rPr>
          <w:rFonts w:ascii="Arial" w:cs="Arial" w:eastAsia="Arial" w:hAnsi="Arial"/>
          <w:sz w:val="19"/>
          <w:szCs w:val="19"/>
          <w:color w:val="auto"/>
        </w:rPr>
        <w:t>AbbVie announced the FDA expanded the label for VENCLEXTA (venetoclax) in combination with rituximab to include information about patients with previously-treated CLL who achieved minimal residual disease (MRD)-negativity in the Phase 3 MURANO trial. In the MURANO study, more than half (53 percent) of patients treated with the VENCLEXTA and rituximab combination achieved MRD-negativity (undetectable disease) in their blood after approximately nine months on therapy, while 12 percent of patients treated with the standard chemoimmunotherapy regimen of bendamustine plus rituximab achieved MRD-negativity. VENCLEXTA is being developed by AbbVie and Roche; it is jointly commercialized by AbbVie and Genentech, a member of the Roche Group, in the U.S. and by AbbVie outside of the U.S.</w:t>
      </w:r>
    </w:p>
    <w:p>
      <w:pPr>
        <w:spacing w:after="0" w:line="211" w:lineRule="exact"/>
        <w:rPr>
          <w:rFonts w:ascii="Arial" w:cs="Arial" w:eastAsia="Arial" w:hAnsi="Arial"/>
          <w:sz w:val="19"/>
          <w:szCs w:val="19"/>
          <w:color w:val="auto"/>
        </w:rPr>
      </w:pPr>
    </w:p>
    <w:p>
      <w:pPr>
        <w:ind w:left="660" w:right="34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AbbVie announced that the European Commission (EC) has approved the type-II variation application for VENCLYXTO (venetoclax) in combination with rituximab for the treatment of patients with relapsed/refractory (R/R) CLL who have received at least one prior therapy. This approval allows more patients to receive VENCLYXTO in combination with rituximab in the second-line setting and gives healthcare providers the ability to prescribe this medicine to a broader population of patients with R/R CLL than the previously approved indication for VENCLYXTO as monotherapy in the European Union. The approval is based on results from the Phase 3 MURANO trial, which demonstrated a statistically significant improvement in investigator-assessed progression-free survival for patients who received VENCLYXTO plus rituximab compared with bendamustine plus rituximab.</w:t>
      </w:r>
    </w:p>
    <w:p>
      <w:pPr>
        <w:spacing w:after="0" w:line="226" w:lineRule="exact"/>
        <w:rPr>
          <w:rFonts w:ascii="Arial" w:cs="Arial" w:eastAsia="Arial" w:hAnsi="Arial"/>
          <w:sz w:val="20"/>
          <w:szCs w:val="20"/>
          <w:color w:val="auto"/>
        </w:rPr>
      </w:pPr>
    </w:p>
    <w:p>
      <w:pPr>
        <w:ind w:left="660" w:right="20" w:hanging="328"/>
        <w:spacing w:after="0" w:line="241"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FDA accepted for Priority Review a supplemental NDA for VENCLEXTA in combination with a hypomethylating agent (HMA) or in combination with low dose cytarabine (LDAC) for the treatment of newly diagnosed patients with acute myeloid leukemia (AML) who are ineligible for intensive chemotherapy. VENCLEXTA has received two Breakthrough Therapy Designations from the FDA for combination treatments of patients with untreated AML not eligible for standard induction chemotherapy.</w:t>
      </w:r>
    </w:p>
    <w:p>
      <w:pPr>
        <w:spacing w:after="0" w:line="222" w:lineRule="exact"/>
        <w:rPr>
          <w:rFonts w:ascii="Arial" w:cs="Arial" w:eastAsia="Arial" w:hAnsi="Arial"/>
          <w:sz w:val="20"/>
          <w:szCs w:val="20"/>
          <w:color w:val="auto"/>
        </w:rPr>
      </w:pPr>
    </w:p>
    <w:p>
      <w:pPr>
        <w:ind w:left="660" w:right="40" w:hanging="328"/>
        <w:spacing w:after="0" w:line="242"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AbbVie announced positive results from CLL14, a Phase 3, randomized clinical trial evaluating VENCLEXTA plus obinutuzumab versus obinutuzumab plus chlorambucil in patients with CLL and coexisting medical conditions who have not received a prior treatment. The study met its primary endpoint of investigator-assessed progression-free survival with a 12 months fixed duration of treatment. Results from the CLL14 trial will be presented at a future medical meeting.</w:t>
      </w:r>
    </w:p>
    <w:p>
      <w:pPr>
        <w:spacing w:after="0" w:line="220" w:lineRule="exact"/>
        <w:rPr>
          <w:rFonts w:ascii="Arial" w:cs="Arial" w:eastAsia="Arial" w:hAnsi="Arial"/>
          <w:sz w:val="20"/>
          <w:szCs w:val="20"/>
          <w:color w:val="auto"/>
        </w:rPr>
      </w:pPr>
    </w:p>
    <w:p>
      <w:pPr>
        <w:ind w:left="660" w:right="500" w:hanging="328"/>
        <w:spacing w:after="0" w:line="241"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At the European Academy of Dermatology and Venereology (EADV) Congress, AbbVie presented new data from its investigational medicines, risankizumab and upadacitinib, and HUMIRA across multiple dermatological conditions. Presentations included clinical and patient-reported outcomes data from three pivotal Phase 3 trials evaluating risankizumab in psoriasis, 32-week safety and efficacy data and patient-reported outcomes data from a Phase 2b trial evaluating upadacitinib in atopic dermatitis and long-term safety and efficacy data evaluating HUMIRA in hidradenitis suppurativa. Risankizumab is being developed in collaboration with Boehringer Ingelheim.</w:t>
      </w:r>
    </w:p>
    <w:p>
      <w:pPr>
        <w:spacing w:after="0" w:line="221" w:lineRule="exact"/>
        <w:rPr>
          <w:rFonts w:ascii="Arial" w:cs="Arial" w:eastAsia="Arial" w:hAnsi="Arial"/>
          <w:sz w:val="20"/>
          <w:szCs w:val="20"/>
          <w:color w:val="auto"/>
        </w:rPr>
      </w:pPr>
    </w:p>
    <w:p>
      <w:pPr>
        <w:ind w:left="660" w:right="260" w:hanging="328"/>
        <w:spacing w:after="0" w:line="241"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At the American College of Rheumatology (ACR)/Association for Rheumatology Health Professionals (ARHP) Annual Meeting, AbbVie presented new data for upadacitinib, an investigational oral JAK1-selective inhibitor, and HUMIRA, with 35 abstracts presented across multiple rheumatic conditions, including rheumatoid arthritis, psoriatic arthritis, juvenile idiopathic arthritis and uveitis. Included in the presentations were data from three of the five pivotal studies from the SELECT Phase 3 program evaluating the safety and efficacy of upadacitinib in patients with moderate to severe rheumatoid arthritis.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71"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Recent Events (continued)</w:t>
      </w:r>
    </w:p>
    <w:p>
      <w:pPr>
        <w:spacing w:after="0" w:line="253" w:lineRule="exact"/>
        <w:rPr>
          <w:sz w:val="20"/>
          <w:szCs w:val="20"/>
          <w:color w:val="auto"/>
        </w:rPr>
      </w:pPr>
    </w:p>
    <w:p>
      <w:pPr>
        <w:ind w:left="660" w:hanging="328"/>
        <w:spacing w:after="0" w:line="241"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At the United European Gastroenterology Week (UEGW) conference, AbbVie showcased its gastroenterology portfolio with 11 presentations of Humira and pipeline data, including the first presentation of data from a Phase 2b study (U-ACHIEVE) evaluating upadacitinib in adult patients with moderately to severely active ulcerative colitis. Results from the U-ACHIEVE study demonstrated that after 8 weeks, upadacitinib (15/30/45 mg, once daily) met the primary endpoint of clinical remission (per adapted Mayo Score) and ranked secondary endpoints, including endoscopic improvement, clinical remission (per Full Mayo Score) and clinical response, in patients with moderately to severely active ulcerative colitis.</w:t>
      </w:r>
    </w:p>
    <w:p>
      <w:pPr>
        <w:spacing w:after="0" w:line="221" w:lineRule="exact"/>
        <w:rPr>
          <w:rFonts w:ascii="Arial" w:cs="Arial" w:eastAsia="Arial" w:hAnsi="Arial"/>
          <w:sz w:val="20"/>
          <w:szCs w:val="20"/>
          <w:color w:val="auto"/>
        </w:rPr>
      </w:pPr>
    </w:p>
    <w:p>
      <w:pPr>
        <w:ind w:left="660" w:right="360" w:hanging="328"/>
        <w:spacing w:after="0" w:line="243"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AbbVie received FDA approval of Humira for the treatment of non-infectious intermediate, posterior, and panuveitis in patients down to 2 years of age and for the treatment of hidradenitis suppurativa in adolescent patients 12 years of age and older.</w:t>
      </w:r>
    </w:p>
    <w:p>
      <w:pPr>
        <w:spacing w:after="0" w:line="219" w:lineRule="exact"/>
        <w:rPr>
          <w:rFonts w:ascii="Arial" w:cs="Arial" w:eastAsia="Arial" w:hAnsi="Arial"/>
          <w:sz w:val="20"/>
          <w:szCs w:val="20"/>
          <w:color w:val="auto"/>
        </w:rPr>
      </w:pPr>
    </w:p>
    <w:p>
      <w:pPr>
        <w:ind w:left="660" w:right="320" w:hanging="328"/>
        <w:spacing w:after="0" w:line="242"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AbbVie, in cooperation with Neurocrine Biosciences, announced the FDA and Health Canada approvals of ORILISSA (elagolix) for the management of moderate to severe pain associated with endometriosis. ORILISSA represents the first FDA-approved oral treatment for the management of moderate to severe pain associated with endometriosis in over a decade.</w:t>
      </w:r>
    </w:p>
    <w:p>
      <w:pPr>
        <w:spacing w:after="0" w:line="220" w:lineRule="exact"/>
        <w:rPr>
          <w:rFonts w:ascii="Arial" w:cs="Arial" w:eastAsia="Arial" w:hAnsi="Arial"/>
          <w:sz w:val="20"/>
          <w:szCs w:val="20"/>
          <w:color w:val="auto"/>
        </w:rPr>
      </w:pPr>
    </w:p>
    <w:p>
      <w:pPr>
        <w:ind w:left="660" w:right="180" w:hanging="328"/>
        <w:spacing w:after="0" w:line="254" w:lineRule="auto"/>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AbbVie, in cooperation with Neurocrine Biosciences, announced top-line results from the Phase 3 ELARIS UF-EXTEND extension study, which is evaluating the efficacy and safety of elagolix alone and in combination with low-dose hormone (add-back) therapy in premenopausal women with heavy menstrual bleeding associated with uterine fibroids for an additional six months (up to 12 months total) following treatment in one of the two pivotal Phase 3 studies, ELARIS UF-I and ELARIS UF-II. The extension study results showed elagolix, in combination with add-back therapy, reduced heavy menstrual bleeding for up to 12 months, with 87.9 percent of women with uterine fibroids achieving clinical response. The primary and secondary endpoint results from the extension study were consistent with that observed in the two pivotal Phase 3 studies. Data from the pivotal Phase 3 studies will be presented at a medical conference later this year and the ELARIS UF-EXTEND Phase 3 study data will be presented at a future medical conference. Data from the Phase 3 program will support regulatory submission for elagolix in uterine fibroids, anticipated in 2019.</w:t>
      </w:r>
    </w:p>
    <w:p>
      <w:pPr>
        <w:spacing w:after="0" w:line="213" w:lineRule="exact"/>
        <w:rPr>
          <w:rFonts w:ascii="Arial" w:cs="Arial" w:eastAsia="Arial" w:hAnsi="Arial"/>
          <w:sz w:val="19"/>
          <w:szCs w:val="19"/>
          <w:color w:val="auto"/>
        </w:rPr>
      </w:pPr>
    </w:p>
    <w:p>
      <w:pPr>
        <w:ind w:left="660" w:right="200" w:hanging="328"/>
        <w:spacing w:after="0" w:line="257" w:lineRule="auto"/>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AbbVie announced that it will assume full development and commercial responsibility for its collaboration with Galapagos to discover and develop new therapies to treat cystic fibrosis (CF). Under a revised agreement, AbbVie will assume full development and commercial responsibility over the investigational program comprising several clinical and pre-clinical compounds originally discovered and developed jointly by AbbVie and Galapagos. Galapagos will not pursue further research and development in CF, but is eligible for future milestones and royalties on commercialized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13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571"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Recent Events (continued)</w:t>
      </w:r>
    </w:p>
    <w:p>
      <w:pPr>
        <w:spacing w:after="0" w:line="253" w:lineRule="exact"/>
        <w:rPr>
          <w:sz w:val="20"/>
          <w:szCs w:val="20"/>
          <w:color w:val="auto"/>
        </w:rPr>
      </w:pPr>
    </w:p>
    <w:p>
      <w:pPr>
        <w:ind w:left="660" w:right="8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AbbVie announced global resolutions of all intellectual property-related litigation with two manufacturers, Sandoz and Fresenius Kabi, over their proposed biosimilar adalimumab products. Under the terms of the settlement agreements, AbbVie will grant to Sandoz and Fresenius Kabi non-exclusive licenses to AbbVie's intellectual property relating to HUMIRA beginning on certain dates in certain countries in which AbbVie has intellectual property. The license period will begin on September 30, 2023 in the U.S. for both Sandoz and Fresenius Kabi, and will not be accelerated by the entry of companies who have already taken a license. The license for Sandoz began on October 16, 2018 in most countries in the European Union, and will begin on other dates in various countries in which AbbVie has intellectual property. In the European Union, Fresenius Kabi can launch upon approval from the European Medicines Agency. Sandoz and Fresenius Kabi will pay royalties to AbbVie for licensing its HUMIRA patents and both manufacturers acknowledge the validity of the licensed patents. AbbVie will make no payments to Sandoz or Fresenius Kabi. The precise terms are confidential between the parties. All litigation pending between the parties will be dismissed. On September 28, 2017, AbbVie announced a global resolution with Amgen to enter the U.S. on January 31, 2023, and on April 5, 2018, AbbVie announced a similar resolution with Samsung Bioepis to enter the U.S. on June 30, 2023. On July 17, 2018, AbbVie announced resolution with Mylan to enter the U.S. on July 31, 2023.</w:t>
      </w:r>
    </w:p>
    <w:p>
      <w:pPr>
        <w:spacing w:after="0" w:line="224" w:lineRule="exact"/>
        <w:rPr>
          <w:rFonts w:ascii="Arial" w:cs="Arial" w:eastAsia="Arial" w:hAnsi="Arial"/>
          <w:sz w:val="20"/>
          <w:szCs w:val="20"/>
          <w:color w:val="auto"/>
        </w:rPr>
      </w:pPr>
    </w:p>
    <w:p>
      <w:pPr>
        <w:jc w:val="both"/>
        <w:ind w:left="660" w:hanging="328"/>
        <w:spacing w:after="0" w:line="242"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AbbVie made charitable contributions totaling $115 million in the third quarter. These donations are part of AbbVie’s plan to make an additional $350 million in charitable contributions to U.S. not-for-profit organizations in 2018. The contributions will provide AbbVie with the opportunity to support charities creating long-term impact in communities in need, including Puerto Rico, North Chicago and cities across America.</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Full-Year 2018 Outlook</w:t>
      </w:r>
    </w:p>
    <w:p>
      <w:pPr>
        <w:spacing w:after="0" w:line="253"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AbbVie is updating its GAAP diluted EPS guidance for the full-year 2018 to $6.43 to $6.45. AbbVie is raising its adjusted EPS guidance range for the full-year 2018 from $7.76 to $7.86 to $ 7.90 to $7.92. The midpoint of this guidance reflects year-over-year growth of 41.3 percent. The company’s 2018 adjusted diluted EPS guidance excludes $1.47 per share of intangible asset amortization expense, changes in the fair value of contingent consideration, a one-time net tax benefit related to the timing of the phase in of provisions of the U.S. tax reform legislation on certain subsidiaries, and other specified items.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Declares Dividend Increase of 11.5 Percent</w:t>
      </w:r>
    </w:p>
    <w:p>
      <w:pPr>
        <w:spacing w:after="0" w:line="253"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AbbVie is announcing today that its board of directors declared an increase in the company’s quarterly cash dividend from $0.96 per share to $1.07 per share beginning with the dividend payable on February 15, 2019 to shareholders of record as of January 15, 2019. This reflects an increase of approximately 11.5 percent, continuing AbbVie’s strong commitment to returning cash to shareholders through a growing dividend. Since the company's inception in 2013, AbbVie has increased its quarterly dividend by 168 percent. AbbVie is a member of the S&amp;P Dividend Aristocrats Index, which tracks companies that have annually increased their dividend for at least 25 consecutive years.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AbbVie</w:t>
      </w:r>
    </w:p>
    <w:p>
      <w:pPr>
        <w:spacing w:after="0" w:line="253"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 xml:space="preserve">AbbVie is a global, research-driven biopharmaceutical company committed to developing innovative advanced therapies for some of the world’s most complex and critical conditions. The company’s mission is to use its expertise, dedicated people and unique approach to innovation to markedly improve treatments across four primary therapeutic areas: immunology, oncology, virology and neuroscience. In more than 75 countries, AbbVie employees are working every day to advance health solutions for people around the world. For more information about AbbVie, please visit us at </w:t>
      </w:r>
      <w:r>
        <w:rPr>
          <w:rFonts w:ascii="Arial" w:cs="Arial" w:eastAsia="Arial" w:hAnsi="Arial"/>
          <w:sz w:val="20"/>
          <w:szCs w:val="20"/>
          <w:u w:val="single" w:color="auto"/>
          <w:color w:val="0000FF"/>
        </w:rPr>
        <w:t>www.abbvie.com</w:t>
      </w:r>
      <w:r>
        <w:rPr>
          <w:rFonts w:ascii="Arial" w:cs="Arial" w:eastAsia="Arial" w:hAnsi="Arial"/>
          <w:sz w:val="20"/>
          <w:szCs w:val="20"/>
          <w:color w:val="auto"/>
        </w:rPr>
        <w:t xml:space="preserve">. Follow </w:t>
      </w:r>
      <w:r>
        <w:rPr>
          <w:rFonts w:ascii="Arial" w:cs="Arial" w:eastAsia="Arial" w:hAnsi="Arial"/>
          <w:sz w:val="20"/>
          <w:szCs w:val="20"/>
          <w:u w:val="single" w:color="auto"/>
          <w:color w:val="0000FF"/>
        </w:rPr>
        <w:t>@abbvie</w:t>
      </w:r>
      <w:r>
        <w:rPr>
          <w:rFonts w:ascii="Arial" w:cs="Arial" w:eastAsia="Arial" w:hAnsi="Arial"/>
          <w:sz w:val="20"/>
          <w:szCs w:val="20"/>
          <w:color w:val="auto"/>
        </w:rPr>
        <w:t xml:space="preserve"> on Twitter, </w:t>
      </w:r>
      <w:r>
        <w:rPr>
          <w:rFonts w:ascii="Arial" w:cs="Arial" w:eastAsia="Arial" w:hAnsi="Arial"/>
          <w:sz w:val="20"/>
          <w:szCs w:val="20"/>
          <w:u w:val="single" w:color="auto"/>
          <w:color w:val="0000FF"/>
        </w:rPr>
        <w:t>Facebook</w:t>
      </w:r>
      <w:r>
        <w:rPr>
          <w:rFonts w:ascii="Arial" w:cs="Arial" w:eastAsia="Arial" w:hAnsi="Arial"/>
          <w:sz w:val="20"/>
          <w:szCs w:val="20"/>
          <w:color w:val="auto"/>
        </w:rPr>
        <w:t xml:space="preserve"> or </w:t>
      </w:r>
      <w:r>
        <w:rPr>
          <w:rFonts w:ascii="Arial" w:cs="Arial" w:eastAsia="Arial" w:hAnsi="Arial"/>
          <w:sz w:val="20"/>
          <w:szCs w:val="20"/>
          <w:u w:val="single" w:color="auto"/>
          <w:color w:val="0000FF"/>
        </w:rPr>
        <w:t>LinkedIn</w:t>
      </w:r>
      <w:r>
        <w:rPr>
          <w:rFonts w:ascii="Arial" w:cs="Arial" w:eastAsia="Arial" w:hAnsi="Arial"/>
          <w:sz w:val="20"/>
          <w:szCs w:val="20"/>
          <w:color w:val="000000"/>
        </w:rPr>
        <w:t>.</w:t>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71"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Conference Call</w:t>
      </w:r>
    </w:p>
    <w:p>
      <w:pPr>
        <w:spacing w:after="0" w:line="253" w:lineRule="exact"/>
        <w:rPr>
          <w:sz w:val="20"/>
          <w:szCs w:val="20"/>
          <w:color w:val="auto"/>
        </w:rPr>
      </w:pPr>
    </w:p>
    <w:p>
      <w:pPr>
        <w:jc w:val="both"/>
        <w:ind w:right="140"/>
        <w:spacing w:after="0" w:line="243" w:lineRule="auto"/>
        <w:rPr>
          <w:sz w:val="20"/>
          <w:szCs w:val="20"/>
          <w:color w:val="auto"/>
        </w:rPr>
      </w:pPr>
      <w:r>
        <w:rPr>
          <w:rFonts w:ascii="Arial" w:cs="Arial" w:eastAsia="Arial" w:hAnsi="Arial"/>
          <w:sz w:val="20"/>
          <w:szCs w:val="20"/>
          <w:color w:val="auto"/>
        </w:rPr>
        <w:t xml:space="preserve">AbbVie will host an investor conference call today at 8:00 a.m. Central time to discuss our third-quarter performance. The call will be webcast through AbbVie’s Investor Relations website at </w:t>
      </w:r>
      <w:r>
        <w:rPr>
          <w:rFonts w:ascii="Arial" w:cs="Arial" w:eastAsia="Arial" w:hAnsi="Arial"/>
          <w:sz w:val="20"/>
          <w:szCs w:val="20"/>
          <w:u w:val="single" w:color="auto"/>
          <w:color w:val="0000FF"/>
        </w:rPr>
        <w:t>investors.abbvie.com</w:t>
      </w:r>
      <w:r>
        <w:rPr>
          <w:rFonts w:ascii="Arial" w:cs="Arial" w:eastAsia="Arial" w:hAnsi="Arial"/>
          <w:sz w:val="20"/>
          <w:szCs w:val="20"/>
          <w:color w:val="auto"/>
        </w:rPr>
        <w:t>. An archived edition of the call will be available after 11:00 a.m. Central time.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Results</w:t>
      </w:r>
    </w:p>
    <w:p>
      <w:pPr>
        <w:spacing w:after="0" w:line="253" w:lineRule="exact"/>
        <w:rPr>
          <w:sz w:val="20"/>
          <w:szCs w:val="20"/>
          <w:color w:val="auto"/>
        </w:rPr>
      </w:pPr>
    </w:p>
    <w:p>
      <w:pPr>
        <w:ind w:right="180"/>
        <w:spacing w:after="0"/>
        <w:rPr>
          <w:sz w:val="20"/>
          <w:szCs w:val="20"/>
          <w:color w:val="auto"/>
        </w:rPr>
      </w:pPr>
      <w:r>
        <w:rPr>
          <w:rFonts w:ascii="Arial" w:cs="Arial" w:eastAsia="Arial" w:hAnsi="Arial"/>
          <w:sz w:val="20"/>
          <w:szCs w:val="20"/>
          <w:color w:val="auto"/>
        </w:rPr>
        <w:t>Financial results for 2018 and 2017 are presented on both a reported and a non-GAAP basis. Reported results were prepared in accordance with GAAP and include all revenue and expenses recognized during the period. Non-GAAP results adjust for certain non-cash items and for factors that are unusual or unpredictable, and exclude those costs, expenses, and other specified items presented in the reconciliation tables later in this release. AbbVie’s management believes non-GAAP financial measures provide useful information to investors regarding AbbVie’s results of operations and assist management, analysts, and investors in evaluating the performance of the business. Non-GAAP financial measures should be considered in addition to, and not as a substitute for, measures of financial performance prepared in accordance with GAAP. The company’s 2018 financial guidance is also being provided on both a reported and a non-GAAP basis.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Prior Period Reclassifications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Certain reclassifications were made to conform the prior period financial results to the current period presentation.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53" w:lineRule="exact"/>
        <w:rPr>
          <w:sz w:val="20"/>
          <w:szCs w:val="20"/>
          <w:color w:val="auto"/>
        </w:rPr>
      </w:pPr>
    </w:p>
    <w:p>
      <w:pPr>
        <w:ind w:right="60"/>
        <w:spacing w:after="0" w:line="254" w:lineRule="auto"/>
        <w:rPr>
          <w:sz w:val="20"/>
          <w:szCs w:val="20"/>
          <w:color w:val="auto"/>
        </w:rPr>
      </w:pPr>
      <w:r>
        <w:rPr>
          <w:rFonts w:ascii="Arial" w:cs="Arial" w:eastAsia="Arial" w:hAnsi="Arial"/>
          <w:sz w:val="19"/>
          <w:szCs w:val="19"/>
          <w:color w:val="auto"/>
        </w:rPr>
        <w:t>Some statements in this news release are, or may be considered, forward-looking statements for purposes of the Private Securities Litigation Reform Act of 1995. The words “believe,” “expect,” “anticipate,” “project” and similar expressions, among others, generally identify forward-looking statements. AbbVie cautions that these forward-looking statements are subject to risks and uncertainties that may cause actual results to differ materially from those indicated in the forward-looking statements. Such risks and uncertainties include, but are not limited to, challenges to intellectual property, competition from other products, difficulties inherent in the research and development process, adverse litigation or government action, and changes to laws and regulations applicable to our industry. Additional information about the economic, competitive, governmental, technological and other factors that may affect AbbVie’s operations is set forth in Item 1A, “Risk Factors,” of AbbVie’s 2017 Annual Report on Form 10-K, which has been filed with the Securities and Exchange Commission (SEC). AbbVie undertakes no obligation to release publicly any revisions to forward-looking statements as a result of subsequent events or developments, except as required by law.</w:t>
      </w:r>
    </w:p>
    <w:p>
      <w:pPr>
        <w:sectPr>
          <w:pgSz w:w="11900" w:h="16838" w:orient="portrait"/>
          <w:cols w:equalWidth="0" w:num="1">
            <w:col w:w="11420"/>
          </w:cols>
          <w:pgMar w:left="240" w:top="571" w:right="2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Media:</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20"/>
          <w:szCs w:val="20"/>
          <w:color w:val="auto"/>
        </w:rPr>
        <w:t>Adelle Infante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9"/>
          <w:szCs w:val="19"/>
          <w:color w:val="auto"/>
        </w:rPr>
        <w:t>(847) 938-8745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Liz Shea</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(847) 935-2211</w:t>
      </w:r>
    </w:p>
    <w:p>
      <w:pPr>
        <w:spacing w:after="0" w:line="200" w:lineRule="exact"/>
        <w:rPr>
          <w:sz w:val="20"/>
          <w:szCs w:val="20"/>
          <w:color w:val="auto"/>
        </w:rPr>
      </w:pPr>
    </w:p>
    <w:p>
      <w:pPr>
        <w:sectPr>
          <w:pgSz w:w="11900" w:h="16838" w:orient="portrait"/>
          <w:cols w:equalWidth="0" w:num="2">
            <w:col w:w="3540" w:space="720"/>
            <w:col w:w="7160"/>
          </w:cols>
          <w:pgMar w:left="240" w:top="571" w:right="239" w:bottom="1440" w:gutter="0" w:footer="0" w:header="0"/>
          <w:type w:val="continuous"/>
        </w:sectPr>
      </w:pPr>
    </w:p>
    <w:p>
      <w:pPr>
        <w:spacing w:after="0" w:line="122"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Todd Bosse</w:t>
      </w:r>
    </w:p>
    <w:p>
      <w:pPr>
        <w:spacing w:after="0" w:line="40" w:lineRule="exact"/>
        <w:rPr>
          <w:sz w:val="20"/>
          <w:szCs w:val="20"/>
          <w:color w:val="auto"/>
        </w:rPr>
      </w:pPr>
    </w:p>
    <w:p>
      <w:pPr>
        <w:ind w:left="4260"/>
        <w:spacing w:after="0"/>
        <w:rPr>
          <w:sz w:val="20"/>
          <w:szCs w:val="20"/>
          <w:color w:val="auto"/>
        </w:rPr>
      </w:pPr>
      <w:r>
        <w:rPr>
          <w:rFonts w:ascii="Arial" w:cs="Arial" w:eastAsia="Arial" w:hAnsi="Arial"/>
          <w:sz w:val="19"/>
          <w:szCs w:val="19"/>
          <w:color w:val="auto"/>
        </w:rPr>
        <w:t>(847) 936-1182</w:t>
      </w:r>
    </w:p>
    <w:p>
      <w:pPr>
        <w:spacing w:after="0" w:line="200" w:lineRule="exact"/>
        <w:rPr>
          <w:sz w:val="20"/>
          <w:szCs w:val="20"/>
          <w:color w:val="auto"/>
        </w:rPr>
      </w:pPr>
    </w:p>
    <w:p>
      <w:pPr>
        <w:spacing w:after="0" w:line="338"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Jeffrey Byrne</w:t>
      </w:r>
    </w:p>
    <w:p>
      <w:pPr>
        <w:spacing w:after="0" w:line="40" w:lineRule="exact"/>
        <w:rPr>
          <w:sz w:val="20"/>
          <w:szCs w:val="20"/>
          <w:color w:val="auto"/>
        </w:rPr>
      </w:pPr>
    </w:p>
    <w:p>
      <w:pPr>
        <w:ind w:left="4260"/>
        <w:spacing w:after="0"/>
        <w:rPr>
          <w:sz w:val="20"/>
          <w:szCs w:val="20"/>
          <w:color w:val="auto"/>
        </w:rPr>
      </w:pPr>
      <w:r>
        <w:rPr>
          <w:rFonts w:ascii="Arial" w:cs="Arial" w:eastAsia="Arial" w:hAnsi="Arial"/>
          <w:sz w:val="19"/>
          <w:szCs w:val="19"/>
          <w:color w:val="auto"/>
        </w:rPr>
        <w:t>(847) 938-2923</w:t>
      </w:r>
    </w:p>
    <w:p>
      <w:pPr>
        <w:sectPr>
          <w:pgSz w:w="11900" w:h="16838" w:orient="portrait"/>
          <w:cols w:equalWidth="0" w:num="1">
            <w:col w:w="11420"/>
          </w:cols>
          <w:pgMar w:left="240" w:top="571" w:right="2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71"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AbbVie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Key Product Revenues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 Ended September 30, 2018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347" w:lineRule="exact"/>
        <w:rPr>
          <w:sz w:val="20"/>
          <w:szCs w:val="20"/>
          <w:color w:val="auto"/>
        </w:rPr>
      </w:pPr>
    </w:p>
    <w:tbl>
      <w:tblPr>
        <w:tblLayout w:type="fixed"/>
        <w:tblInd w:w="60" w:type="dxa"/>
        <w:tblCellMar>
          <w:top w:w="0" w:type="dxa"/>
          <w:left w:w="0" w:type="dxa"/>
          <w:bottom w:w="0" w:type="dxa"/>
          <w:right w:w="0" w:type="dxa"/>
        </w:tblCellMar>
      </w:tblPr>
      <w:tr>
        <w:trPr>
          <w:trHeight w:val="266"/>
        </w:trPr>
        <w:tc>
          <w:tcPr>
            <w:tcW w:w="2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68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20"/>
                <w:szCs w:val="20"/>
                <w:b w:val="1"/>
                <w:bCs w:val="1"/>
                <w:color w:val="auto"/>
                <w:w w:val="98"/>
              </w:rPr>
              <w:t>% Change vs. 3Q17</w:t>
            </w:r>
          </w:p>
        </w:tc>
        <w:tc>
          <w:tcPr>
            <w:tcW w:w="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2"/>
                <w:szCs w:val="22"/>
                <w:color w:val="auto"/>
              </w:rPr>
            </w:pPr>
          </w:p>
        </w:tc>
        <w:tc>
          <w:tcPr>
            <w:tcW w:w="2640" w:type="dxa"/>
            <w:vAlign w:val="bottom"/>
            <w:tcBorders>
              <w:bottom w:val="single" w:sz="8" w:color="auto"/>
            </w:tcBorders>
            <w:gridSpan w:val="9"/>
          </w:tcPr>
          <w:p>
            <w:pPr>
              <w:jc w:val="right"/>
              <w:ind w:right="200"/>
              <w:spacing w:after="0"/>
              <w:rPr>
                <w:sz w:val="20"/>
                <w:szCs w:val="20"/>
                <w:color w:val="auto"/>
              </w:rPr>
            </w:pPr>
            <w:r>
              <w:rPr>
                <w:rFonts w:ascii="Arial" w:cs="Arial" w:eastAsia="Arial" w:hAnsi="Arial"/>
                <w:sz w:val="18"/>
                <w:szCs w:val="18"/>
                <w:b w:val="1"/>
                <w:bCs w:val="1"/>
                <w:color w:val="auto"/>
              </w:rPr>
              <w:t>Net Revenues (in millions)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5"/>
          </w:tcPr>
          <w:p>
            <w:pPr>
              <w:ind w:left="520"/>
              <w:spacing w:after="0"/>
              <w:rPr>
                <w:sz w:val="20"/>
                <w:szCs w:val="20"/>
                <w:color w:val="auto"/>
              </w:rPr>
            </w:pPr>
            <w:r>
              <w:rPr>
                <w:rFonts w:ascii="Arial" w:cs="Arial" w:eastAsia="Arial" w:hAnsi="Arial"/>
                <w:sz w:val="18"/>
                <w:szCs w:val="18"/>
                <w:b w:val="1"/>
                <w:bCs w:val="1"/>
                <w:color w:val="auto"/>
              </w:rPr>
              <w:t>International</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b w:val="1"/>
                <w:bCs w:val="1"/>
                <w:color w:val="auto"/>
              </w:rPr>
              <w:t>Total</w:t>
            </w:r>
          </w:p>
        </w:tc>
        <w:tc>
          <w:tcPr>
            <w:tcW w:w="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96"/>
              </w:rPr>
              <w:t>U.S.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Int’l.</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U.S.</w:t>
            </w:r>
          </w:p>
        </w:tc>
        <w:tc>
          <w:tcPr>
            <w:tcW w:w="13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9"/>
              </w:rPr>
              <w:t>Operational</w:t>
            </w:r>
          </w:p>
        </w:tc>
        <w:tc>
          <w:tcPr>
            <w:tcW w:w="1080" w:type="dxa"/>
            <w:vAlign w:val="bottom"/>
            <w:gridSpan w:val="3"/>
          </w:tcPr>
          <w:p>
            <w:pPr>
              <w:jc w:val="center"/>
              <w:spacing w:after="0"/>
              <w:rPr>
                <w:sz w:val="20"/>
                <w:szCs w:val="20"/>
                <w:color w:val="auto"/>
              </w:rPr>
            </w:pPr>
            <w:r>
              <w:rPr>
                <w:rFonts w:ascii="Arial" w:cs="Arial" w:eastAsia="Arial" w:hAnsi="Arial"/>
                <w:sz w:val="18"/>
                <w:szCs w:val="18"/>
                <w:b w:val="1"/>
                <w:bCs w:val="1"/>
                <w:color w:val="auto"/>
              </w:rPr>
              <w:t>Reported</w:t>
            </w:r>
          </w:p>
        </w:tc>
        <w:tc>
          <w:tcPr>
            <w:tcW w:w="1420" w:type="dxa"/>
            <w:vAlign w:val="bottom"/>
            <w:gridSpan w:val="3"/>
          </w:tcPr>
          <w:p>
            <w:pPr>
              <w:ind w:left="120"/>
              <w:spacing w:after="0"/>
              <w:rPr>
                <w:sz w:val="20"/>
                <w:szCs w:val="20"/>
                <w:color w:val="auto"/>
              </w:rPr>
            </w:pPr>
            <w:r>
              <w:rPr>
                <w:rFonts w:ascii="Arial" w:cs="Arial" w:eastAsia="Arial" w:hAnsi="Arial"/>
                <w:sz w:val="18"/>
                <w:szCs w:val="18"/>
                <w:b w:val="1"/>
                <w:bCs w:val="1"/>
                <w:color w:val="auto"/>
              </w:rPr>
              <w:t>Operational</w:t>
            </w:r>
          </w:p>
        </w:tc>
        <w:tc>
          <w:tcPr>
            <w:tcW w:w="940" w:type="dxa"/>
            <w:vAlign w:val="bottom"/>
            <w:gridSpan w:val="3"/>
          </w:tcPr>
          <w:p>
            <w:pPr>
              <w:ind w:left="40"/>
              <w:spacing w:after="0"/>
              <w:rPr>
                <w:sz w:val="20"/>
                <w:szCs w:val="20"/>
                <w:color w:val="auto"/>
              </w:rPr>
            </w:pPr>
            <w:r>
              <w:rPr>
                <w:rFonts w:ascii="Arial" w:cs="Arial" w:eastAsia="Arial" w:hAnsi="Arial"/>
                <w:sz w:val="18"/>
                <w:szCs w:val="18"/>
                <w:b w:val="1"/>
                <w:bCs w:val="1"/>
                <w:color w:val="auto"/>
              </w:rPr>
              <w:t>Reported</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820" w:type="dxa"/>
            <w:vAlign w:val="bottom"/>
            <w:vMerge w:val="restart"/>
          </w:tcPr>
          <w:p>
            <w:pPr>
              <w:spacing w:after="0"/>
              <w:rPr>
                <w:sz w:val="20"/>
                <w:szCs w:val="20"/>
                <w:color w:val="auto"/>
              </w:rPr>
            </w:pPr>
            <w:r>
              <w:rPr>
                <w:rFonts w:ascii="Arial" w:cs="Arial" w:eastAsia="Arial" w:hAnsi="Arial"/>
                <w:sz w:val="18"/>
                <w:szCs w:val="18"/>
                <w:b w:val="1"/>
                <w:bCs w:val="1"/>
                <w:color w:val="auto"/>
              </w:rPr>
              <w:t>ADJUSTED NET REVENUES</w:t>
            </w:r>
            <w:r>
              <w:rPr>
                <w:rFonts w:ascii="Arial" w:cs="Arial" w:eastAsia="Arial" w:hAnsi="Arial"/>
                <w:sz w:val="15"/>
                <w:szCs w:val="15"/>
                <w:color w:val="auto"/>
              </w:rPr>
              <w:t>a</w:t>
            </w:r>
          </w:p>
        </w:tc>
        <w:tc>
          <w:tcPr>
            <w:tcW w:w="860" w:type="dxa"/>
            <w:vAlign w:val="bottom"/>
            <w:gridSpan w:val="3"/>
            <w:vMerge w:val="restart"/>
          </w:tcPr>
          <w:p>
            <w:pPr>
              <w:jc w:val="center"/>
              <w:ind w:right="60"/>
              <w:spacing w:after="0"/>
              <w:rPr>
                <w:sz w:val="20"/>
                <w:szCs w:val="20"/>
                <w:color w:val="auto"/>
              </w:rPr>
            </w:pPr>
            <w:r>
              <w:rPr>
                <w:rFonts w:ascii="Arial" w:cs="Arial" w:eastAsia="Arial" w:hAnsi="Arial"/>
                <w:sz w:val="18"/>
                <w:szCs w:val="18"/>
                <w:b w:val="1"/>
                <w:bCs w:val="1"/>
                <w:color w:val="auto"/>
              </w:rPr>
              <w:t>$5,597</w:t>
            </w:r>
          </w:p>
        </w:tc>
        <w:tc>
          <w:tcPr>
            <w:tcW w:w="9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$2,639</w:t>
            </w:r>
          </w:p>
        </w:tc>
        <w:tc>
          <w:tcPr>
            <w:tcW w:w="86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$8,236</w:t>
            </w:r>
          </w:p>
        </w:tc>
        <w:tc>
          <w:tcPr>
            <w:tcW w:w="20" w:type="dxa"/>
            <w:vAlign w:val="bottom"/>
          </w:tcPr>
          <w:p>
            <w:pPr>
              <w:spacing w:after="0"/>
              <w:rPr>
                <w:sz w:val="2"/>
                <w:szCs w:val="2"/>
                <w:color w:val="auto"/>
              </w:rPr>
            </w:pPr>
          </w:p>
        </w:tc>
        <w:tc>
          <w:tcPr>
            <w:tcW w:w="112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97"/>
              </w:rPr>
              <w:t>22.0%</w:t>
            </w:r>
          </w:p>
        </w:tc>
        <w:tc>
          <w:tcPr>
            <w:tcW w:w="1120" w:type="dxa"/>
            <w:vAlign w:val="bottom"/>
            <w:gridSpan w:val="2"/>
            <w:vMerge w:val="restart"/>
          </w:tcPr>
          <w:p>
            <w:pPr>
              <w:jc w:val="center"/>
              <w:ind w:left="50"/>
              <w:spacing w:after="0"/>
              <w:rPr>
                <w:sz w:val="20"/>
                <w:szCs w:val="20"/>
                <w:color w:val="auto"/>
              </w:rPr>
            </w:pPr>
            <w:r>
              <w:rPr>
                <w:rFonts w:ascii="Arial" w:cs="Arial" w:eastAsia="Arial" w:hAnsi="Arial"/>
                <w:sz w:val="18"/>
                <w:szCs w:val="18"/>
                <w:b w:val="1"/>
                <w:bCs w:val="1"/>
                <w:color w:val="auto"/>
                <w:w w:val="97"/>
              </w:rPr>
              <w:t>11.7%</w:t>
            </w:r>
          </w:p>
        </w:tc>
        <w:tc>
          <w:tcPr>
            <w:tcW w:w="180" w:type="dxa"/>
            <w:vAlign w:val="bottom"/>
          </w:tcPr>
          <w:p>
            <w:pPr>
              <w:spacing w:after="0"/>
              <w:rPr>
                <w:sz w:val="2"/>
                <w:szCs w:val="2"/>
                <w:color w:val="auto"/>
              </w:rPr>
            </w:pPr>
          </w:p>
        </w:tc>
        <w:tc>
          <w:tcPr>
            <w:tcW w:w="960" w:type="dxa"/>
            <w:vAlign w:val="bottom"/>
            <w:gridSpan w:val="2"/>
            <w:vMerge w:val="restart"/>
          </w:tcPr>
          <w:p>
            <w:pPr>
              <w:jc w:val="center"/>
              <w:ind w:left="70"/>
              <w:spacing w:after="0"/>
              <w:rPr>
                <w:sz w:val="20"/>
                <w:szCs w:val="20"/>
                <w:color w:val="auto"/>
              </w:rPr>
            </w:pPr>
            <w:r>
              <w:rPr>
                <w:rFonts w:ascii="Arial" w:cs="Arial" w:eastAsia="Arial" w:hAnsi="Arial"/>
                <w:sz w:val="18"/>
                <w:szCs w:val="18"/>
                <w:b w:val="1"/>
                <w:bCs w:val="1"/>
                <w:color w:val="auto"/>
                <w:w w:val="97"/>
              </w:rPr>
              <w:t>9.6%</w:t>
            </w:r>
          </w:p>
        </w:tc>
        <w:tc>
          <w:tcPr>
            <w:tcW w:w="120" w:type="dxa"/>
            <w:vAlign w:val="bottom"/>
          </w:tcPr>
          <w:p>
            <w:pPr>
              <w:spacing w:after="0"/>
              <w:rPr>
                <w:sz w:val="2"/>
                <w:szCs w:val="2"/>
                <w:color w:val="auto"/>
              </w:rPr>
            </w:pPr>
          </w:p>
        </w:tc>
        <w:tc>
          <w:tcPr>
            <w:tcW w:w="1120" w:type="dxa"/>
            <w:vAlign w:val="bottom"/>
            <w:gridSpan w:val="2"/>
            <w:vMerge w:val="restart"/>
          </w:tcPr>
          <w:p>
            <w:pPr>
              <w:jc w:val="center"/>
              <w:ind w:left="30"/>
              <w:spacing w:after="0"/>
              <w:rPr>
                <w:sz w:val="20"/>
                <w:szCs w:val="20"/>
                <w:color w:val="auto"/>
              </w:rPr>
            </w:pPr>
            <w:r>
              <w:rPr>
                <w:rFonts w:ascii="Arial" w:cs="Arial" w:eastAsia="Arial" w:hAnsi="Arial"/>
                <w:sz w:val="18"/>
                <w:szCs w:val="18"/>
                <w:b w:val="1"/>
                <w:bCs w:val="1"/>
                <w:color w:val="auto"/>
              </w:rPr>
              <w:t>18.5%</w:t>
            </w:r>
          </w:p>
        </w:tc>
        <w:tc>
          <w:tcPr>
            <w:tcW w:w="300" w:type="dxa"/>
            <w:vAlign w:val="bottom"/>
          </w:tcPr>
          <w:p>
            <w:pPr>
              <w:spacing w:after="0"/>
              <w:rPr>
                <w:sz w:val="2"/>
                <w:szCs w:val="2"/>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7"/>
              </w:rPr>
              <w:t>17.8%</w:t>
            </w: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860" w:type="dxa"/>
            <w:vAlign w:val="bottom"/>
            <w:gridSpan w:val="3"/>
            <w:vMerge w:val="continue"/>
          </w:tcPr>
          <w:p>
            <w:pPr>
              <w:spacing w:after="0"/>
              <w:rPr>
                <w:sz w:val="22"/>
                <w:szCs w:val="22"/>
                <w:color w:val="auto"/>
              </w:rPr>
            </w:pPr>
          </w:p>
        </w:tc>
        <w:tc>
          <w:tcPr>
            <w:tcW w:w="920" w:type="dxa"/>
            <w:vAlign w:val="bottom"/>
            <w:gridSpan w:val="3"/>
            <w:vMerge w:val="continue"/>
          </w:tcPr>
          <w:p>
            <w:pPr>
              <w:spacing w:after="0"/>
              <w:rPr>
                <w:sz w:val="22"/>
                <w:szCs w:val="22"/>
                <w:color w:val="auto"/>
              </w:rPr>
            </w:pPr>
          </w:p>
        </w:tc>
        <w:tc>
          <w:tcPr>
            <w:tcW w:w="860" w:type="dxa"/>
            <w:vAlign w:val="bottom"/>
            <w:gridSpan w:val="3"/>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120" w:type="dxa"/>
            <w:vAlign w:val="bottom"/>
            <w:gridSpan w:val="4"/>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0"/>
                <w:szCs w:val="20"/>
                <w:color w:val="auto"/>
              </w:rPr>
            </w:pPr>
            <w:r>
              <w:rPr>
                <w:rFonts w:ascii="Arial" w:cs="Arial" w:eastAsia="Arial" w:hAnsi="Arial"/>
                <w:sz w:val="18"/>
                <w:szCs w:val="18"/>
                <w:b w:val="1"/>
                <w:bCs w:val="1"/>
                <w:color w:val="auto"/>
              </w:rPr>
              <w:t>Immunology</w:t>
            </w:r>
          </w:p>
        </w:tc>
        <w:tc>
          <w:tcPr>
            <w:tcW w:w="8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7"/>
              </w:rPr>
              <w:t>3,546</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1,578</w:t>
            </w:r>
          </w:p>
        </w:tc>
        <w:tc>
          <w:tcPr>
            <w:tcW w:w="8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5,124</w:t>
            </w:r>
          </w:p>
        </w:tc>
        <w:tc>
          <w:tcPr>
            <w:tcW w:w="20" w:type="dxa"/>
            <w:vAlign w:val="bottom"/>
            <w:shd w:val="clear" w:color="auto" w:fill="000000"/>
          </w:tcPr>
          <w:p>
            <w:pPr>
              <w:spacing w:after="0"/>
              <w:rPr>
                <w:sz w:val="23"/>
                <w:szCs w:val="23"/>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6"/>
              </w:rPr>
              <w:t>12.5</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rPr>
              <w:t>4.2</w:t>
            </w:r>
          </w:p>
        </w:tc>
        <w:tc>
          <w:tcPr>
            <w:tcW w:w="180" w:type="dxa"/>
            <w:vAlign w:val="bottom"/>
          </w:tcPr>
          <w:p>
            <w:pPr>
              <w:spacing w:after="0"/>
              <w:rPr>
                <w:sz w:val="23"/>
                <w:szCs w:val="23"/>
                <w:color w:val="auto"/>
              </w:rPr>
            </w:pPr>
          </w:p>
        </w:tc>
        <w:tc>
          <w:tcPr>
            <w:tcW w:w="96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1.8</w:t>
            </w:r>
          </w:p>
        </w:tc>
        <w:tc>
          <w:tcPr>
            <w:tcW w:w="120" w:type="dxa"/>
            <w:vAlign w:val="bottom"/>
            <w:tcBorders>
              <w:right w:val="single" w:sz="8" w:color="auto"/>
            </w:tcBorders>
          </w:tcPr>
          <w:p>
            <w:pPr>
              <w:spacing w:after="0"/>
              <w:rPr>
                <w:sz w:val="23"/>
                <w:szCs w:val="23"/>
                <w:color w:val="auto"/>
              </w:rPr>
            </w:pPr>
          </w:p>
        </w:tc>
        <w:tc>
          <w:tcPr>
            <w:tcW w:w="11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5"/>
              </w:rPr>
              <w:t>9.8</w:t>
            </w:r>
          </w:p>
        </w:tc>
        <w:tc>
          <w:tcPr>
            <w:tcW w:w="30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20" w:type="dxa"/>
            <w:vAlign w:val="bottom"/>
          </w:tcPr>
          <w:p>
            <w:pPr>
              <w:ind w:left="240"/>
              <w:spacing w:after="0"/>
              <w:rPr>
                <w:sz w:val="20"/>
                <w:szCs w:val="20"/>
                <w:color w:val="auto"/>
              </w:rPr>
            </w:pPr>
            <w:r>
              <w:rPr>
                <w:rFonts w:ascii="Arial" w:cs="Arial" w:eastAsia="Arial" w:hAnsi="Arial"/>
                <w:sz w:val="18"/>
                <w:szCs w:val="18"/>
                <w:color w:val="auto"/>
              </w:rPr>
              <w:t>Humira</w:t>
            </w:r>
          </w:p>
        </w:tc>
        <w:tc>
          <w:tcPr>
            <w:tcW w:w="860" w:type="dxa"/>
            <w:vAlign w:val="bottom"/>
            <w:gridSpan w:val="3"/>
          </w:tcPr>
          <w:p>
            <w:pPr>
              <w:jc w:val="center"/>
              <w:ind w:right="60"/>
              <w:spacing w:after="0"/>
              <w:rPr>
                <w:sz w:val="20"/>
                <w:szCs w:val="20"/>
                <w:color w:val="auto"/>
              </w:rPr>
            </w:pPr>
            <w:r>
              <w:rPr>
                <w:rFonts w:ascii="Arial" w:cs="Arial" w:eastAsia="Arial" w:hAnsi="Arial"/>
                <w:sz w:val="18"/>
                <w:szCs w:val="18"/>
                <w:color w:val="auto"/>
                <w:w w:val="97"/>
              </w:rPr>
              <w:t>3,546</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7"/>
              </w:rPr>
              <w:t>1,578</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7"/>
              </w:rPr>
              <w:t>5,124</w:t>
            </w:r>
          </w:p>
        </w:tc>
        <w:tc>
          <w:tcPr>
            <w:tcW w:w="20" w:type="dxa"/>
            <w:vAlign w:val="bottom"/>
            <w:shd w:val="clear" w:color="auto" w:fill="000000"/>
          </w:tcPr>
          <w:p>
            <w:pPr>
              <w:spacing w:after="0"/>
              <w:rPr>
                <w:sz w:val="23"/>
                <w:szCs w:val="23"/>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color w:val="auto"/>
                <w:w w:val="96"/>
              </w:rPr>
              <w:t>12.5</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3"/>
                <w:szCs w:val="23"/>
                <w:color w:val="auto"/>
              </w:rPr>
            </w:pP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1.8</w:t>
            </w:r>
          </w:p>
        </w:tc>
        <w:tc>
          <w:tcPr>
            <w:tcW w:w="120" w:type="dxa"/>
            <w:vAlign w:val="bottom"/>
            <w:tcBorders>
              <w:right w:val="single" w:sz="8" w:color="auto"/>
            </w:tcBorders>
          </w:tcPr>
          <w:p>
            <w:pPr>
              <w:spacing w:after="0"/>
              <w:rPr>
                <w:sz w:val="23"/>
                <w:szCs w:val="23"/>
                <w:color w:val="auto"/>
              </w:rPr>
            </w:pP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9.8</w:t>
            </w:r>
          </w:p>
        </w:tc>
        <w:tc>
          <w:tcPr>
            <w:tcW w:w="30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820" w:type="dxa"/>
            <w:vAlign w:val="bottom"/>
          </w:tcPr>
          <w:p>
            <w:pPr>
              <w:spacing w:after="0"/>
              <w:rPr>
                <w:sz w:val="20"/>
                <w:szCs w:val="20"/>
                <w:color w:val="auto"/>
              </w:rPr>
            </w:pPr>
            <w:r>
              <w:rPr>
                <w:rFonts w:ascii="Arial" w:cs="Arial" w:eastAsia="Arial" w:hAnsi="Arial"/>
                <w:sz w:val="18"/>
                <w:szCs w:val="18"/>
                <w:b w:val="1"/>
                <w:bCs w:val="1"/>
                <w:color w:val="auto"/>
              </w:rPr>
              <w:t>Hematologic Oncology</w:t>
            </w:r>
          </w:p>
        </w:tc>
        <w:tc>
          <w:tcPr>
            <w:tcW w:w="58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9"/>
              </w:rPr>
              <w:t>881</w:t>
            </w:r>
          </w:p>
        </w:tc>
        <w:tc>
          <w:tcPr>
            <w:tcW w:w="280" w:type="dxa"/>
            <w:vAlign w:val="bottom"/>
          </w:tcPr>
          <w:p>
            <w:pPr>
              <w:spacing w:after="0"/>
              <w:rPr>
                <w:sz w:val="24"/>
                <w:szCs w:val="24"/>
                <w:color w:val="auto"/>
              </w:rPr>
            </w:pPr>
          </w:p>
        </w:tc>
        <w:tc>
          <w:tcPr>
            <w:tcW w:w="64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9"/>
              </w:rPr>
              <w:t>187</w:t>
            </w:r>
          </w:p>
        </w:tc>
        <w:tc>
          <w:tcPr>
            <w:tcW w:w="280" w:type="dxa"/>
            <w:vAlign w:val="bottom"/>
          </w:tcPr>
          <w:p>
            <w:pPr>
              <w:spacing w:after="0"/>
              <w:rPr>
                <w:sz w:val="24"/>
                <w:szCs w:val="24"/>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1,068</w:t>
            </w:r>
          </w:p>
        </w:tc>
        <w:tc>
          <w:tcPr>
            <w:tcW w:w="20" w:type="dxa"/>
            <w:vAlign w:val="bottom"/>
            <w:shd w:val="clear" w:color="auto" w:fill="000000"/>
          </w:tcPr>
          <w:p>
            <w:pPr>
              <w:spacing w:after="0"/>
              <w:rPr>
                <w:sz w:val="24"/>
                <w:szCs w:val="24"/>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6"/>
              </w:rPr>
              <w:t>47.3</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6"/>
              </w:rPr>
              <w:t>52.3</w:t>
            </w:r>
          </w:p>
        </w:tc>
        <w:tc>
          <w:tcPr>
            <w:tcW w:w="180" w:type="dxa"/>
            <w:vAlign w:val="bottom"/>
          </w:tcPr>
          <w:p>
            <w:pPr>
              <w:spacing w:after="0"/>
              <w:rPr>
                <w:sz w:val="24"/>
                <w:szCs w:val="24"/>
                <w:color w:val="auto"/>
              </w:rPr>
            </w:pPr>
          </w:p>
        </w:tc>
        <w:tc>
          <w:tcPr>
            <w:tcW w:w="96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rPr>
              <w:t>51.9</w:t>
            </w:r>
          </w:p>
        </w:tc>
        <w:tc>
          <w:tcPr>
            <w:tcW w:w="120" w:type="dxa"/>
            <w:vAlign w:val="bottom"/>
            <w:tcBorders>
              <w:right w:val="single" w:sz="8" w:color="auto"/>
            </w:tcBorders>
          </w:tcPr>
          <w:p>
            <w:pPr>
              <w:spacing w:after="0"/>
              <w:rPr>
                <w:sz w:val="24"/>
                <w:szCs w:val="24"/>
                <w:color w:val="auto"/>
              </w:rPr>
            </w:pPr>
          </w:p>
        </w:tc>
        <w:tc>
          <w:tcPr>
            <w:tcW w:w="11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rPr>
              <w:t>48.2</w:t>
            </w:r>
          </w:p>
        </w:tc>
        <w:tc>
          <w:tcPr>
            <w:tcW w:w="30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48.1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20" w:type="dxa"/>
            <w:vAlign w:val="bottom"/>
          </w:tcPr>
          <w:p>
            <w:pPr>
              <w:ind w:left="240"/>
              <w:spacing w:after="0"/>
              <w:rPr>
                <w:sz w:val="20"/>
                <w:szCs w:val="20"/>
                <w:color w:val="auto"/>
              </w:rPr>
            </w:pPr>
            <w:r>
              <w:rPr>
                <w:rFonts w:ascii="Arial" w:cs="Arial" w:eastAsia="Arial" w:hAnsi="Arial"/>
                <w:sz w:val="18"/>
                <w:szCs w:val="18"/>
                <w:color w:val="auto"/>
              </w:rPr>
              <w:t>Imbruvica</w:t>
            </w:r>
            <w:r>
              <w:rPr>
                <w:rFonts w:ascii="Arial" w:cs="Arial" w:eastAsia="Arial" w:hAnsi="Arial"/>
                <w:sz w:val="15"/>
                <w:szCs w:val="15"/>
                <w:color w:val="auto"/>
              </w:rPr>
              <w:t>b</w:t>
            </w:r>
          </w:p>
        </w:tc>
        <w:tc>
          <w:tcPr>
            <w:tcW w:w="58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812</w:t>
            </w:r>
          </w:p>
        </w:tc>
        <w:tc>
          <w:tcPr>
            <w:tcW w:w="280" w:type="dxa"/>
            <w:vAlign w:val="bottom"/>
          </w:tcPr>
          <w:p>
            <w:pPr>
              <w:spacing w:after="0"/>
              <w:rPr>
                <w:sz w:val="23"/>
                <w:szCs w:val="23"/>
                <w:color w:val="auto"/>
              </w:rPr>
            </w:pP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160</w:t>
            </w:r>
          </w:p>
        </w:tc>
        <w:tc>
          <w:tcPr>
            <w:tcW w:w="280" w:type="dxa"/>
            <w:vAlign w:val="bottom"/>
          </w:tcPr>
          <w:p>
            <w:pPr>
              <w:spacing w:after="0"/>
              <w:rPr>
                <w:sz w:val="23"/>
                <w:szCs w:val="23"/>
                <w:color w:val="auto"/>
              </w:rPr>
            </w:pP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972</w:t>
            </w:r>
          </w:p>
        </w:tc>
        <w:tc>
          <w:tcPr>
            <w:tcW w:w="2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color w:val="auto"/>
                <w:w w:val="96"/>
              </w:rPr>
              <w:t>41.5</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40.1</w:t>
            </w:r>
          </w:p>
        </w:tc>
        <w:tc>
          <w:tcPr>
            <w:tcW w:w="180" w:type="dxa"/>
            <w:vAlign w:val="bottom"/>
          </w:tcPr>
          <w:p>
            <w:pPr>
              <w:spacing w:after="0"/>
              <w:rPr>
                <w:sz w:val="23"/>
                <w:szCs w:val="23"/>
                <w:color w:val="auto"/>
              </w:rPr>
            </w:pP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rPr>
              <w:t>40.1</w:t>
            </w:r>
          </w:p>
        </w:tc>
        <w:tc>
          <w:tcPr>
            <w:tcW w:w="120" w:type="dxa"/>
            <w:vAlign w:val="bottom"/>
            <w:tcBorders>
              <w:right w:val="single" w:sz="8" w:color="auto"/>
            </w:tcBorders>
          </w:tcPr>
          <w:p>
            <w:pPr>
              <w:spacing w:after="0"/>
              <w:rPr>
                <w:sz w:val="23"/>
                <w:szCs w:val="23"/>
                <w:color w:val="auto"/>
              </w:rPr>
            </w:pP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rPr>
              <w:t>41.3</w:t>
            </w:r>
          </w:p>
        </w:tc>
        <w:tc>
          <w:tcPr>
            <w:tcW w:w="30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6"/>
              </w:rPr>
              <w:t>41.3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20" w:type="dxa"/>
            <w:vAlign w:val="bottom"/>
          </w:tcPr>
          <w:p>
            <w:pPr>
              <w:ind w:left="240"/>
              <w:spacing w:after="0"/>
              <w:rPr>
                <w:sz w:val="20"/>
                <w:szCs w:val="20"/>
                <w:color w:val="auto"/>
              </w:rPr>
            </w:pPr>
            <w:r>
              <w:rPr>
                <w:rFonts w:ascii="Arial" w:cs="Arial" w:eastAsia="Arial" w:hAnsi="Arial"/>
                <w:sz w:val="18"/>
                <w:szCs w:val="18"/>
                <w:color w:val="auto"/>
              </w:rPr>
              <w:t>Venclexta</w:t>
            </w:r>
          </w:p>
        </w:tc>
        <w:tc>
          <w:tcPr>
            <w:tcW w:w="5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69</w:t>
            </w:r>
          </w:p>
        </w:tc>
        <w:tc>
          <w:tcPr>
            <w:tcW w:w="280" w:type="dxa"/>
            <w:vAlign w:val="bottom"/>
          </w:tcPr>
          <w:p>
            <w:pPr>
              <w:spacing w:after="0"/>
              <w:rPr>
                <w:sz w:val="23"/>
                <w:szCs w:val="23"/>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27</w:t>
            </w:r>
          </w:p>
        </w:tc>
        <w:tc>
          <w:tcPr>
            <w:tcW w:w="280" w:type="dxa"/>
            <w:vAlign w:val="bottom"/>
          </w:tcPr>
          <w:p>
            <w:pPr>
              <w:spacing w:after="0"/>
              <w:rPr>
                <w:sz w:val="23"/>
                <w:szCs w:val="23"/>
                <w:color w:val="auto"/>
              </w:rPr>
            </w:pPr>
          </w:p>
        </w:tc>
        <w:tc>
          <w:tcPr>
            <w:tcW w:w="66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96</w:t>
            </w:r>
          </w:p>
        </w:tc>
        <w:tc>
          <w:tcPr>
            <w:tcW w:w="2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color w:val="auto"/>
              </w:rPr>
              <w:t>&gt;100.0</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rPr>
              <w:t>&gt;100.0</w:t>
            </w:r>
          </w:p>
        </w:tc>
        <w:tc>
          <w:tcPr>
            <w:tcW w:w="180" w:type="dxa"/>
            <w:vAlign w:val="bottom"/>
          </w:tcPr>
          <w:p>
            <w:pPr>
              <w:spacing w:after="0"/>
              <w:rPr>
                <w:sz w:val="23"/>
                <w:szCs w:val="23"/>
                <w:color w:val="auto"/>
              </w:rPr>
            </w:pP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rPr>
              <w:t>&gt;100.0</w:t>
            </w:r>
          </w:p>
        </w:tc>
        <w:tc>
          <w:tcPr>
            <w:tcW w:w="120" w:type="dxa"/>
            <w:vAlign w:val="bottom"/>
            <w:tcBorders>
              <w:right w:val="single" w:sz="8" w:color="auto"/>
            </w:tcBorders>
          </w:tcPr>
          <w:p>
            <w:pPr>
              <w:spacing w:after="0"/>
              <w:rPr>
                <w:sz w:val="23"/>
                <w:szCs w:val="23"/>
                <w:color w:val="auto"/>
              </w:rPr>
            </w:pP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rPr>
              <w:t>&gt;100.0</w:t>
            </w:r>
          </w:p>
        </w:tc>
        <w:tc>
          <w:tcPr>
            <w:tcW w:w="30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rPr>
              <w:t>&gt;100.0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820" w:type="dxa"/>
            <w:vAlign w:val="bottom"/>
          </w:tcPr>
          <w:p>
            <w:pPr>
              <w:spacing w:after="0"/>
              <w:rPr>
                <w:sz w:val="20"/>
                <w:szCs w:val="20"/>
                <w:color w:val="auto"/>
              </w:rPr>
            </w:pPr>
            <w:r>
              <w:rPr>
                <w:rFonts w:ascii="Arial" w:cs="Arial" w:eastAsia="Arial" w:hAnsi="Arial"/>
                <w:sz w:val="18"/>
                <w:szCs w:val="18"/>
                <w:b w:val="1"/>
                <w:bCs w:val="1"/>
                <w:color w:val="auto"/>
              </w:rPr>
              <w:t>HCV</w:t>
            </w:r>
          </w:p>
        </w:tc>
        <w:tc>
          <w:tcPr>
            <w:tcW w:w="58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9"/>
              </w:rPr>
              <w:t>444</w:t>
            </w:r>
          </w:p>
        </w:tc>
        <w:tc>
          <w:tcPr>
            <w:tcW w:w="280" w:type="dxa"/>
            <w:vAlign w:val="bottom"/>
          </w:tcPr>
          <w:p>
            <w:pPr>
              <w:spacing w:after="0"/>
              <w:rPr>
                <w:sz w:val="24"/>
                <w:szCs w:val="24"/>
                <w:color w:val="auto"/>
              </w:rPr>
            </w:pPr>
          </w:p>
        </w:tc>
        <w:tc>
          <w:tcPr>
            <w:tcW w:w="64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9"/>
              </w:rPr>
              <w:t>418</w:t>
            </w:r>
          </w:p>
        </w:tc>
        <w:tc>
          <w:tcPr>
            <w:tcW w:w="280" w:type="dxa"/>
            <w:vAlign w:val="bottom"/>
          </w:tcPr>
          <w:p>
            <w:pPr>
              <w:spacing w:after="0"/>
              <w:rPr>
                <w:sz w:val="24"/>
                <w:szCs w:val="24"/>
                <w:color w:val="auto"/>
              </w:rPr>
            </w:pPr>
          </w:p>
        </w:tc>
        <w:tc>
          <w:tcPr>
            <w:tcW w:w="66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9"/>
              </w:rPr>
              <w:t>862</w:t>
            </w:r>
          </w:p>
        </w:tc>
        <w:tc>
          <w:tcPr>
            <w:tcW w:w="2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b w:val="1"/>
                <w:bCs w:val="1"/>
                <w:color w:val="auto"/>
              </w:rPr>
              <w:t>&gt;100.0</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6"/>
              </w:rPr>
              <w:t>95.6</w:t>
            </w:r>
          </w:p>
        </w:tc>
        <w:tc>
          <w:tcPr>
            <w:tcW w:w="180" w:type="dxa"/>
            <w:vAlign w:val="bottom"/>
          </w:tcPr>
          <w:p>
            <w:pPr>
              <w:spacing w:after="0"/>
              <w:rPr>
                <w:sz w:val="24"/>
                <w:szCs w:val="24"/>
                <w:color w:val="auto"/>
              </w:rPr>
            </w:pPr>
          </w:p>
        </w:tc>
        <w:tc>
          <w:tcPr>
            <w:tcW w:w="96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rPr>
              <w:t>94.5</w:t>
            </w:r>
          </w:p>
        </w:tc>
        <w:tc>
          <w:tcPr>
            <w:tcW w:w="120" w:type="dxa"/>
            <w:vAlign w:val="bottom"/>
            <w:tcBorders>
              <w:right w:val="single" w:sz="8" w:color="auto"/>
            </w:tcBorders>
          </w:tcPr>
          <w:p>
            <w:pPr>
              <w:spacing w:after="0"/>
              <w:rPr>
                <w:sz w:val="24"/>
                <w:szCs w:val="24"/>
                <w:color w:val="auto"/>
              </w:rPr>
            </w:pPr>
          </w:p>
        </w:tc>
        <w:tc>
          <w:tcPr>
            <w:tcW w:w="11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rPr>
              <w:t>&gt;100.0</w:t>
            </w:r>
          </w:p>
        </w:tc>
        <w:tc>
          <w:tcPr>
            <w:tcW w:w="30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rPr>
              <w:t>&gt;100.0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20" w:type="dxa"/>
            <w:vAlign w:val="bottom"/>
          </w:tcPr>
          <w:p>
            <w:pPr>
              <w:ind w:left="240"/>
              <w:spacing w:after="0"/>
              <w:rPr>
                <w:sz w:val="20"/>
                <w:szCs w:val="20"/>
                <w:color w:val="auto"/>
              </w:rPr>
            </w:pPr>
            <w:r>
              <w:rPr>
                <w:rFonts w:ascii="Arial" w:cs="Arial" w:eastAsia="Arial" w:hAnsi="Arial"/>
                <w:sz w:val="18"/>
                <w:szCs w:val="18"/>
                <w:color w:val="auto"/>
              </w:rPr>
              <w:t>Mavyret</w:t>
            </w:r>
          </w:p>
        </w:tc>
        <w:tc>
          <w:tcPr>
            <w:tcW w:w="58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444</w:t>
            </w:r>
          </w:p>
        </w:tc>
        <w:tc>
          <w:tcPr>
            <w:tcW w:w="280" w:type="dxa"/>
            <w:vAlign w:val="bottom"/>
          </w:tcPr>
          <w:p>
            <w:pPr>
              <w:spacing w:after="0"/>
              <w:rPr>
                <w:sz w:val="23"/>
                <w:szCs w:val="23"/>
                <w:color w:val="auto"/>
              </w:rPr>
            </w:pP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395</w:t>
            </w:r>
          </w:p>
        </w:tc>
        <w:tc>
          <w:tcPr>
            <w:tcW w:w="280" w:type="dxa"/>
            <w:vAlign w:val="bottom"/>
          </w:tcPr>
          <w:p>
            <w:pPr>
              <w:spacing w:after="0"/>
              <w:rPr>
                <w:sz w:val="23"/>
                <w:szCs w:val="23"/>
                <w:color w:val="auto"/>
              </w:rPr>
            </w:pP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839</w:t>
            </w:r>
          </w:p>
        </w:tc>
        <w:tc>
          <w:tcPr>
            <w:tcW w:w="2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color w:val="auto"/>
              </w:rPr>
              <w:t>&gt;100.0</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rPr>
              <w:t>&gt;100.0</w:t>
            </w:r>
          </w:p>
        </w:tc>
        <w:tc>
          <w:tcPr>
            <w:tcW w:w="180" w:type="dxa"/>
            <w:vAlign w:val="bottom"/>
          </w:tcPr>
          <w:p>
            <w:pPr>
              <w:spacing w:after="0"/>
              <w:rPr>
                <w:sz w:val="23"/>
                <w:szCs w:val="23"/>
                <w:color w:val="auto"/>
              </w:rPr>
            </w:pP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rPr>
              <w:t>&gt;100.0</w:t>
            </w:r>
          </w:p>
        </w:tc>
        <w:tc>
          <w:tcPr>
            <w:tcW w:w="120" w:type="dxa"/>
            <w:vAlign w:val="bottom"/>
            <w:tcBorders>
              <w:right w:val="single" w:sz="8" w:color="auto"/>
            </w:tcBorders>
          </w:tcPr>
          <w:p>
            <w:pPr>
              <w:spacing w:after="0"/>
              <w:rPr>
                <w:sz w:val="23"/>
                <w:szCs w:val="23"/>
                <w:color w:val="auto"/>
              </w:rPr>
            </w:pP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rPr>
              <w:t>&gt;100.0</w:t>
            </w:r>
          </w:p>
        </w:tc>
        <w:tc>
          <w:tcPr>
            <w:tcW w:w="30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rPr>
              <w:t>&gt;100.0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20" w:type="dxa"/>
            <w:vAlign w:val="bottom"/>
          </w:tcPr>
          <w:p>
            <w:pPr>
              <w:ind w:left="240"/>
              <w:spacing w:after="0"/>
              <w:rPr>
                <w:sz w:val="20"/>
                <w:szCs w:val="20"/>
                <w:color w:val="auto"/>
              </w:rPr>
            </w:pPr>
            <w:r>
              <w:rPr>
                <w:rFonts w:ascii="Arial" w:cs="Arial" w:eastAsia="Arial" w:hAnsi="Arial"/>
                <w:sz w:val="18"/>
                <w:szCs w:val="18"/>
                <w:color w:val="auto"/>
              </w:rPr>
              <w:t>Viekira</w:t>
            </w:r>
          </w:p>
        </w:tc>
        <w:tc>
          <w:tcPr>
            <w:tcW w:w="220" w:type="dxa"/>
            <w:vAlign w:val="bottom"/>
          </w:tcPr>
          <w:p>
            <w:pPr>
              <w:spacing w:after="0"/>
              <w:rPr>
                <w:sz w:val="23"/>
                <w:szCs w:val="23"/>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23</w:t>
            </w:r>
          </w:p>
        </w:tc>
        <w:tc>
          <w:tcPr>
            <w:tcW w:w="280" w:type="dxa"/>
            <w:vAlign w:val="bottom"/>
          </w:tcPr>
          <w:p>
            <w:pPr>
              <w:spacing w:after="0"/>
              <w:rPr>
                <w:sz w:val="23"/>
                <w:szCs w:val="23"/>
                <w:color w:val="auto"/>
              </w:rPr>
            </w:pPr>
          </w:p>
        </w:tc>
        <w:tc>
          <w:tcPr>
            <w:tcW w:w="66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23</w:t>
            </w:r>
          </w:p>
        </w:tc>
        <w:tc>
          <w:tcPr>
            <w:tcW w:w="2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n/m</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97"/>
              </w:rPr>
              <w:t>(86.1)</w:t>
            </w:r>
          </w:p>
        </w:tc>
        <w:tc>
          <w:tcPr>
            <w:tcW w:w="180" w:type="dxa"/>
            <w:vAlign w:val="bottom"/>
          </w:tcPr>
          <w:p>
            <w:pPr>
              <w:spacing w:after="0"/>
              <w:rPr>
                <w:sz w:val="23"/>
                <w:szCs w:val="23"/>
                <w:color w:val="auto"/>
              </w:rPr>
            </w:pP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rPr>
              <w:t>(87.0)</w:t>
            </w:r>
          </w:p>
        </w:tc>
        <w:tc>
          <w:tcPr>
            <w:tcW w:w="120" w:type="dxa"/>
            <w:vAlign w:val="bottom"/>
            <w:tcBorders>
              <w:right w:val="single" w:sz="8" w:color="auto"/>
            </w:tcBorders>
          </w:tcPr>
          <w:p>
            <w:pPr>
              <w:spacing w:after="0"/>
              <w:rPr>
                <w:sz w:val="23"/>
                <w:szCs w:val="23"/>
                <w:color w:val="auto"/>
              </w:rPr>
            </w:pP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rPr>
              <w:t>(86.2)</w:t>
            </w:r>
          </w:p>
        </w:tc>
        <w:tc>
          <w:tcPr>
            <w:tcW w:w="30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7"/>
              </w:rPr>
              <w:t>(87.1)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820" w:type="dxa"/>
            <w:vAlign w:val="bottom"/>
          </w:tcPr>
          <w:p>
            <w:pPr>
              <w:spacing w:after="0"/>
              <w:rPr>
                <w:sz w:val="20"/>
                <w:szCs w:val="20"/>
                <w:color w:val="auto"/>
              </w:rPr>
            </w:pPr>
            <w:r>
              <w:rPr>
                <w:rFonts w:ascii="Arial" w:cs="Arial" w:eastAsia="Arial" w:hAnsi="Arial"/>
                <w:sz w:val="18"/>
                <w:szCs w:val="18"/>
                <w:b w:val="1"/>
                <w:bCs w:val="1"/>
                <w:color w:val="auto"/>
              </w:rPr>
              <w:t>Other Key Products</w:t>
            </w:r>
          </w:p>
        </w:tc>
        <w:tc>
          <w:tcPr>
            <w:tcW w:w="58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9"/>
              </w:rPr>
              <w:t>792</w:t>
            </w:r>
          </w:p>
        </w:tc>
        <w:tc>
          <w:tcPr>
            <w:tcW w:w="280" w:type="dxa"/>
            <w:vAlign w:val="bottom"/>
          </w:tcPr>
          <w:p>
            <w:pPr>
              <w:spacing w:after="0"/>
              <w:rPr>
                <w:sz w:val="24"/>
                <w:szCs w:val="24"/>
                <w:color w:val="auto"/>
              </w:rPr>
            </w:pPr>
          </w:p>
        </w:tc>
        <w:tc>
          <w:tcPr>
            <w:tcW w:w="64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9"/>
              </w:rPr>
              <w:t>365</w:t>
            </w:r>
          </w:p>
        </w:tc>
        <w:tc>
          <w:tcPr>
            <w:tcW w:w="280" w:type="dxa"/>
            <w:vAlign w:val="bottom"/>
          </w:tcPr>
          <w:p>
            <w:pPr>
              <w:spacing w:after="0"/>
              <w:rPr>
                <w:sz w:val="24"/>
                <w:szCs w:val="24"/>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1,157</w:t>
            </w:r>
          </w:p>
        </w:tc>
        <w:tc>
          <w:tcPr>
            <w:tcW w:w="20" w:type="dxa"/>
            <w:vAlign w:val="bottom"/>
            <w:shd w:val="clear" w:color="auto" w:fill="000000"/>
          </w:tcPr>
          <w:p>
            <w:pPr>
              <w:spacing w:after="0"/>
              <w:rPr>
                <w:sz w:val="24"/>
                <w:szCs w:val="24"/>
                <w:color w:val="auto"/>
              </w:rPr>
            </w:pPr>
          </w:p>
        </w:tc>
        <w:tc>
          <w:tcPr>
            <w:tcW w:w="74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rPr>
              <w:t>3.6</w:t>
            </w:r>
          </w:p>
        </w:tc>
        <w:tc>
          <w:tcPr>
            <w:tcW w:w="380" w:type="dxa"/>
            <w:vAlign w:val="bottom"/>
          </w:tcPr>
          <w:p>
            <w:pPr>
              <w:spacing w:after="0"/>
              <w:rPr>
                <w:sz w:val="24"/>
                <w:szCs w:val="24"/>
                <w:color w:val="auto"/>
              </w:rPr>
            </w:pPr>
          </w:p>
        </w:tc>
        <w:tc>
          <w:tcPr>
            <w:tcW w:w="112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rPr>
              <w:t>(2.1)</w:t>
            </w:r>
          </w:p>
        </w:tc>
        <w:tc>
          <w:tcPr>
            <w:tcW w:w="180" w:type="dxa"/>
            <w:vAlign w:val="bottom"/>
          </w:tcPr>
          <w:p>
            <w:pPr>
              <w:spacing w:after="0"/>
              <w:rPr>
                <w:sz w:val="24"/>
                <w:szCs w:val="24"/>
                <w:color w:val="auto"/>
              </w:rPr>
            </w:pPr>
          </w:p>
        </w:tc>
        <w:tc>
          <w:tcPr>
            <w:tcW w:w="96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7"/>
              </w:rPr>
              <w:t>(4.9)</w:t>
            </w:r>
          </w:p>
        </w:tc>
        <w:tc>
          <w:tcPr>
            <w:tcW w:w="120" w:type="dxa"/>
            <w:vAlign w:val="bottom"/>
            <w:tcBorders>
              <w:right w:val="single" w:sz="8" w:color="auto"/>
            </w:tcBorders>
          </w:tcPr>
          <w:p>
            <w:pPr>
              <w:spacing w:after="0"/>
              <w:rPr>
                <w:sz w:val="24"/>
                <w:szCs w:val="24"/>
                <w:color w:val="auto"/>
              </w:rPr>
            </w:pPr>
          </w:p>
        </w:tc>
        <w:tc>
          <w:tcPr>
            <w:tcW w:w="11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5"/>
              </w:rPr>
              <w:t>1.7</w:t>
            </w:r>
          </w:p>
        </w:tc>
        <w:tc>
          <w:tcPr>
            <w:tcW w:w="30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rPr>
              <w:t>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20" w:type="dxa"/>
            <w:vAlign w:val="bottom"/>
          </w:tcPr>
          <w:p>
            <w:pPr>
              <w:ind w:left="240"/>
              <w:spacing w:after="0"/>
              <w:rPr>
                <w:sz w:val="20"/>
                <w:szCs w:val="20"/>
                <w:color w:val="auto"/>
              </w:rPr>
            </w:pPr>
            <w:r>
              <w:rPr>
                <w:rFonts w:ascii="Arial" w:cs="Arial" w:eastAsia="Arial" w:hAnsi="Arial"/>
                <w:sz w:val="18"/>
                <w:szCs w:val="18"/>
                <w:color w:val="auto"/>
              </w:rPr>
              <w:t>Creon</w:t>
            </w:r>
          </w:p>
        </w:tc>
        <w:tc>
          <w:tcPr>
            <w:tcW w:w="58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239</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239</w:t>
            </w:r>
          </w:p>
        </w:tc>
        <w:tc>
          <w:tcPr>
            <w:tcW w:w="2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color w:val="auto"/>
                <w:w w:val="96"/>
              </w:rPr>
              <w:t>11.3</w:t>
            </w:r>
          </w:p>
        </w:tc>
        <w:tc>
          <w:tcPr>
            <w:tcW w:w="120" w:type="dxa"/>
            <w:vAlign w:val="bottom"/>
          </w:tcPr>
          <w:p>
            <w:pPr>
              <w:spacing w:after="0"/>
              <w:rPr>
                <w:sz w:val="23"/>
                <w:szCs w:val="2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3"/>
                <w:szCs w:val="23"/>
                <w:color w:val="auto"/>
              </w:rPr>
            </w:pPr>
          </w:p>
        </w:tc>
        <w:tc>
          <w:tcPr>
            <w:tcW w:w="9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95"/>
              </w:rPr>
              <w:t>n/a</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6"/>
              </w:rPr>
              <w:t>11.3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20" w:type="dxa"/>
            <w:vAlign w:val="bottom"/>
          </w:tcPr>
          <w:p>
            <w:pPr>
              <w:ind w:left="240"/>
              <w:spacing w:after="0"/>
              <w:rPr>
                <w:sz w:val="20"/>
                <w:szCs w:val="20"/>
                <w:color w:val="auto"/>
              </w:rPr>
            </w:pPr>
            <w:r>
              <w:rPr>
                <w:rFonts w:ascii="Arial" w:cs="Arial" w:eastAsia="Arial" w:hAnsi="Arial"/>
                <w:sz w:val="18"/>
                <w:szCs w:val="18"/>
                <w:color w:val="auto"/>
              </w:rPr>
              <w:t>Lupron</w:t>
            </w:r>
          </w:p>
        </w:tc>
        <w:tc>
          <w:tcPr>
            <w:tcW w:w="58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173</w:t>
            </w:r>
          </w:p>
        </w:tc>
        <w:tc>
          <w:tcPr>
            <w:tcW w:w="280" w:type="dxa"/>
            <w:vAlign w:val="bottom"/>
          </w:tcPr>
          <w:p>
            <w:pPr>
              <w:spacing w:after="0"/>
              <w:rPr>
                <w:sz w:val="23"/>
                <w:szCs w:val="23"/>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41</w:t>
            </w:r>
          </w:p>
        </w:tc>
        <w:tc>
          <w:tcPr>
            <w:tcW w:w="280" w:type="dxa"/>
            <w:vAlign w:val="bottom"/>
          </w:tcPr>
          <w:p>
            <w:pPr>
              <w:spacing w:after="0"/>
              <w:rPr>
                <w:sz w:val="23"/>
                <w:szCs w:val="23"/>
                <w:color w:val="auto"/>
              </w:rPr>
            </w:pP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214</w:t>
            </w:r>
          </w:p>
        </w:tc>
        <w:tc>
          <w:tcPr>
            <w:tcW w:w="2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740" w:type="dxa"/>
            <w:vAlign w:val="bottom"/>
            <w:gridSpan w:val="3"/>
          </w:tcPr>
          <w:p>
            <w:pPr>
              <w:jc w:val="center"/>
              <w:ind w:left="310"/>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23"/>
                <w:szCs w:val="23"/>
                <w:color w:val="auto"/>
              </w:rPr>
            </w:pP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23"/>
                <w:szCs w:val="23"/>
                <w:color w:val="auto"/>
              </w:rPr>
            </w:pP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1.5</w:t>
            </w:r>
          </w:p>
        </w:tc>
        <w:tc>
          <w:tcPr>
            <w:tcW w:w="120" w:type="dxa"/>
            <w:vAlign w:val="bottom"/>
            <w:tcBorders>
              <w:right w:val="single" w:sz="8" w:color="auto"/>
            </w:tcBorders>
          </w:tcPr>
          <w:p>
            <w:pPr>
              <w:spacing w:after="0"/>
              <w:rPr>
                <w:sz w:val="23"/>
                <w:szCs w:val="23"/>
                <w:color w:val="auto"/>
              </w:rPr>
            </w:pP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7.5</w:t>
            </w:r>
          </w:p>
        </w:tc>
        <w:tc>
          <w:tcPr>
            <w:tcW w:w="30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20" w:type="dxa"/>
            <w:vAlign w:val="bottom"/>
          </w:tcPr>
          <w:p>
            <w:pPr>
              <w:ind w:left="240"/>
              <w:spacing w:after="0"/>
              <w:rPr>
                <w:sz w:val="20"/>
                <w:szCs w:val="20"/>
                <w:color w:val="auto"/>
              </w:rPr>
            </w:pPr>
            <w:r>
              <w:rPr>
                <w:rFonts w:ascii="Arial" w:cs="Arial" w:eastAsia="Arial" w:hAnsi="Arial"/>
                <w:sz w:val="18"/>
                <w:szCs w:val="18"/>
                <w:color w:val="auto"/>
              </w:rPr>
              <w:t>Synthroid</w:t>
            </w:r>
          </w:p>
        </w:tc>
        <w:tc>
          <w:tcPr>
            <w:tcW w:w="58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192</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192</w:t>
            </w:r>
          </w:p>
        </w:tc>
        <w:tc>
          <w:tcPr>
            <w:tcW w:w="2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740" w:type="dxa"/>
            <w:vAlign w:val="bottom"/>
            <w:gridSpan w:val="3"/>
          </w:tcPr>
          <w:p>
            <w:pPr>
              <w:jc w:val="center"/>
              <w:ind w:left="310"/>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3"/>
                <w:szCs w:val="23"/>
                <w:color w:val="auto"/>
              </w:rPr>
            </w:pPr>
          </w:p>
        </w:tc>
        <w:tc>
          <w:tcPr>
            <w:tcW w:w="9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95"/>
              </w:rPr>
              <w:t>n/a</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0.7</w:t>
            </w:r>
          </w:p>
        </w:tc>
        <w:tc>
          <w:tcPr>
            <w:tcW w:w="30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20" w:type="dxa"/>
            <w:vAlign w:val="bottom"/>
          </w:tcPr>
          <w:p>
            <w:pPr>
              <w:ind w:left="240"/>
              <w:spacing w:after="0"/>
              <w:rPr>
                <w:sz w:val="20"/>
                <w:szCs w:val="20"/>
                <w:color w:val="auto"/>
              </w:rPr>
            </w:pPr>
            <w:r>
              <w:rPr>
                <w:rFonts w:ascii="Arial" w:cs="Arial" w:eastAsia="Arial" w:hAnsi="Arial"/>
                <w:sz w:val="18"/>
                <w:szCs w:val="18"/>
                <w:color w:val="auto"/>
              </w:rPr>
              <w:t>Synagis</w:t>
            </w:r>
          </w:p>
        </w:tc>
        <w:tc>
          <w:tcPr>
            <w:tcW w:w="220" w:type="dxa"/>
            <w:vAlign w:val="bottom"/>
          </w:tcPr>
          <w:p>
            <w:pPr>
              <w:spacing w:after="0"/>
              <w:rPr>
                <w:sz w:val="23"/>
                <w:szCs w:val="23"/>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97</w:t>
            </w:r>
          </w:p>
        </w:tc>
        <w:tc>
          <w:tcPr>
            <w:tcW w:w="280" w:type="dxa"/>
            <w:vAlign w:val="bottom"/>
          </w:tcPr>
          <w:p>
            <w:pPr>
              <w:spacing w:after="0"/>
              <w:rPr>
                <w:sz w:val="23"/>
                <w:szCs w:val="23"/>
                <w:color w:val="auto"/>
              </w:rPr>
            </w:pPr>
          </w:p>
        </w:tc>
        <w:tc>
          <w:tcPr>
            <w:tcW w:w="66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97</w:t>
            </w:r>
          </w:p>
        </w:tc>
        <w:tc>
          <w:tcPr>
            <w:tcW w:w="2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97"/>
              </w:rPr>
              <w:t>(14.1)</w:t>
            </w:r>
          </w:p>
        </w:tc>
        <w:tc>
          <w:tcPr>
            <w:tcW w:w="180" w:type="dxa"/>
            <w:vAlign w:val="bottom"/>
          </w:tcPr>
          <w:p>
            <w:pPr>
              <w:spacing w:after="0"/>
              <w:rPr>
                <w:sz w:val="23"/>
                <w:szCs w:val="23"/>
                <w:color w:val="auto"/>
              </w:rPr>
            </w:pP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rPr>
              <w:t>(16.2)</w:t>
            </w:r>
          </w:p>
        </w:tc>
        <w:tc>
          <w:tcPr>
            <w:tcW w:w="120" w:type="dxa"/>
            <w:vAlign w:val="bottom"/>
            <w:tcBorders>
              <w:right w:val="single" w:sz="8" w:color="auto"/>
            </w:tcBorders>
          </w:tcPr>
          <w:p>
            <w:pPr>
              <w:spacing w:after="0"/>
              <w:rPr>
                <w:sz w:val="23"/>
                <w:szCs w:val="23"/>
                <w:color w:val="auto"/>
              </w:rPr>
            </w:pP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7"/>
              </w:rPr>
              <w:t>(16.2)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20" w:type="dxa"/>
            <w:vAlign w:val="bottom"/>
          </w:tcPr>
          <w:p>
            <w:pPr>
              <w:ind w:left="240"/>
              <w:spacing w:after="0"/>
              <w:rPr>
                <w:sz w:val="20"/>
                <w:szCs w:val="20"/>
                <w:color w:val="auto"/>
              </w:rPr>
            </w:pPr>
            <w:r>
              <w:rPr>
                <w:rFonts w:ascii="Arial" w:cs="Arial" w:eastAsia="Arial" w:hAnsi="Arial"/>
                <w:sz w:val="18"/>
                <w:szCs w:val="18"/>
                <w:color w:val="auto"/>
              </w:rPr>
              <w:t>AndroGel</w:t>
            </w:r>
          </w:p>
        </w:tc>
        <w:tc>
          <w:tcPr>
            <w:tcW w:w="58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135</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135</w:t>
            </w:r>
          </w:p>
        </w:tc>
        <w:tc>
          <w:tcPr>
            <w:tcW w:w="2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3"/>
                <w:szCs w:val="2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3"/>
                <w:szCs w:val="23"/>
                <w:color w:val="auto"/>
              </w:rPr>
            </w:pPr>
          </w:p>
        </w:tc>
        <w:tc>
          <w:tcPr>
            <w:tcW w:w="9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95"/>
              </w:rPr>
              <w:t>n/a</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7"/>
              </w:rPr>
              <w:t>(8.3)</w:t>
            </w:r>
          </w:p>
        </w:tc>
        <w:tc>
          <w:tcPr>
            <w:tcW w:w="30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20" w:type="dxa"/>
            <w:vAlign w:val="bottom"/>
          </w:tcPr>
          <w:p>
            <w:pPr>
              <w:ind w:left="240"/>
              <w:spacing w:after="0"/>
              <w:rPr>
                <w:sz w:val="20"/>
                <w:szCs w:val="20"/>
                <w:color w:val="auto"/>
              </w:rPr>
            </w:pPr>
            <w:r>
              <w:rPr>
                <w:rFonts w:ascii="Arial" w:cs="Arial" w:eastAsia="Arial" w:hAnsi="Arial"/>
                <w:sz w:val="18"/>
                <w:szCs w:val="18"/>
                <w:color w:val="auto"/>
              </w:rPr>
              <w:t>Duodopa</w:t>
            </w:r>
          </w:p>
        </w:tc>
        <w:tc>
          <w:tcPr>
            <w:tcW w:w="5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19</w:t>
            </w:r>
          </w:p>
        </w:tc>
        <w:tc>
          <w:tcPr>
            <w:tcW w:w="280" w:type="dxa"/>
            <w:vAlign w:val="bottom"/>
          </w:tcPr>
          <w:p>
            <w:pPr>
              <w:spacing w:after="0"/>
              <w:rPr>
                <w:sz w:val="23"/>
                <w:szCs w:val="23"/>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87</w:t>
            </w:r>
          </w:p>
        </w:tc>
        <w:tc>
          <w:tcPr>
            <w:tcW w:w="280" w:type="dxa"/>
            <w:vAlign w:val="bottom"/>
          </w:tcPr>
          <w:p>
            <w:pPr>
              <w:spacing w:after="0"/>
              <w:rPr>
                <w:sz w:val="23"/>
                <w:szCs w:val="23"/>
                <w:color w:val="auto"/>
              </w:rPr>
            </w:pPr>
          </w:p>
        </w:tc>
        <w:tc>
          <w:tcPr>
            <w:tcW w:w="6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106</w:t>
            </w:r>
          </w:p>
        </w:tc>
        <w:tc>
          <w:tcPr>
            <w:tcW w:w="2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color w:val="auto"/>
                <w:w w:val="96"/>
              </w:rPr>
              <w:t>18.7</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12.2</w:t>
            </w:r>
          </w:p>
        </w:tc>
        <w:tc>
          <w:tcPr>
            <w:tcW w:w="180" w:type="dxa"/>
            <w:vAlign w:val="bottom"/>
          </w:tcPr>
          <w:p>
            <w:pPr>
              <w:spacing w:after="0"/>
              <w:rPr>
                <w:sz w:val="23"/>
                <w:szCs w:val="23"/>
                <w:color w:val="auto"/>
              </w:rPr>
            </w:pP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rPr>
              <w:t>10.8</w:t>
            </w:r>
          </w:p>
        </w:tc>
        <w:tc>
          <w:tcPr>
            <w:tcW w:w="120" w:type="dxa"/>
            <w:vAlign w:val="bottom"/>
            <w:tcBorders>
              <w:right w:val="single" w:sz="8" w:color="auto"/>
            </w:tcBorders>
          </w:tcPr>
          <w:p>
            <w:pPr>
              <w:spacing w:after="0"/>
              <w:rPr>
                <w:sz w:val="23"/>
                <w:szCs w:val="23"/>
                <w:color w:val="auto"/>
              </w:rPr>
            </w:pP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6"/>
              </w:rPr>
              <w:t>12.1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20" w:type="dxa"/>
            <w:vAlign w:val="bottom"/>
          </w:tcPr>
          <w:p>
            <w:pPr>
              <w:ind w:left="240"/>
              <w:spacing w:after="0"/>
              <w:rPr>
                <w:sz w:val="20"/>
                <w:szCs w:val="20"/>
                <w:color w:val="auto"/>
              </w:rPr>
            </w:pPr>
            <w:r>
              <w:rPr>
                <w:rFonts w:ascii="Arial" w:cs="Arial" w:eastAsia="Arial" w:hAnsi="Arial"/>
                <w:sz w:val="18"/>
                <w:szCs w:val="18"/>
                <w:color w:val="auto"/>
              </w:rPr>
              <w:t>Sevoflurane</w:t>
            </w:r>
          </w:p>
        </w:tc>
        <w:tc>
          <w:tcPr>
            <w:tcW w:w="5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18</w:t>
            </w:r>
          </w:p>
        </w:tc>
        <w:tc>
          <w:tcPr>
            <w:tcW w:w="280" w:type="dxa"/>
            <w:vAlign w:val="bottom"/>
          </w:tcPr>
          <w:p>
            <w:pPr>
              <w:spacing w:after="0"/>
              <w:rPr>
                <w:sz w:val="23"/>
                <w:szCs w:val="23"/>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68</w:t>
            </w:r>
          </w:p>
        </w:tc>
        <w:tc>
          <w:tcPr>
            <w:tcW w:w="280" w:type="dxa"/>
            <w:vAlign w:val="bottom"/>
          </w:tcPr>
          <w:p>
            <w:pPr>
              <w:spacing w:after="0"/>
              <w:rPr>
                <w:sz w:val="23"/>
                <w:szCs w:val="23"/>
                <w:color w:val="auto"/>
              </w:rPr>
            </w:pPr>
          </w:p>
        </w:tc>
        <w:tc>
          <w:tcPr>
            <w:tcW w:w="66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86</w:t>
            </w:r>
          </w:p>
        </w:tc>
        <w:tc>
          <w:tcPr>
            <w:tcW w:w="2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color w:val="auto"/>
              </w:rPr>
              <w:t>(2.8)</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97"/>
              </w:rPr>
              <w:t>(12.2)</w:t>
            </w:r>
          </w:p>
        </w:tc>
        <w:tc>
          <w:tcPr>
            <w:tcW w:w="180" w:type="dxa"/>
            <w:vAlign w:val="bottom"/>
          </w:tcPr>
          <w:p>
            <w:pPr>
              <w:spacing w:after="0"/>
              <w:rPr>
                <w:sz w:val="23"/>
                <w:szCs w:val="23"/>
                <w:color w:val="auto"/>
              </w:rPr>
            </w:pP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rPr>
              <w:t>(15.7)</w:t>
            </w:r>
          </w:p>
        </w:tc>
        <w:tc>
          <w:tcPr>
            <w:tcW w:w="120" w:type="dxa"/>
            <w:vAlign w:val="bottom"/>
            <w:tcBorders>
              <w:right w:val="single" w:sz="8" w:color="auto"/>
            </w:tcBorders>
          </w:tcPr>
          <w:p>
            <w:pPr>
              <w:spacing w:after="0"/>
              <w:rPr>
                <w:sz w:val="23"/>
                <w:szCs w:val="23"/>
                <w:color w:val="auto"/>
              </w:rPr>
            </w:pP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7"/>
              </w:rPr>
              <w:t>(13.2)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820" w:type="dxa"/>
            <w:vAlign w:val="bottom"/>
          </w:tcPr>
          <w:p>
            <w:pPr>
              <w:ind w:left="240"/>
              <w:spacing w:after="0"/>
              <w:rPr>
                <w:sz w:val="20"/>
                <w:szCs w:val="20"/>
                <w:color w:val="auto"/>
              </w:rPr>
            </w:pPr>
            <w:r>
              <w:rPr>
                <w:rFonts w:ascii="Arial" w:cs="Arial" w:eastAsia="Arial" w:hAnsi="Arial"/>
                <w:sz w:val="18"/>
                <w:szCs w:val="18"/>
                <w:color w:val="auto"/>
              </w:rPr>
              <w:t>Kaletra</w:t>
            </w:r>
          </w:p>
        </w:tc>
        <w:tc>
          <w:tcPr>
            <w:tcW w:w="5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16</w:t>
            </w:r>
          </w:p>
        </w:tc>
        <w:tc>
          <w:tcPr>
            <w:tcW w:w="280" w:type="dxa"/>
            <w:vAlign w:val="bottom"/>
          </w:tcPr>
          <w:p>
            <w:pPr>
              <w:spacing w:after="0"/>
              <w:rPr>
                <w:sz w:val="24"/>
                <w:szCs w:val="24"/>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72</w:t>
            </w:r>
          </w:p>
        </w:tc>
        <w:tc>
          <w:tcPr>
            <w:tcW w:w="280" w:type="dxa"/>
            <w:vAlign w:val="bottom"/>
          </w:tcPr>
          <w:p>
            <w:pPr>
              <w:spacing w:after="0"/>
              <w:rPr>
                <w:sz w:val="24"/>
                <w:szCs w:val="24"/>
                <w:color w:val="auto"/>
              </w:rPr>
            </w:pPr>
          </w:p>
        </w:tc>
        <w:tc>
          <w:tcPr>
            <w:tcW w:w="66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88</w:t>
            </w:r>
          </w:p>
        </w:tc>
        <w:tc>
          <w:tcPr>
            <w:tcW w:w="2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color w:val="auto"/>
              </w:rPr>
              <w:t>(2.9)</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4"/>
                <w:szCs w:val="24"/>
                <w:color w:val="auto"/>
              </w:rPr>
            </w:pPr>
          </w:p>
        </w:tc>
        <w:tc>
          <w:tcPr>
            <w:tcW w:w="96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5.3</w:t>
            </w:r>
          </w:p>
        </w:tc>
        <w:tc>
          <w:tcPr>
            <w:tcW w:w="120" w:type="dxa"/>
            <w:vAlign w:val="bottom"/>
            <w:tcBorders>
              <w:right w:val="single" w:sz="8" w:color="auto"/>
            </w:tcBorders>
          </w:tcPr>
          <w:p>
            <w:pPr>
              <w:spacing w:after="0"/>
              <w:rPr>
                <w:sz w:val="24"/>
                <w:szCs w:val="24"/>
                <w:color w:val="auto"/>
              </w:rPr>
            </w:pP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6.0</w:t>
            </w:r>
          </w:p>
        </w:tc>
        <w:tc>
          <w:tcPr>
            <w:tcW w:w="30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Note: “Operational” growth reflects the percentage change over the prior year excluding the impact of exchange rate fluctuations.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ind w:left="120" w:right="180" w:hanging="112"/>
        <w:spacing w:after="0" w:line="262" w:lineRule="auto"/>
        <w:tabs>
          <w:tab w:leader="none" w:pos="120" w:val="left"/>
        </w:tabs>
        <w:numPr>
          <w:ilvl w:val="0"/>
          <w:numId w:val="9"/>
        </w:numPr>
        <w:rPr>
          <w:rFonts w:ascii="Arial" w:cs="Arial" w:eastAsia="Arial" w:hAnsi="Arial"/>
          <w:sz w:val="15"/>
          <w:szCs w:val="15"/>
          <w:color w:val="auto"/>
        </w:rPr>
      </w:pPr>
      <w:r>
        <w:rPr>
          <w:rFonts w:ascii="Arial" w:cs="Arial" w:eastAsia="Arial" w:hAnsi="Arial"/>
          <w:sz w:val="18"/>
          <w:szCs w:val="18"/>
          <w:color w:val="auto"/>
        </w:rPr>
        <w:t>Adjusted net revenues exclude specified items. Refer to the Reconciliation of GAAP Reported to Non-GAAP Adjusted Information for further details. Percentage change is calculated using adjusted net revenues.</w:t>
      </w:r>
    </w:p>
    <w:p>
      <w:pPr>
        <w:spacing w:after="0" w:line="88"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5"/>
          <w:szCs w:val="15"/>
          <w:color w:val="auto"/>
        </w:rPr>
      </w:pPr>
      <w:r>
        <w:rPr>
          <w:rFonts w:ascii="Arial" w:cs="Arial" w:eastAsia="Arial" w:hAnsi="Arial"/>
          <w:sz w:val="18"/>
          <w:szCs w:val="18"/>
          <w:color w:val="auto"/>
        </w:rPr>
        <w:t>Reflects profit sharing for Imbruvica international revenues.</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AbbVie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Key Product Revenues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Nine Months Ended September 30, 2018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2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8"/>
                <w:szCs w:val="18"/>
                <w:b w:val="1"/>
                <w:bCs w:val="1"/>
                <w:color w:val="auto"/>
              </w:rPr>
              <w:t>% Change vs. 9M17</w:t>
            </w: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6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8"/>
                <w:szCs w:val="18"/>
                <w:b w:val="1"/>
                <w:bCs w:val="1"/>
                <w:color w:val="auto"/>
              </w:rPr>
              <w:t>Net Revenues (in millions)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5"/>
          </w:tcPr>
          <w:p>
            <w:pPr>
              <w:ind w:left="540"/>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96"/>
              </w:rPr>
              <w:t>U.S.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rPr>
              <w:t>Int’l.</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U.S.</w:t>
            </w:r>
          </w:p>
        </w:tc>
        <w:tc>
          <w:tcPr>
            <w:tcW w:w="13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9"/>
              </w:rPr>
              <w:t>Operational</w:t>
            </w: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Reported</w:t>
            </w: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Operational</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Reported</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600" w:type="dxa"/>
            <w:vAlign w:val="bottom"/>
            <w:vMerge w:val="restart"/>
          </w:tcPr>
          <w:p>
            <w:pPr>
              <w:spacing w:after="0"/>
              <w:rPr>
                <w:sz w:val="20"/>
                <w:szCs w:val="20"/>
                <w:color w:val="auto"/>
              </w:rPr>
            </w:pPr>
            <w:r>
              <w:rPr>
                <w:rFonts w:ascii="Arial" w:cs="Arial" w:eastAsia="Arial" w:hAnsi="Arial"/>
                <w:sz w:val="18"/>
                <w:szCs w:val="18"/>
                <w:b w:val="1"/>
                <w:bCs w:val="1"/>
                <w:color w:val="auto"/>
              </w:rPr>
              <w:t>ADJUSTED NET REVENUES</w:t>
            </w:r>
            <w:r>
              <w:rPr>
                <w:rFonts w:ascii="Arial" w:cs="Arial" w:eastAsia="Arial" w:hAnsi="Arial"/>
                <w:sz w:val="15"/>
                <w:szCs w:val="15"/>
                <w:color w:val="auto"/>
              </w:rPr>
              <w:t>a</w:t>
            </w:r>
          </w:p>
        </w:tc>
        <w:tc>
          <w:tcPr>
            <w:tcW w:w="980" w:type="dxa"/>
            <w:vAlign w:val="bottom"/>
            <w:gridSpan w:val="3"/>
            <w:vMerge w:val="restart"/>
          </w:tcPr>
          <w:p>
            <w:pPr>
              <w:jc w:val="center"/>
              <w:ind w:right="60"/>
              <w:spacing w:after="0"/>
              <w:rPr>
                <w:sz w:val="20"/>
                <w:szCs w:val="20"/>
                <w:color w:val="auto"/>
              </w:rPr>
            </w:pPr>
            <w:r>
              <w:rPr>
                <w:rFonts w:ascii="Arial" w:cs="Arial" w:eastAsia="Arial" w:hAnsi="Arial"/>
                <w:sz w:val="18"/>
                <w:szCs w:val="18"/>
                <w:b w:val="1"/>
                <w:bCs w:val="1"/>
                <w:color w:val="auto"/>
                <w:w w:val="98"/>
              </w:rPr>
              <w:t>$15,836</w:t>
            </w:r>
          </w:p>
        </w:tc>
        <w:tc>
          <w:tcPr>
            <w:tcW w:w="9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8"/>
              </w:rPr>
              <w:t>$8,592</w:t>
            </w:r>
          </w:p>
        </w:tc>
        <w:tc>
          <w:tcPr>
            <w:tcW w:w="9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$24,428</w:t>
            </w:r>
          </w:p>
        </w:tc>
        <w:tc>
          <w:tcPr>
            <w:tcW w:w="20" w:type="dxa"/>
            <w:vAlign w:val="bottom"/>
          </w:tcPr>
          <w:p>
            <w:pPr>
              <w:spacing w:after="0"/>
              <w:rPr>
                <w:sz w:val="2"/>
                <w:szCs w:val="2"/>
                <w:color w:val="auto"/>
              </w:rPr>
            </w:pPr>
          </w:p>
        </w:tc>
        <w:tc>
          <w:tcPr>
            <w:tcW w:w="110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97"/>
              </w:rPr>
              <w:t>19.2%</w:t>
            </w:r>
          </w:p>
        </w:tc>
        <w:tc>
          <w:tcPr>
            <w:tcW w:w="1120" w:type="dxa"/>
            <w:vAlign w:val="bottom"/>
            <w:gridSpan w:val="2"/>
            <w:vMerge w:val="restart"/>
          </w:tcPr>
          <w:p>
            <w:pPr>
              <w:jc w:val="center"/>
              <w:ind w:left="50"/>
              <w:spacing w:after="0"/>
              <w:rPr>
                <w:sz w:val="20"/>
                <w:szCs w:val="20"/>
                <w:color w:val="auto"/>
              </w:rPr>
            </w:pPr>
            <w:r>
              <w:rPr>
                <w:rFonts w:ascii="Arial" w:cs="Arial" w:eastAsia="Arial" w:hAnsi="Arial"/>
                <w:sz w:val="18"/>
                <w:szCs w:val="18"/>
                <w:b w:val="1"/>
                <w:bCs w:val="1"/>
                <w:color w:val="auto"/>
                <w:w w:val="97"/>
              </w:rPr>
              <w:t>15.1%</w:t>
            </w:r>
          </w:p>
        </w:tc>
        <w:tc>
          <w:tcPr>
            <w:tcW w:w="180" w:type="dxa"/>
            <w:vAlign w:val="bottom"/>
          </w:tcPr>
          <w:p>
            <w:pPr>
              <w:spacing w:after="0"/>
              <w:rPr>
                <w:sz w:val="2"/>
                <w:szCs w:val="2"/>
                <w:color w:val="auto"/>
              </w:rPr>
            </w:pPr>
          </w:p>
        </w:tc>
        <w:tc>
          <w:tcPr>
            <w:tcW w:w="960" w:type="dxa"/>
            <w:vAlign w:val="bottom"/>
            <w:gridSpan w:val="2"/>
            <w:vMerge w:val="restart"/>
          </w:tcPr>
          <w:p>
            <w:pPr>
              <w:jc w:val="center"/>
              <w:ind w:left="90"/>
              <w:spacing w:after="0"/>
              <w:rPr>
                <w:sz w:val="20"/>
                <w:szCs w:val="20"/>
                <w:color w:val="auto"/>
              </w:rPr>
            </w:pPr>
            <w:r>
              <w:rPr>
                <w:rFonts w:ascii="Arial" w:cs="Arial" w:eastAsia="Arial" w:hAnsi="Arial"/>
                <w:sz w:val="18"/>
                <w:szCs w:val="18"/>
                <w:b w:val="1"/>
                <w:bCs w:val="1"/>
                <w:color w:val="auto"/>
                <w:w w:val="97"/>
              </w:rPr>
              <w:t>19.5%</w:t>
            </w:r>
          </w:p>
        </w:tc>
        <w:tc>
          <w:tcPr>
            <w:tcW w:w="140" w:type="dxa"/>
            <w:vAlign w:val="bottom"/>
          </w:tcPr>
          <w:p>
            <w:pPr>
              <w:spacing w:after="0"/>
              <w:rPr>
                <w:sz w:val="2"/>
                <w:szCs w:val="2"/>
                <w:color w:val="auto"/>
              </w:rPr>
            </w:pPr>
          </w:p>
        </w:tc>
        <w:tc>
          <w:tcPr>
            <w:tcW w:w="1100" w:type="dxa"/>
            <w:vAlign w:val="bottom"/>
            <w:gridSpan w:val="2"/>
            <w:vMerge w:val="restart"/>
          </w:tcPr>
          <w:p>
            <w:pPr>
              <w:jc w:val="center"/>
              <w:ind w:left="30"/>
              <w:spacing w:after="0"/>
              <w:rPr>
                <w:sz w:val="20"/>
                <w:szCs w:val="20"/>
                <w:color w:val="auto"/>
              </w:rPr>
            </w:pPr>
            <w:r>
              <w:rPr>
                <w:rFonts w:ascii="Arial" w:cs="Arial" w:eastAsia="Arial" w:hAnsi="Arial"/>
                <w:sz w:val="18"/>
                <w:szCs w:val="18"/>
                <w:b w:val="1"/>
                <w:bCs w:val="1"/>
                <w:color w:val="auto"/>
                <w:w w:val="97"/>
              </w:rPr>
              <w:t>17.8%</w:t>
            </w:r>
          </w:p>
        </w:tc>
        <w:tc>
          <w:tcPr>
            <w:tcW w:w="360" w:type="dxa"/>
            <w:vAlign w:val="bottom"/>
          </w:tcPr>
          <w:p>
            <w:pPr>
              <w:spacing w:after="0"/>
              <w:rPr>
                <w:sz w:val="2"/>
                <w:szCs w:val="2"/>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19.3%</w:t>
            </w: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600" w:type="dxa"/>
            <w:vAlign w:val="bottom"/>
            <w:vMerge w:val="continue"/>
          </w:tcPr>
          <w:p>
            <w:pPr>
              <w:spacing w:after="0"/>
              <w:rPr>
                <w:sz w:val="22"/>
                <w:szCs w:val="22"/>
                <w:color w:val="auto"/>
              </w:rPr>
            </w:pPr>
          </w:p>
        </w:tc>
        <w:tc>
          <w:tcPr>
            <w:tcW w:w="980" w:type="dxa"/>
            <w:vAlign w:val="bottom"/>
            <w:gridSpan w:val="3"/>
            <w:vMerge w:val="continue"/>
          </w:tcPr>
          <w:p>
            <w:pPr>
              <w:spacing w:after="0"/>
              <w:rPr>
                <w:sz w:val="22"/>
                <w:szCs w:val="22"/>
                <w:color w:val="auto"/>
              </w:rPr>
            </w:pPr>
          </w:p>
        </w:tc>
        <w:tc>
          <w:tcPr>
            <w:tcW w:w="940" w:type="dxa"/>
            <w:vAlign w:val="bottom"/>
            <w:gridSpan w:val="3"/>
            <w:vMerge w:val="continue"/>
          </w:tcPr>
          <w:p>
            <w:pPr>
              <w:spacing w:after="0"/>
              <w:rPr>
                <w:sz w:val="22"/>
                <w:szCs w:val="22"/>
                <w:color w:val="auto"/>
              </w:rPr>
            </w:pPr>
          </w:p>
        </w:tc>
        <w:tc>
          <w:tcPr>
            <w:tcW w:w="980" w:type="dxa"/>
            <w:vAlign w:val="bottom"/>
            <w:gridSpan w:val="3"/>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100" w:type="dxa"/>
            <w:vAlign w:val="bottom"/>
            <w:gridSpan w:val="4"/>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b w:val="1"/>
                <w:bCs w:val="1"/>
                <w:color w:val="auto"/>
              </w:rPr>
              <w:t>Immunology</w:t>
            </w:r>
          </w:p>
        </w:tc>
        <w:tc>
          <w:tcPr>
            <w:tcW w:w="9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10,070</w:t>
            </w: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rPr>
              <w:t>4,948</w:t>
            </w:r>
          </w:p>
        </w:tc>
        <w:tc>
          <w:tcPr>
            <w:tcW w:w="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15,018</w:t>
            </w: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6"/>
              </w:rPr>
              <w:t>11.3</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rPr>
              <w:t>5.9</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6"/>
              </w:rPr>
              <w:t>10.3</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rPr>
              <w:t>9.5</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6"/>
              </w:rPr>
              <w:t>11.0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240"/>
              <w:spacing w:after="0"/>
              <w:rPr>
                <w:sz w:val="20"/>
                <w:szCs w:val="20"/>
                <w:color w:val="auto"/>
              </w:rPr>
            </w:pPr>
            <w:r>
              <w:rPr>
                <w:rFonts w:ascii="Arial" w:cs="Arial" w:eastAsia="Arial" w:hAnsi="Arial"/>
                <w:sz w:val="18"/>
                <w:szCs w:val="18"/>
                <w:color w:val="auto"/>
              </w:rPr>
              <w:t>Humira</w:t>
            </w:r>
          </w:p>
        </w:tc>
        <w:tc>
          <w:tcPr>
            <w:tcW w:w="980" w:type="dxa"/>
            <w:vAlign w:val="bottom"/>
            <w:gridSpan w:val="3"/>
          </w:tcPr>
          <w:p>
            <w:pPr>
              <w:jc w:val="center"/>
              <w:ind w:right="60"/>
              <w:spacing w:after="0"/>
              <w:rPr>
                <w:sz w:val="20"/>
                <w:szCs w:val="20"/>
                <w:color w:val="auto"/>
              </w:rPr>
            </w:pPr>
            <w:r>
              <w:rPr>
                <w:rFonts w:ascii="Arial" w:cs="Arial" w:eastAsia="Arial" w:hAnsi="Arial"/>
                <w:sz w:val="18"/>
                <w:szCs w:val="18"/>
                <w:color w:val="auto"/>
              </w:rPr>
              <w:t>10,070</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rPr>
              <w:t>4,948</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98"/>
              </w:rPr>
              <w:t>15,018</w:t>
            </w: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w w:val="96"/>
              </w:rPr>
              <w:t>11.3</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w w:val="96"/>
              </w:rPr>
              <w:t>10.3</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11.0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8"/>
                <w:szCs w:val="18"/>
                <w:b w:val="1"/>
                <w:bCs w:val="1"/>
                <w:color w:val="auto"/>
              </w:rPr>
              <w:t>Hematologic Oncology</w:t>
            </w:r>
          </w:p>
        </w:tc>
        <w:tc>
          <w:tcPr>
            <w:tcW w:w="9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7"/>
              </w:rPr>
              <w:t>2,286</w:t>
            </w:r>
          </w:p>
        </w:tc>
        <w:tc>
          <w:tcPr>
            <w:tcW w:w="66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9"/>
              </w:rPr>
              <w:t>518</w:t>
            </w:r>
          </w:p>
        </w:tc>
        <w:tc>
          <w:tcPr>
            <w:tcW w:w="28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b w:val="1"/>
                <w:bCs w:val="1"/>
                <w:color w:val="auto"/>
              </w:rPr>
              <w:t>2,804</w:t>
            </w:r>
          </w:p>
        </w:tc>
        <w:tc>
          <w:tcPr>
            <w:tcW w:w="20" w:type="dxa"/>
            <w:vAlign w:val="bottom"/>
            <w:shd w:val="clear" w:color="auto" w:fill="000000"/>
          </w:tcPr>
          <w:p>
            <w:pPr>
              <w:spacing w:after="0"/>
              <w:rPr>
                <w:sz w:val="24"/>
                <w:szCs w:val="24"/>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6"/>
              </w:rPr>
              <w:t>41.2</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6"/>
              </w:rPr>
              <w:t>58.6</w:t>
            </w:r>
          </w:p>
        </w:tc>
        <w:tc>
          <w:tcPr>
            <w:tcW w:w="180" w:type="dxa"/>
            <w:vAlign w:val="bottom"/>
          </w:tcPr>
          <w:p>
            <w:pPr>
              <w:spacing w:after="0"/>
              <w:rPr>
                <w:sz w:val="24"/>
                <w:szCs w:val="24"/>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6"/>
              </w:rPr>
              <w:t>59.4</w:t>
            </w:r>
          </w:p>
        </w:tc>
        <w:tc>
          <w:tcPr>
            <w:tcW w:w="140" w:type="dxa"/>
            <w:vAlign w:val="bottom"/>
            <w:tcBorders>
              <w:right w:val="single" w:sz="8" w:color="auto"/>
            </w:tcBorders>
          </w:tcPr>
          <w:p>
            <w:pPr>
              <w:spacing w:after="0"/>
              <w:rPr>
                <w:sz w:val="24"/>
                <w:szCs w:val="24"/>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6"/>
              </w:rPr>
              <w:t>44.2</w:t>
            </w:r>
          </w:p>
        </w:tc>
        <w:tc>
          <w:tcPr>
            <w:tcW w:w="3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6"/>
              </w:rPr>
              <w:t>44.3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240"/>
              <w:spacing w:after="0"/>
              <w:rPr>
                <w:sz w:val="20"/>
                <w:szCs w:val="20"/>
                <w:color w:val="auto"/>
              </w:rPr>
            </w:pPr>
            <w:r>
              <w:rPr>
                <w:rFonts w:ascii="Arial" w:cs="Arial" w:eastAsia="Arial" w:hAnsi="Arial"/>
                <w:sz w:val="18"/>
                <w:szCs w:val="18"/>
                <w:color w:val="auto"/>
              </w:rPr>
              <w:t>Imbruvica</w:t>
            </w:r>
            <w:r>
              <w:rPr>
                <w:rFonts w:ascii="Arial" w:cs="Arial" w:eastAsia="Arial" w:hAnsi="Arial"/>
                <w:sz w:val="15"/>
                <w:szCs w:val="15"/>
                <w:color w:val="auto"/>
              </w:rPr>
              <w:t>b</w:t>
            </w:r>
          </w:p>
        </w:tc>
        <w:tc>
          <w:tcPr>
            <w:tcW w:w="980" w:type="dxa"/>
            <w:vAlign w:val="bottom"/>
            <w:gridSpan w:val="3"/>
          </w:tcPr>
          <w:p>
            <w:pPr>
              <w:jc w:val="center"/>
              <w:ind w:right="60"/>
              <w:spacing w:after="0"/>
              <w:rPr>
                <w:sz w:val="20"/>
                <w:szCs w:val="20"/>
                <w:color w:val="auto"/>
              </w:rPr>
            </w:pPr>
            <w:r>
              <w:rPr>
                <w:rFonts w:ascii="Arial" w:cs="Arial" w:eastAsia="Arial" w:hAnsi="Arial"/>
                <w:sz w:val="18"/>
                <w:szCs w:val="18"/>
                <w:color w:val="auto"/>
                <w:w w:val="97"/>
              </w:rPr>
              <w:t>2,129</w:t>
            </w:r>
          </w:p>
        </w:tc>
        <w:tc>
          <w:tcPr>
            <w:tcW w:w="66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455</w:t>
            </w:r>
          </w:p>
        </w:tc>
        <w:tc>
          <w:tcPr>
            <w:tcW w:w="280" w:type="dxa"/>
            <w:vAlign w:val="bottom"/>
          </w:tcPr>
          <w:p>
            <w:pPr>
              <w:spacing w:after="0"/>
              <w:rPr>
                <w:sz w:val="23"/>
                <w:szCs w:val="23"/>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2,584</w:t>
            </w: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w w:val="96"/>
              </w:rPr>
              <w:t>36.6</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48.5</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w w:val="96"/>
              </w:rPr>
              <w:t>48.5</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38.5</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38.5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240"/>
              <w:spacing w:after="0"/>
              <w:rPr>
                <w:sz w:val="20"/>
                <w:szCs w:val="20"/>
                <w:color w:val="auto"/>
              </w:rPr>
            </w:pPr>
            <w:r>
              <w:rPr>
                <w:rFonts w:ascii="Arial" w:cs="Arial" w:eastAsia="Arial" w:hAnsi="Arial"/>
                <w:sz w:val="18"/>
                <w:szCs w:val="18"/>
                <w:color w:val="auto"/>
              </w:rPr>
              <w:t>Venclexta</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157</w:t>
            </w:r>
          </w:p>
        </w:tc>
        <w:tc>
          <w:tcPr>
            <w:tcW w:w="340" w:type="dxa"/>
            <w:vAlign w:val="bottom"/>
          </w:tcPr>
          <w:p>
            <w:pPr>
              <w:spacing w:after="0"/>
              <w:rPr>
                <w:sz w:val="23"/>
                <w:szCs w:val="23"/>
                <w:color w:val="auto"/>
              </w:rPr>
            </w:pPr>
          </w:p>
        </w:tc>
        <w:tc>
          <w:tcPr>
            <w:tcW w:w="66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63</w:t>
            </w:r>
          </w:p>
        </w:tc>
        <w:tc>
          <w:tcPr>
            <w:tcW w:w="280" w:type="dxa"/>
            <w:vAlign w:val="bottom"/>
          </w:tcPr>
          <w:p>
            <w:pPr>
              <w:spacing w:after="0"/>
              <w:rPr>
                <w:sz w:val="23"/>
                <w:szCs w:val="23"/>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220</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8"/>
                <w:szCs w:val="18"/>
                <w:color w:val="auto"/>
              </w:rPr>
              <w:t>&gt;100.0</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rPr>
              <w:t>&gt;100.0</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w w:val="97"/>
              </w:rPr>
              <w:t>&gt;100.0</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7"/>
              </w:rPr>
              <w:t>&gt;100.0</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&gt;100.0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8"/>
                <w:szCs w:val="18"/>
                <w:b w:val="1"/>
                <w:bCs w:val="1"/>
                <w:color w:val="auto"/>
              </w:rPr>
              <w:t>HCV</w:t>
            </w:r>
          </w:p>
        </w:tc>
        <w:tc>
          <w:tcPr>
            <w:tcW w:w="9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7"/>
              </w:rPr>
              <w:t>1,209</w:t>
            </w: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rPr>
              <w:t>1,545</w:t>
            </w:r>
          </w:p>
        </w:tc>
        <w:tc>
          <w:tcPr>
            <w:tcW w:w="980" w:type="dxa"/>
            <w:vAlign w:val="bottom"/>
            <w:gridSpan w:val="3"/>
          </w:tcPr>
          <w:p>
            <w:pPr>
              <w:jc w:val="center"/>
              <w:spacing w:after="0"/>
              <w:rPr>
                <w:sz w:val="20"/>
                <w:szCs w:val="20"/>
                <w:color w:val="auto"/>
              </w:rPr>
            </w:pPr>
            <w:r>
              <w:rPr>
                <w:rFonts w:ascii="Arial" w:cs="Arial" w:eastAsia="Arial" w:hAnsi="Arial"/>
                <w:sz w:val="18"/>
                <w:szCs w:val="18"/>
                <w:b w:val="1"/>
                <w:bCs w:val="1"/>
                <w:color w:val="auto"/>
              </w:rPr>
              <w:t>2,754</w:t>
            </w:r>
          </w:p>
        </w:tc>
        <w:tc>
          <w:tcPr>
            <w:tcW w:w="20" w:type="dxa"/>
            <w:vAlign w:val="bottom"/>
            <w:shd w:val="clear" w:color="auto" w:fill="000000"/>
          </w:tcPr>
          <w:p>
            <w:pPr>
              <w:spacing w:after="0"/>
              <w:rPr>
                <w:sz w:val="24"/>
                <w:szCs w:val="24"/>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rPr>
              <w:t>&gt;100.0</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rPr>
              <w:t>&gt;100.0</w:t>
            </w:r>
          </w:p>
        </w:tc>
        <w:tc>
          <w:tcPr>
            <w:tcW w:w="180" w:type="dxa"/>
            <w:vAlign w:val="bottom"/>
          </w:tcPr>
          <w:p>
            <w:pPr>
              <w:spacing w:after="0"/>
              <w:rPr>
                <w:sz w:val="24"/>
                <w:szCs w:val="24"/>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7"/>
              </w:rPr>
              <w:t>&gt;100.0</w:t>
            </w:r>
          </w:p>
        </w:tc>
        <w:tc>
          <w:tcPr>
            <w:tcW w:w="140" w:type="dxa"/>
            <w:vAlign w:val="bottom"/>
            <w:tcBorders>
              <w:right w:val="single" w:sz="8" w:color="auto"/>
            </w:tcBorders>
          </w:tcPr>
          <w:p>
            <w:pPr>
              <w:spacing w:after="0"/>
              <w:rPr>
                <w:sz w:val="24"/>
                <w:szCs w:val="24"/>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7"/>
              </w:rPr>
              <w:t>&gt;100.0</w:t>
            </w:r>
          </w:p>
        </w:tc>
        <w:tc>
          <w:tcPr>
            <w:tcW w:w="3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rPr>
              <w:t>&gt;100.0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240"/>
              <w:spacing w:after="0"/>
              <w:rPr>
                <w:sz w:val="20"/>
                <w:szCs w:val="20"/>
                <w:color w:val="auto"/>
              </w:rPr>
            </w:pPr>
            <w:r>
              <w:rPr>
                <w:rFonts w:ascii="Arial" w:cs="Arial" w:eastAsia="Arial" w:hAnsi="Arial"/>
                <w:sz w:val="18"/>
                <w:szCs w:val="18"/>
                <w:color w:val="auto"/>
              </w:rPr>
              <w:t>Mavyret</w:t>
            </w:r>
          </w:p>
        </w:tc>
        <w:tc>
          <w:tcPr>
            <w:tcW w:w="980" w:type="dxa"/>
            <w:vAlign w:val="bottom"/>
            <w:gridSpan w:val="3"/>
          </w:tcPr>
          <w:p>
            <w:pPr>
              <w:jc w:val="center"/>
              <w:ind w:right="60"/>
              <w:spacing w:after="0"/>
              <w:rPr>
                <w:sz w:val="20"/>
                <w:szCs w:val="20"/>
                <w:color w:val="auto"/>
              </w:rPr>
            </w:pPr>
            <w:r>
              <w:rPr>
                <w:rFonts w:ascii="Arial" w:cs="Arial" w:eastAsia="Arial" w:hAnsi="Arial"/>
                <w:sz w:val="18"/>
                <w:szCs w:val="18"/>
                <w:color w:val="auto"/>
                <w:w w:val="97"/>
              </w:rPr>
              <w:t>1,206</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rPr>
              <w:t>1,413</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2,619</w:t>
            </w: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8"/>
                <w:szCs w:val="18"/>
                <w:color w:val="auto"/>
              </w:rPr>
              <w:t>&gt;100.0</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rPr>
              <w:t>&gt;100.0</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w w:val="97"/>
              </w:rPr>
              <w:t>&gt;100.0</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7"/>
              </w:rPr>
              <w:t>&gt;100.0</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&gt;100.0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240"/>
              <w:spacing w:after="0"/>
              <w:rPr>
                <w:sz w:val="20"/>
                <w:szCs w:val="20"/>
                <w:color w:val="auto"/>
              </w:rPr>
            </w:pPr>
            <w:r>
              <w:rPr>
                <w:rFonts w:ascii="Arial" w:cs="Arial" w:eastAsia="Arial" w:hAnsi="Arial"/>
                <w:sz w:val="18"/>
                <w:szCs w:val="18"/>
                <w:color w:val="auto"/>
              </w:rPr>
              <w:t>Viekira</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w:t>
            </w:r>
          </w:p>
        </w:tc>
        <w:tc>
          <w:tcPr>
            <w:tcW w:w="340" w:type="dxa"/>
            <w:vAlign w:val="bottom"/>
          </w:tcPr>
          <w:p>
            <w:pPr>
              <w:spacing w:after="0"/>
              <w:rPr>
                <w:sz w:val="23"/>
                <w:szCs w:val="23"/>
                <w:color w:val="auto"/>
              </w:rPr>
            </w:pPr>
          </w:p>
        </w:tc>
        <w:tc>
          <w:tcPr>
            <w:tcW w:w="66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132</w:t>
            </w:r>
          </w:p>
        </w:tc>
        <w:tc>
          <w:tcPr>
            <w:tcW w:w="280" w:type="dxa"/>
            <w:vAlign w:val="bottom"/>
          </w:tcPr>
          <w:p>
            <w:pPr>
              <w:spacing w:after="0"/>
              <w:rPr>
                <w:sz w:val="23"/>
                <w:szCs w:val="23"/>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135</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w w:val="97"/>
              </w:rPr>
              <w:t>(96.3)</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97"/>
              </w:rPr>
              <w:t>(78.9)</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w w:val="97"/>
              </w:rPr>
              <w:t>(78.1)</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7"/>
              </w:rPr>
              <w:t>(80.6)</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(79.8)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8"/>
                <w:szCs w:val="18"/>
                <w:b w:val="1"/>
                <w:bCs w:val="1"/>
                <w:color w:val="auto"/>
              </w:rPr>
              <w:t>Other Key Products</w:t>
            </w:r>
          </w:p>
        </w:tc>
        <w:tc>
          <w:tcPr>
            <w:tcW w:w="9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7"/>
              </w:rPr>
              <w:t>2,310</w:t>
            </w: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rPr>
              <w:t>1,309</w:t>
            </w:r>
          </w:p>
        </w:tc>
        <w:tc>
          <w:tcPr>
            <w:tcW w:w="980" w:type="dxa"/>
            <w:vAlign w:val="bottom"/>
            <w:gridSpan w:val="3"/>
          </w:tcPr>
          <w:p>
            <w:pPr>
              <w:jc w:val="center"/>
              <w:spacing w:after="0"/>
              <w:rPr>
                <w:sz w:val="20"/>
                <w:szCs w:val="20"/>
                <w:color w:val="auto"/>
              </w:rPr>
            </w:pPr>
            <w:r>
              <w:rPr>
                <w:rFonts w:ascii="Arial" w:cs="Arial" w:eastAsia="Arial" w:hAnsi="Arial"/>
                <w:sz w:val="18"/>
                <w:szCs w:val="18"/>
                <w:b w:val="1"/>
                <w:bCs w:val="1"/>
                <w:color w:val="auto"/>
              </w:rPr>
              <w:t>3,619</w:t>
            </w:r>
          </w:p>
        </w:tc>
        <w:tc>
          <w:tcPr>
            <w:tcW w:w="20" w:type="dxa"/>
            <w:vAlign w:val="bottom"/>
            <w:shd w:val="clear" w:color="auto" w:fill="000000"/>
          </w:tcPr>
          <w:p>
            <w:pPr>
              <w:spacing w:after="0"/>
              <w:rPr>
                <w:sz w:val="24"/>
                <w:szCs w:val="24"/>
                <w:color w:val="auto"/>
              </w:rPr>
            </w:pPr>
          </w:p>
        </w:tc>
        <w:tc>
          <w:tcPr>
            <w:tcW w:w="72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rPr>
              <w:t>2.7</w:t>
            </w:r>
          </w:p>
        </w:tc>
        <w:tc>
          <w:tcPr>
            <w:tcW w:w="380" w:type="dxa"/>
            <w:vAlign w:val="bottom"/>
          </w:tcPr>
          <w:p>
            <w:pPr>
              <w:spacing w:after="0"/>
              <w:rPr>
                <w:sz w:val="24"/>
                <w:szCs w:val="24"/>
                <w:color w:val="auto"/>
              </w:rPr>
            </w:pPr>
          </w:p>
        </w:tc>
        <w:tc>
          <w:tcPr>
            <w:tcW w:w="112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rPr>
              <w:t>(1.9)</w:t>
            </w:r>
          </w:p>
        </w:tc>
        <w:tc>
          <w:tcPr>
            <w:tcW w:w="180" w:type="dxa"/>
            <w:vAlign w:val="bottom"/>
          </w:tcPr>
          <w:p>
            <w:pPr>
              <w:spacing w:after="0"/>
              <w:rPr>
                <w:sz w:val="24"/>
                <w:szCs w:val="24"/>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rPr>
              <w:t>1.0</w:t>
            </w:r>
          </w:p>
        </w:tc>
        <w:tc>
          <w:tcPr>
            <w:tcW w:w="140" w:type="dxa"/>
            <w:vAlign w:val="bottom"/>
            <w:tcBorders>
              <w:right w:val="single" w:sz="8" w:color="auto"/>
            </w:tcBorders>
          </w:tcPr>
          <w:p>
            <w:pPr>
              <w:spacing w:after="0"/>
              <w:rPr>
                <w:sz w:val="24"/>
                <w:szCs w:val="24"/>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rPr>
              <w:t>1.0</w:t>
            </w:r>
          </w:p>
        </w:tc>
        <w:tc>
          <w:tcPr>
            <w:tcW w:w="3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240"/>
              <w:spacing w:after="0"/>
              <w:rPr>
                <w:sz w:val="20"/>
                <w:szCs w:val="20"/>
                <w:color w:val="auto"/>
              </w:rPr>
            </w:pPr>
            <w:r>
              <w:rPr>
                <w:rFonts w:ascii="Arial" w:cs="Arial" w:eastAsia="Arial" w:hAnsi="Arial"/>
                <w:sz w:val="18"/>
                <w:szCs w:val="18"/>
                <w:color w:val="auto"/>
              </w:rPr>
              <w:t>Creon</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667</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667</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w w:val="96"/>
              </w:rPr>
              <w:t>11.8</w:t>
            </w:r>
          </w:p>
        </w:tc>
        <w:tc>
          <w:tcPr>
            <w:tcW w:w="120" w:type="dxa"/>
            <w:vAlign w:val="bottom"/>
          </w:tcPr>
          <w:p>
            <w:pPr>
              <w:spacing w:after="0"/>
              <w:rPr>
                <w:sz w:val="23"/>
                <w:szCs w:val="2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3"/>
                <w:szCs w:val="23"/>
                <w:color w:val="auto"/>
              </w:rPr>
            </w:pPr>
          </w:p>
        </w:tc>
        <w:tc>
          <w:tcPr>
            <w:tcW w:w="92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11.8</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11.8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240"/>
              <w:spacing w:after="0"/>
              <w:rPr>
                <w:sz w:val="20"/>
                <w:szCs w:val="20"/>
                <w:color w:val="auto"/>
              </w:rPr>
            </w:pPr>
            <w:r>
              <w:rPr>
                <w:rFonts w:ascii="Arial" w:cs="Arial" w:eastAsia="Arial" w:hAnsi="Arial"/>
                <w:sz w:val="18"/>
                <w:szCs w:val="18"/>
                <w:color w:val="auto"/>
              </w:rPr>
              <w:t>Lupron</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530</w:t>
            </w:r>
          </w:p>
        </w:tc>
        <w:tc>
          <w:tcPr>
            <w:tcW w:w="340" w:type="dxa"/>
            <w:vAlign w:val="bottom"/>
          </w:tcPr>
          <w:p>
            <w:pPr>
              <w:spacing w:after="0"/>
              <w:rPr>
                <w:sz w:val="23"/>
                <w:szCs w:val="23"/>
                <w:color w:val="auto"/>
              </w:rPr>
            </w:pPr>
          </w:p>
        </w:tc>
        <w:tc>
          <w:tcPr>
            <w:tcW w:w="66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126</w:t>
            </w:r>
          </w:p>
        </w:tc>
        <w:tc>
          <w:tcPr>
            <w:tcW w:w="280" w:type="dxa"/>
            <w:vAlign w:val="bottom"/>
          </w:tcPr>
          <w:p>
            <w:pPr>
              <w:spacing w:after="0"/>
              <w:rPr>
                <w:sz w:val="23"/>
                <w:szCs w:val="23"/>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656</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720" w:type="dxa"/>
            <w:vAlign w:val="bottom"/>
            <w:gridSpan w:val="3"/>
          </w:tcPr>
          <w:p>
            <w:pPr>
              <w:jc w:val="center"/>
              <w:ind w:left="290"/>
              <w:spacing w:after="0"/>
              <w:rPr>
                <w:sz w:val="20"/>
                <w:szCs w:val="20"/>
                <w:color w:val="auto"/>
              </w:rPr>
            </w:pPr>
            <w:r>
              <w:rPr>
                <w:rFonts w:ascii="Arial" w:cs="Arial" w:eastAsia="Arial" w:hAnsi="Arial"/>
                <w:sz w:val="18"/>
                <w:szCs w:val="18"/>
                <w:color w:val="auto"/>
              </w:rPr>
              <w:t>8.7</w:t>
            </w:r>
          </w:p>
        </w:tc>
        <w:tc>
          <w:tcPr>
            <w:tcW w:w="380" w:type="dxa"/>
            <w:vAlign w:val="bottom"/>
          </w:tcPr>
          <w:p>
            <w:pPr>
              <w:spacing w:after="0"/>
              <w:rPr>
                <w:sz w:val="23"/>
                <w:szCs w:val="23"/>
                <w:color w:val="auto"/>
              </w:rPr>
            </w:pP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rPr>
              <w:t>7.4</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240"/>
              <w:spacing w:after="0"/>
              <w:rPr>
                <w:sz w:val="20"/>
                <w:szCs w:val="20"/>
                <w:color w:val="auto"/>
              </w:rPr>
            </w:pPr>
            <w:r>
              <w:rPr>
                <w:rFonts w:ascii="Arial" w:cs="Arial" w:eastAsia="Arial" w:hAnsi="Arial"/>
                <w:sz w:val="18"/>
                <w:szCs w:val="18"/>
                <w:color w:val="auto"/>
              </w:rPr>
              <w:t>Synthroid</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567</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567</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3"/>
                <w:szCs w:val="23"/>
                <w:color w:val="auto"/>
              </w:rPr>
            </w:pPr>
          </w:p>
        </w:tc>
        <w:tc>
          <w:tcPr>
            <w:tcW w:w="92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240"/>
              <w:spacing w:after="0"/>
              <w:rPr>
                <w:sz w:val="20"/>
                <w:szCs w:val="20"/>
                <w:color w:val="auto"/>
              </w:rPr>
            </w:pPr>
            <w:r>
              <w:rPr>
                <w:rFonts w:ascii="Arial" w:cs="Arial" w:eastAsia="Arial" w:hAnsi="Arial"/>
                <w:sz w:val="18"/>
                <w:szCs w:val="18"/>
                <w:color w:val="auto"/>
              </w:rPr>
              <w:t>Synagis</w:t>
            </w:r>
          </w:p>
        </w:tc>
        <w:tc>
          <w:tcPr>
            <w:tcW w:w="280" w:type="dxa"/>
            <w:vAlign w:val="bottom"/>
          </w:tcPr>
          <w:p>
            <w:pPr>
              <w:spacing w:after="0"/>
              <w:rPr>
                <w:sz w:val="23"/>
                <w:szCs w:val="23"/>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462</w:t>
            </w:r>
          </w:p>
        </w:tc>
        <w:tc>
          <w:tcPr>
            <w:tcW w:w="280" w:type="dxa"/>
            <w:vAlign w:val="bottom"/>
          </w:tcPr>
          <w:p>
            <w:pPr>
              <w:spacing w:after="0"/>
              <w:rPr>
                <w:sz w:val="23"/>
                <w:szCs w:val="23"/>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462</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240"/>
              <w:spacing w:after="0"/>
              <w:rPr>
                <w:sz w:val="20"/>
                <w:szCs w:val="20"/>
                <w:color w:val="auto"/>
              </w:rPr>
            </w:pPr>
            <w:r>
              <w:rPr>
                <w:rFonts w:ascii="Arial" w:cs="Arial" w:eastAsia="Arial" w:hAnsi="Arial"/>
                <w:sz w:val="18"/>
                <w:szCs w:val="18"/>
                <w:color w:val="auto"/>
              </w:rPr>
              <w:t>AndroGel</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393</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393</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w w:val="97"/>
              </w:rPr>
              <w:t>(10.1)</w:t>
            </w:r>
          </w:p>
        </w:tc>
        <w:tc>
          <w:tcPr>
            <w:tcW w:w="120" w:type="dxa"/>
            <w:vAlign w:val="bottom"/>
          </w:tcPr>
          <w:p>
            <w:pPr>
              <w:spacing w:after="0"/>
              <w:rPr>
                <w:sz w:val="23"/>
                <w:szCs w:val="2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3"/>
                <w:szCs w:val="23"/>
                <w:color w:val="auto"/>
              </w:rPr>
            </w:pPr>
          </w:p>
        </w:tc>
        <w:tc>
          <w:tcPr>
            <w:tcW w:w="92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7"/>
              </w:rPr>
              <w:t>(10.1)</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240"/>
              <w:spacing w:after="0"/>
              <w:rPr>
                <w:sz w:val="20"/>
                <w:szCs w:val="20"/>
                <w:color w:val="auto"/>
              </w:rPr>
            </w:pPr>
            <w:r>
              <w:rPr>
                <w:rFonts w:ascii="Arial" w:cs="Arial" w:eastAsia="Arial" w:hAnsi="Arial"/>
                <w:sz w:val="18"/>
                <w:szCs w:val="18"/>
                <w:color w:val="auto"/>
              </w:rPr>
              <w:t>Duodopa</w:t>
            </w: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57</w:t>
            </w:r>
          </w:p>
        </w:tc>
        <w:tc>
          <w:tcPr>
            <w:tcW w:w="340" w:type="dxa"/>
            <w:vAlign w:val="bottom"/>
          </w:tcPr>
          <w:p>
            <w:pPr>
              <w:spacing w:after="0"/>
              <w:rPr>
                <w:sz w:val="23"/>
                <w:szCs w:val="23"/>
                <w:color w:val="auto"/>
              </w:rPr>
            </w:pPr>
          </w:p>
        </w:tc>
        <w:tc>
          <w:tcPr>
            <w:tcW w:w="66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260</w:t>
            </w:r>
          </w:p>
        </w:tc>
        <w:tc>
          <w:tcPr>
            <w:tcW w:w="280" w:type="dxa"/>
            <w:vAlign w:val="bottom"/>
          </w:tcPr>
          <w:p>
            <w:pPr>
              <w:spacing w:after="0"/>
              <w:rPr>
                <w:sz w:val="23"/>
                <w:szCs w:val="23"/>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317</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w w:val="96"/>
              </w:rPr>
              <w:t>30.0</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15.6</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w w:val="96"/>
              </w:rPr>
              <w:t>22.8</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18.1</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24.0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240"/>
              <w:spacing w:after="0"/>
              <w:rPr>
                <w:sz w:val="20"/>
                <w:szCs w:val="20"/>
                <w:color w:val="auto"/>
              </w:rPr>
            </w:pPr>
            <w:r>
              <w:rPr>
                <w:rFonts w:ascii="Arial" w:cs="Arial" w:eastAsia="Arial" w:hAnsi="Arial"/>
                <w:sz w:val="18"/>
                <w:szCs w:val="18"/>
                <w:color w:val="auto"/>
              </w:rPr>
              <w:t>Sevoflurane</w:t>
            </w: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54</w:t>
            </w:r>
          </w:p>
        </w:tc>
        <w:tc>
          <w:tcPr>
            <w:tcW w:w="340" w:type="dxa"/>
            <w:vAlign w:val="bottom"/>
          </w:tcPr>
          <w:p>
            <w:pPr>
              <w:spacing w:after="0"/>
              <w:rPr>
                <w:sz w:val="23"/>
                <w:szCs w:val="23"/>
                <w:color w:val="auto"/>
              </w:rPr>
            </w:pPr>
          </w:p>
        </w:tc>
        <w:tc>
          <w:tcPr>
            <w:tcW w:w="66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251</w:t>
            </w:r>
          </w:p>
        </w:tc>
        <w:tc>
          <w:tcPr>
            <w:tcW w:w="280" w:type="dxa"/>
            <w:vAlign w:val="bottom"/>
          </w:tcPr>
          <w:p>
            <w:pPr>
              <w:spacing w:after="0"/>
              <w:rPr>
                <w:sz w:val="23"/>
                <w:szCs w:val="23"/>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305</w:t>
            </w:r>
          </w:p>
        </w:tc>
        <w:tc>
          <w:tcPr>
            <w:tcW w:w="2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rPr>
              <w:t>(2.8)</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3"/>
                <w:szCs w:val="23"/>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tcPr>
          <w:p>
            <w:pPr>
              <w:spacing w:after="0"/>
              <w:rPr>
                <w:sz w:val="23"/>
                <w:szCs w:val="23"/>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600" w:type="dxa"/>
            <w:vAlign w:val="bottom"/>
          </w:tcPr>
          <w:p>
            <w:pPr>
              <w:ind w:left="240"/>
              <w:spacing w:after="0"/>
              <w:rPr>
                <w:sz w:val="20"/>
                <w:szCs w:val="20"/>
                <w:color w:val="auto"/>
              </w:rPr>
            </w:pPr>
            <w:r>
              <w:rPr>
                <w:rFonts w:ascii="Arial" w:cs="Arial" w:eastAsia="Arial" w:hAnsi="Arial"/>
                <w:sz w:val="18"/>
                <w:szCs w:val="18"/>
                <w:color w:val="auto"/>
              </w:rPr>
              <w:t>Kaletra</w:t>
            </w: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42</w:t>
            </w:r>
          </w:p>
        </w:tc>
        <w:tc>
          <w:tcPr>
            <w:tcW w:w="340" w:type="dxa"/>
            <w:vAlign w:val="bottom"/>
          </w:tcPr>
          <w:p>
            <w:pPr>
              <w:spacing w:after="0"/>
              <w:rPr>
                <w:sz w:val="24"/>
                <w:szCs w:val="24"/>
                <w:color w:val="auto"/>
              </w:rPr>
            </w:pPr>
          </w:p>
        </w:tc>
        <w:tc>
          <w:tcPr>
            <w:tcW w:w="66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210</w:t>
            </w:r>
          </w:p>
        </w:tc>
        <w:tc>
          <w:tcPr>
            <w:tcW w:w="280" w:type="dxa"/>
            <w:vAlign w:val="bottom"/>
          </w:tcPr>
          <w:p>
            <w:pPr>
              <w:spacing w:after="0"/>
              <w:rPr>
                <w:sz w:val="24"/>
                <w:szCs w:val="24"/>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252</w:t>
            </w:r>
          </w:p>
        </w:tc>
        <w:tc>
          <w:tcPr>
            <w:tcW w:w="2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color w:val="auto"/>
                <w:w w:val="97"/>
              </w:rPr>
              <w:t>(21.4)</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97"/>
              </w:rPr>
              <w:t>(19.0)</w:t>
            </w:r>
          </w:p>
        </w:tc>
        <w:tc>
          <w:tcPr>
            <w:tcW w:w="180" w:type="dxa"/>
            <w:vAlign w:val="bottom"/>
          </w:tcPr>
          <w:p>
            <w:pPr>
              <w:spacing w:after="0"/>
              <w:rPr>
                <w:sz w:val="24"/>
                <w:szCs w:val="24"/>
                <w:color w:val="auto"/>
              </w:rPr>
            </w:pPr>
          </w:p>
        </w:tc>
        <w:tc>
          <w:tcPr>
            <w:tcW w:w="960" w:type="dxa"/>
            <w:vAlign w:val="bottom"/>
            <w:gridSpan w:val="2"/>
          </w:tcPr>
          <w:p>
            <w:pPr>
              <w:jc w:val="center"/>
              <w:ind w:left="90"/>
              <w:spacing w:after="0"/>
              <w:rPr>
                <w:sz w:val="20"/>
                <w:szCs w:val="20"/>
                <w:color w:val="auto"/>
              </w:rPr>
            </w:pPr>
            <w:r>
              <w:rPr>
                <w:rFonts w:ascii="Arial" w:cs="Arial" w:eastAsia="Arial" w:hAnsi="Arial"/>
                <w:sz w:val="18"/>
                <w:szCs w:val="18"/>
                <w:color w:val="auto"/>
                <w:w w:val="97"/>
              </w:rPr>
              <w:t>(18.1)</w:t>
            </w:r>
          </w:p>
        </w:tc>
        <w:tc>
          <w:tcPr>
            <w:tcW w:w="140" w:type="dxa"/>
            <w:vAlign w:val="bottom"/>
            <w:tcBorders>
              <w:right w:val="single" w:sz="8" w:color="auto"/>
            </w:tcBorders>
          </w:tcPr>
          <w:p>
            <w:pPr>
              <w:spacing w:after="0"/>
              <w:rPr>
                <w:sz w:val="24"/>
                <w:szCs w:val="24"/>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7"/>
              </w:rPr>
              <w:t>(19.5)</w:t>
            </w:r>
          </w:p>
        </w:tc>
        <w:tc>
          <w:tcPr>
            <w:tcW w:w="3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(18.7)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160"/>
        <w:spacing w:after="0" w:line="375" w:lineRule="auto"/>
        <w:rPr>
          <w:sz w:val="20"/>
          <w:szCs w:val="20"/>
          <w:color w:val="auto"/>
        </w:rPr>
      </w:pPr>
      <w:r>
        <w:rPr>
          <w:rFonts w:ascii="Arial" w:cs="Arial" w:eastAsia="Arial" w:hAnsi="Arial"/>
          <w:sz w:val="18"/>
          <w:szCs w:val="18"/>
          <w:color w:val="auto"/>
        </w:rPr>
        <w:t>Note: “Operational” growth reflects the percentage change over the prior year excluding the impact of exchange rate fluctuations. n/a = not applicable</w:t>
      </w:r>
    </w:p>
    <w:p>
      <w:pPr>
        <w:spacing w:after="0" w:line="1" w:lineRule="exact"/>
        <w:rPr>
          <w:sz w:val="20"/>
          <w:szCs w:val="20"/>
          <w:color w:val="auto"/>
        </w:rPr>
      </w:pPr>
    </w:p>
    <w:p>
      <w:pPr>
        <w:ind w:left="120" w:right="180" w:hanging="112"/>
        <w:spacing w:after="0" w:line="262" w:lineRule="auto"/>
        <w:tabs>
          <w:tab w:leader="none" w:pos="1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Adjusted net revenues exclude specified items. Refer to the Reconciliation of GAAP Reported to Non-GAAP Adjusted Information for further details. Percentage change is calculated using adjusted net revenues.</w:t>
      </w:r>
    </w:p>
    <w:p>
      <w:pPr>
        <w:spacing w:after="0" w:line="88"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5"/>
          <w:szCs w:val="15"/>
          <w:color w:val="auto"/>
        </w:rPr>
      </w:pPr>
      <w:r>
        <w:rPr>
          <w:rFonts w:ascii="Arial" w:cs="Arial" w:eastAsia="Arial" w:hAnsi="Arial"/>
          <w:sz w:val="18"/>
          <w:szCs w:val="18"/>
          <w:color w:val="auto"/>
        </w:rPr>
        <w:t>Reflects profit sharing for Imbruvica international revenues.</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AbbVie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Earnings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 and Nine Months Ended September 30, 2018 and 2017</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data)</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Third Quarter</w:t>
            </w:r>
          </w:p>
        </w:tc>
        <w:tc>
          <w:tcPr>
            <w:tcW w:w="280" w:type="dxa"/>
            <w:vAlign w:val="bottom"/>
          </w:tcPr>
          <w:p>
            <w:pPr>
              <w:spacing w:after="0"/>
              <w:rPr>
                <w:sz w:val="17"/>
                <w:szCs w:val="17"/>
                <w:color w:val="auto"/>
              </w:rPr>
            </w:pPr>
          </w:p>
        </w:tc>
        <w:tc>
          <w:tcPr>
            <w:tcW w:w="23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w:t>
            </w:r>
          </w:p>
        </w:tc>
      </w:tr>
      <w:tr>
        <w:trPr>
          <w:trHeight w:val="246"/>
        </w:trPr>
        <w:tc>
          <w:tcPr>
            <w:tcW w:w="5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Ended September 30</w:t>
            </w:r>
          </w:p>
        </w:tc>
        <w:tc>
          <w:tcPr>
            <w:tcW w:w="280" w:type="dxa"/>
            <w:vAlign w:val="bottom"/>
          </w:tcPr>
          <w:p>
            <w:pPr>
              <w:spacing w:after="0"/>
              <w:rPr>
                <w:sz w:val="21"/>
                <w:szCs w:val="21"/>
                <w:color w:val="auto"/>
              </w:rPr>
            </w:pPr>
          </w:p>
        </w:tc>
        <w:tc>
          <w:tcPr>
            <w:tcW w:w="23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Ended September 30</w:t>
            </w:r>
          </w:p>
        </w:tc>
      </w:tr>
      <w:tr>
        <w:trPr>
          <w:trHeight w:val="264"/>
        </w:trPr>
        <w:tc>
          <w:tcPr>
            <w:tcW w:w="59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Net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8,236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6,995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24,448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20,477</w:t>
            </w:r>
          </w:p>
        </w:tc>
      </w:tr>
      <w:tr>
        <w:trPr>
          <w:trHeight w:val="270"/>
        </w:trPr>
        <w:tc>
          <w:tcPr>
            <w:tcW w:w="5980" w:type="dxa"/>
            <w:vAlign w:val="bottom"/>
          </w:tcPr>
          <w:p>
            <w:pPr>
              <w:spacing w:after="0"/>
              <w:rPr>
                <w:sz w:val="20"/>
                <w:szCs w:val="20"/>
                <w:color w:val="auto"/>
              </w:rPr>
            </w:pPr>
            <w:r>
              <w:rPr>
                <w:rFonts w:ascii="Arial" w:cs="Arial" w:eastAsia="Arial" w:hAnsi="Arial"/>
                <w:sz w:val="18"/>
                <w:szCs w:val="18"/>
                <w:color w:val="auto"/>
              </w:rPr>
              <w:t>Cost of products sold</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1,835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5,696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4,761</w:t>
            </w:r>
          </w:p>
        </w:tc>
      </w:tr>
      <w:tr>
        <w:trPr>
          <w:trHeight w:val="270"/>
        </w:trPr>
        <w:tc>
          <w:tcPr>
            <w:tcW w:w="59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1,919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5,470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4,339</w:t>
            </w:r>
          </w:p>
        </w:tc>
      </w:tr>
      <w:tr>
        <w:trPr>
          <w:trHeight w:val="270"/>
        </w:trPr>
        <w:tc>
          <w:tcPr>
            <w:tcW w:w="5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3,834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3,599</w:t>
            </w:r>
          </w:p>
        </w:tc>
      </w:tr>
      <w:tr>
        <w:trPr>
          <w:trHeight w:val="270"/>
        </w:trPr>
        <w:tc>
          <w:tcPr>
            <w:tcW w:w="5980" w:type="dxa"/>
            <w:vAlign w:val="bottom"/>
          </w:tcPr>
          <w:p>
            <w:pPr>
              <w:spacing w:after="0"/>
              <w:rPr>
                <w:sz w:val="20"/>
                <w:szCs w:val="20"/>
                <w:color w:val="auto"/>
              </w:rPr>
            </w:pPr>
            <w:r>
              <w:rPr>
                <w:rFonts w:ascii="Arial" w:cs="Arial" w:eastAsia="Arial" w:hAnsi="Arial"/>
                <w:sz w:val="18"/>
                <w:szCs w:val="18"/>
                <w:color w:val="auto"/>
              </w:rPr>
              <w:t>Acquired in-process research and development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7"/>
        </w:trPr>
        <w:tc>
          <w:tcPr>
            <w:tcW w:w="5980" w:type="dxa"/>
            <w:vAlign w:val="bottom"/>
          </w:tcPr>
          <w:p>
            <w:pPr>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5980" w:type="dxa"/>
            <w:vAlign w:val="bottom"/>
          </w:tcPr>
          <w:p>
            <w:pPr>
              <w:spacing w:after="0"/>
              <w:rPr>
                <w:sz w:val="20"/>
                <w:szCs w:val="20"/>
                <w:color w:val="auto"/>
              </w:rPr>
            </w:pPr>
            <w:r>
              <w:rPr>
                <w:rFonts w:ascii="Arial" w:cs="Arial" w:eastAsia="Arial" w:hAnsi="Arial"/>
                <w:sz w:val="18"/>
                <w:szCs w:val="18"/>
                <w:color w:val="auto"/>
              </w:rPr>
              <w:t>Total operating cost and expenses</w:t>
            </w: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5,077</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4,301</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15,624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12,714</w:t>
            </w:r>
          </w:p>
        </w:tc>
      </w:tr>
      <w:tr>
        <w:trPr>
          <w:trHeight w:val="554"/>
        </w:trPr>
        <w:tc>
          <w:tcPr>
            <w:tcW w:w="5980" w:type="dxa"/>
            <w:vAlign w:val="bottom"/>
          </w:tcPr>
          <w:p>
            <w:pPr>
              <w:spacing w:after="0"/>
              <w:rPr>
                <w:sz w:val="20"/>
                <w:szCs w:val="20"/>
                <w:color w:val="auto"/>
              </w:rPr>
            </w:pPr>
            <w:r>
              <w:rPr>
                <w:rFonts w:ascii="Arial" w:cs="Arial" w:eastAsia="Arial" w:hAnsi="Arial"/>
                <w:sz w:val="18"/>
                <w:szCs w:val="18"/>
                <w:color w:val="auto"/>
              </w:rPr>
              <w:t>Operating earnings</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3,159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2,694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8,824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7,763</w:t>
            </w:r>
          </w:p>
        </w:tc>
      </w:tr>
      <w:tr>
        <w:trPr>
          <w:trHeight w:val="567"/>
        </w:trPr>
        <w:tc>
          <w:tcPr>
            <w:tcW w:w="5980" w:type="dxa"/>
            <w:vAlign w:val="bottom"/>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752</w:t>
            </w:r>
          </w:p>
        </w:tc>
      </w:tr>
      <w:tr>
        <w:trPr>
          <w:trHeight w:val="270"/>
        </w:trPr>
        <w:tc>
          <w:tcPr>
            <w:tcW w:w="5980" w:type="dxa"/>
            <w:vAlign w:val="bottom"/>
          </w:tcPr>
          <w:p>
            <w:pPr>
              <w:spacing w:after="0"/>
              <w:rPr>
                <w:sz w:val="20"/>
                <w:szCs w:val="20"/>
                <w:color w:val="auto"/>
              </w:rPr>
            </w:pPr>
            <w:r>
              <w:rPr>
                <w:rFonts w:ascii="Arial" w:cs="Arial" w:eastAsia="Arial" w:hAnsi="Arial"/>
                <w:sz w:val="18"/>
                <w:szCs w:val="18"/>
                <w:color w:val="auto"/>
              </w:rPr>
              <w:t>Net foreign exchange loss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7"/>
        </w:trPr>
        <w:tc>
          <w:tcPr>
            <w:tcW w:w="5980" w:type="dxa"/>
            <w:vAlign w:val="bottom"/>
          </w:tcPr>
          <w:p>
            <w:pPr>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449</w:t>
            </w: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Earnings before income tax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6,534</w:t>
            </w:r>
          </w:p>
        </w:tc>
      </w:tr>
      <w:tr>
        <w:trPr>
          <w:trHeight w:val="277"/>
        </w:trPr>
        <w:tc>
          <w:tcPr>
            <w:tcW w:w="5980" w:type="dxa"/>
            <w:vAlign w:val="bottom"/>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1,277</w:t>
            </w:r>
          </w:p>
        </w:tc>
      </w:tr>
      <w:tr>
        <w:trPr>
          <w:trHeight w:val="257"/>
        </w:trPr>
        <w:tc>
          <w:tcPr>
            <w:tcW w:w="5980" w:type="dxa"/>
            <w:vAlign w:val="bottom"/>
          </w:tcPr>
          <w:p>
            <w:pPr>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2,747</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1,631</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7,513</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5,257</w:t>
            </w: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34"/>
        </w:trPr>
        <w:tc>
          <w:tcPr>
            <w:tcW w:w="59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3.27</w:t>
            </w: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34"/>
        </w:trPr>
        <w:tc>
          <w:tcPr>
            <w:tcW w:w="5980" w:type="dxa"/>
            <w:vAlign w:val="bottom"/>
          </w:tcPr>
          <w:p>
            <w:pPr>
              <w:spacing w:after="0"/>
              <w:rPr>
                <w:sz w:val="20"/>
                <w:szCs w:val="20"/>
                <w:color w:val="auto"/>
              </w:rPr>
            </w:pPr>
            <w:r>
              <w:rPr>
                <w:rFonts w:ascii="Arial" w:cs="Arial" w:eastAsia="Arial" w:hAnsi="Arial"/>
                <w:sz w:val="18"/>
                <w:szCs w:val="18"/>
                <w:color w:val="auto"/>
              </w:rPr>
              <w:t>Adjusted diluted earnings per share</w:t>
            </w:r>
            <w:r>
              <w:rPr>
                <w:rFonts w:ascii="Arial" w:cs="Arial" w:eastAsia="Arial" w:hAnsi="Arial"/>
                <w:sz w:val="15"/>
                <w:szCs w:val="15"/>
                <w:color w:val="auto"/>
              </w:rPr>
              <w:t>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4.11</w:t>
            </w: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34"/>
        </w:trPr>
        <w:tc>
          <w:tcPr>
            <w:tcW w:w="5980" w:type="dxa"/>
            <w:vAlign w:val="bottom"/>
          </w:tcPr>
          <w:p>
            <w:pPr>
              <w:spacing w:after="0"/>
              <w:rPr>
                <w:sz w:val="20"/>
                <w:szCs w:val="20"/>
                <w:color w:val="auto"/>
              </w:rPr>
            </w:pPr>
            <w:r>
              <w:rPr>
                <w:rFonts w:ascii="Arial" w:cs="Arial" w:eastAsia="Arial" w:hAnsi="Arial"/>
                <w:sz w:val="18"/>
                <w:szCs w:val="18"/>
                <w:color w:val="auto"/>
              </w:rPr>
              <w:t>Weighted-average diluted shares outstanding</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1,603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1,561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1,602</w:t>
            </w:r>
          </w:p>
        </w:tc>
      </w:tr>
    </w:tbl>
    <w:p>
      <w:pPr>
        <w:spacing w:after="0" w:line="229"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5"/>
          <w:szCs w:val="15"/>
          <w:color w:val="auto"/>
        </w:rPr>
      </w:pPr>
      <w:r>
        <w:rPr>
          <w:rFonts w:ascii="Arial" w:cs="Arial" w:eastAsia="Arial" w:hAnsi="Arial"/>
          <w:sz w:val="18"/>
          <w:szCs w:val="18"/>
          <w:color w:val="auto"/>
        </w:rPr>
        <w:t>Refer to the Reconciliation of GAAP Reported to Non-GAAP Adjusted Information for further details.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AbbVie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Reported to Non-GAAP Adjusted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 Ended September 30, 2018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20"/>
                <w:szCs w:val="20"/>
                <w:color w:val="auto"/>
              </w:rPr>
            </w:pPr>
            <w:r>
              <w:rPr>
                <w:rFonts w:ascii="Arial" w:cs="Arial" w:eastAsia="Arial" w:hAnsi="Arial"/>
                <w:sz w:val="18"/>
                <w:szCs w:val="18"/>
                <w:color w:val="auto"/>
              </w:rPr>
              <w:t>1.   Specified items impacted results as follows: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85"/>
        </w:trPr>
        <w:tc>
          <w:tcPr>
            <w:tcW w:w="6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3Q18</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Diluted</w:t>
            </w: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Pre-tax</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After-tax</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EPS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reported (GAAP)</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2,761</w:t>
            </w:r>
          </w:p>
        </w:tc>
        <w:tc>
          <w:tcPr>
            <w:tcW w:w="4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2,747</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1.81</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Adjusted for specified items: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30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320</w:t>
            </w:r>
          </w:p>
        </w:tc>
        <w:tc>
          <w:tcPr>
            <w:tcW w:w="4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40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0.17</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Acquired IPR&amp;D</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Charitable contributions</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4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4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0.06</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4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0.06</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Litigation reserves</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4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4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0.12</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Impacts of U.S. tax reform</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77"/>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adjusted (non-GAAP)</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3,581</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3,255</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2.14</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Acquired IPR&amp;D primarily reflects upfront payments related to R&amp;D collaborations and licensing arrangements with third parties. Impacts of U.S. tax reform reflects a net tax benefit related to the timing of the new legislation's phase in on certain subsidiaries. Other primarily includes restructuring charges associated with streamlining global operations.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20" w:type="dxa"/>
            <w:vAlign w:val="bottom"/>
          </w:tcPr>
          <w:p>
            <w:pPr>
              <w:spacing w:after="0"/>
              <w:rPr>
                <w:sz w:val="20"/>
                <w:szCs w:val="20"/>
                <w:color w:val="auto"/>
              </w:rPr>
            </w:pPr>
            <w:r>
              <w:rPr>
                <w:rFonts w:ascii="Arial" w:cs="Arial" w:eastAsia="Arial" w:hAnsi="Arial"/>
                <w:sz w:val="18"/>
                <w:szCs w:val="18"/>
                <w:color w:val="auto"/>
              </w:rPr>
              <w:t>2. The impact of the specified items by line item was as follows: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85"/>
        </w:trPr>
        <w:tc>
          <w:tcPr>
            <w:tcW w:w="6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3Q18</w:t>
            </w: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9"/>
        </w:trPr>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310"/>
              <w:spacing w:after="0"/>
              <w:rPr>
                <w:sz w:val="20"/>
                <w:szCs w:val="20"/>
                <w:color w:val="auto"/>
              </w:rPr>
            </w:pPr>
            <w:r>
              <w:rPr>
                <w:rFonts w:ascii="Arial" w:cs="Arial" w:eastAsia="Arial" w:hAnsi="Arial"/>
                <w:sz w:val="18"/>
                <w:szCs w:val="18"/>
                <w:color w:val="auto"/>
              </w:rPr>
              <w:t>Cost of</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gridSpan w:val="2"/>
          </w:tcPr>
          <w:p>
            <w:pPr>
              <w:jc w:val="right"/>
              <w:ind w:right="230"/>
              <w:spacing w:after="0"/>
              <w:rPr>
                <w:sz w:val="20"/>
                <w:szCs w:val="20"/>
                <w:color w:val="auto"/>
              </w:rPr>
            </w:pPr>
            <w:r>
              <w:rPr>
                <w:rFonts w:ascii="Arial" w:cs="Arial" w:eastAsia="Arial" w:hAnsi="Arial"/>
                <w:sz w:val="18"/>
                <w:szCs w:val="18"/>
                <w:color w:val="auto"/>
              </w:rPr>
              <w:t>Acquired</w:t>
            </w:r>
          </w:p>
        </w:tc>
        <w:tc>
          <w:tcPr>
            <w:tcW w:w="220" w:type="dxa"/>
            <w:vAlign w:val="bottom"/>
          </w:tcPr>
          <w:p>
            <w:pPr>
              <w:spacing w:after="0"/>
              <w:rPr>
                <w:sz w:val="19"/>
                <w:szCs w:val="19"/>
                <w:color w:val="auto"/>
              </w:rPr>
            </w:pPr>
          </w:p>
        </w:tc>
        <w:tc>
          <w:tcPr>
            <w:tcW w:w="1120" w:type="dxa"/>
            <w:vAlign w:val="bottom"/>
          </w:tcPr>
          <w:p>
            <w:pPr>
              <w:jc w:val="right"/>
              <w:ind w:right="309"/>
              <w:spacing w:after="0"/>
              <w:rPr>
                <w:sz w:val="20"/>
                <w:szCs w:val="20"/>
                <w:color w:val="auto"/>
              </w:rPr>
            </w:pPr>
            <w:r>
              <w:rPr>
                <w:rFonts w:ascii="Arial" w:cs="Arial" w:eastAsia="Arial" w:hAnsi="Arial"/>
                <w:sz w:val="18"/>
                <w:szCs w:val="18"/>
                <w:color w:val="auto"/>
              </w:rPr>
              <w:t>Other</w:t>
            </w:r>
          </w:p>
        </w:tc>
      </w:tr>
      <w:tr>
        <w:trPr>
          <w:trHeight w:val="224"/>
        </w:trPr>
        <w:tc>
          <w:tcPr>
            <w:tcW w:w="6020" w:type="dxa"/>
            <w:vAlign w:val="bottom"/>
          </w:tcPr>
          <w:p>
            <w:pPr>
              <w:spacing w:after="0"/>
              <w:rPr>
                <w:sz w:val="19"/>
                <w:szCs w:val="19"/>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products sold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SG&amp;A</w:t>
            </w:r>
          </w:p>
        </w:tc>
        <w:tc>
          <w:tcPr>
            <w:tcW w:w="14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IPR&amp;D</w:t>
            </w:r>
          </w:p>
        </w:tc>
        <w:tc>
          <w:tcPr>
            <w:tcW w:w="134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8"/>
                <w:szCs w:val="18"/>
                <w:color w:val="auto"/>
              </w:rPr>
              <w:t>expense, net</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As reported (GAAP)</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1,835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1,919</w:t>
            </w:r>
          </w:p>
        </w:tc>
        <w:tc>
          <w:tcPr>
            <w:tcW w:w="68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55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9"/>
              <w:spacing w:after="0"/>
              <w:rPr>
                <w:sz w:val="20"/>
                <w:szCs w:val="20"/>
                <w:color w:val="auto"/>
              </w:rPr>
            </w:pPr>
            <w:r>
              <w:rPr>
                <w:rFonts w:ascii="Arial" w:cs="Arial" w:eastAsia="Arial" w:hAnsi="Arial"/>
                <w:sz w:val="18"/>
                <w:szCs w:val="18"/>
                <w:b w:val="1"/>
                <w:bCs w:val="1"/>
                <w:color w:val="auto"/>
              </w:rPr>
              <w:t>94</w:t>
            </w: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color w:val="auto"/>
              </w:rPr>
              <w:t>Adjusted for specified items:</w:t>
            </w: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spacing w:after="0"/>
              <w:rPr>
                <w:sz w:val="23"/>
                <w:szCs w:val="23"/>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Acquired IPR&amp;D</w:t>
            </w: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Charitable contributions</w:t>
            </w: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6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w:t>
            </w:r>
          </w:p>
        </w:tc>
      </w:tr>
      <w:tr>
        <w:trPr>
          <w:trHeight w:val="284"/>
        </w:trPr>
        <w:tc>
          <w:tcPr>
            <w:tcW w:w="602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57"/>
        </w:trPr>
        <w:tc>
          <w:tcPr>
            <w:tcW w:w="6020" w:type="dxa"/>
            <w:vAlign w:val="bottom"/>
          </w:tcPr>
          <w:p>
            <w:pPr>
              <w:ind w:left="180"/>
              <w:spacing w:after="0"/>
              <w:rPr>
                <w:sz w:val="20"/>
                <w:szCs w:val="20"/>
                <w:color w:val="auto"/>
              </w:rPr>
            </w:pPr>
            <w:r>
              <w:rPr>
                <w:rFonts w:ascii="Arial" w:cs="Arial" w:eastAsia="Arial" w:hAnsi="Arial"/>
                <w:sz w:val="18"/>
                <w:szCs w:val="18"/>
                <w:color w:val="auto"/>
              </w:rPr>
              <w:t>Litigation reserves</w:t>
            </w: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w:t>
            </w:r>
          </w:p>
        </w:tc>
        <w:tc>
          <w:tcPr>
            <w:tcW w:w="680" w:type="dxa"/>
            <w:vAlign w:val="bottom"/>
          </w:tcPr>
          <w:p>
            <w:pPr>
              <w:spacing w:after="0"/>
              <w:rPr>
                <w:sz w:val="22"/>
                <w:szCs w:val="22"/>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3"/>
                <w:szCs w:val="23"/>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As adjusted (non-GAAP)</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1,509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1,575</w:t>
            </w: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r>
      <w:tr>
        <w:trPr>
          <w:trHeight w:val="20"/>
        </w:trPr>
        <w:tc>
          <w:tcPr>
            <w:tcW w:w="60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72"/>
        </w:trPr>
        <w:tc>
          <w:tcPr>
            <w:tcW w:w="7340" w:type="dxa"/>
            <w:vAlign w:val="bottom"/>
            <w:gridSpan w:val="4"/>
          </w:tcPr>
          <w:p>
            <w:pPr>
              <w:spacing w:after="0"/>
              <w:rPr>
                <w:sz w:val="20"/>
                <w:szCs w:val="20"/>
                <w:color w:val="auto"/>
              </w:rPr>
            </w:pPr>
            <w:r>
              <w:rPr>
                <w:rFonts w:ascii="Arial" w:cs="Arial" w:eastAsia="Arial" w:hAnsi="Arial"/>
                <w:sz w:val="18"/>
                <w:szCs w:val="18"/>
                <w:color w:val="auto"/>
              </w:rPr>
              <w:t>3. The adjusted tax rate for the third quarter of 2018 was 9.1 percent, as detailed below:</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85"/>
        </w:trPr>
        <w:tc>
          <w:tcPr>
            <w:tcW w:w="6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3Q18</w:t>
            </w: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9"/>
        </w:trPr>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gridSpan w:val="3"/>
          </w:tcPr>
          <w:p>
            <w:pPr>
              <w:jc w:val="right"/>
              <w:ind w:right="270"/>
              <w:spacing w:after="0"/>
              <w:rPr>
                <w:sz w:val="20"/>
                <w:szCs w:val="20"/>
                <w:color w:val="auto"/>
              </w:rPr>
            </w:pPr>
            <w:r>
              <w:rPr>
                <w:rFonts w:ascii="Arial" w:cs="Arial" w:eastAsia="Arial" w:hAnsi="Arial"/>
                <w:sz w:val="18"/>
                <w:szCs w:val="18"/>
                <w:color w:val="auto"/>
              </w:rPr>
              <w:t>Pre-tax</w:t>
            </w:r>
          </w:p>
        </w:tc>
        <w:tc>
          <w:tcPr>
            <w:tcW w:w="58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Income</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rPr>
              <w:t>income</w:t>
            </w: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taxes</w:t>
            </w: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69"/>
              <w:spacing w:after="0"/>
              <w:rPr>
                <w:sz w:val="20"/>
                <w:szCs w:val="20"/>
                <w:color w:val="auto"/>
              </w:rPr>
            </w:pPr>
            <w:r>
              <w:rPr>
                <w:rFonts w:ascii="Arial" w:cs="Arial" w:eastAsia="Arial" w:hAnsi="Arial"/>
                <w:sz w:val="18"/>
                <w:szCs w:val="18"/>
                <w:color w:val="auto"/>
                <w:w w:val="96"/>
              </w:rPr>
              <w:t>Tax rate</w:t>
            </w:r>
          </w:p>
        </w:tc>
      </w:tr>
      <w:tr>
        <w:trPr>
          <w:trHeight w:val="257"/>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As reported (GAAP)</w:t>
            </w:r>
          </w:p>
        </w:tc>
        <w:tc>
          <w:tcPr>
            <w:tcW w:w="240" w:type="dxa"/>
            <w:vAlign w:val="bottom"/>
          </w:tcPr>
          <w:p>
            <w:pPr>
              <w:spacing w:after="0"/>
              <w:rPr>
                <w:sz w:val="22"/>
                <w:szCs w:val="22"/>
                <w:color w:val="auto"/>
              </w:rPr>
            </w:pPr>
          </w:p>
        </w:tc>
        <w:tc>
          <w:tcPr>
            <w:tcW w:w="10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2,761</w:t>
            </w:r>
          </w:p>
        </w:tc>
        <w:tc>
          <w:tcPr>
            <w:tcW w:w="5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22"/>
                <w:szCs w:val="22"/>
                <w:color w:val="auto"/>
              </w:rPr>
            </w:pPr>
          </w:p>
        </w:tc>
        <w:tc>
          <w:tcPr>
            <w:tcW w:w="740" w:type="dxa"/>
            <w:vAlign w:val="bottom"/>
          </w:tcPr>
          <w:p>
            <w:pPr>
              <w:jc w:val="right"/>
              <w:ind w:right="330"/>
              <w:spacing w:after="0"/>
              <w:rPr>
                <w:sz w:val="20"/>
                <w:szCs w:val="20"/>
                <w:color w:val="auto"/>
              </w:rPr>
            </w:pPr>
            <w:r>
              <w:rPr>
                <w:rFonts w:ascii="Arial" w:cs="Arial" w:eastAsia="Arial" w:hAnsi="Arial"/>
                <w:sz w:val="18"/>
                <w:szCs w:val="18"/>
                <w:b w:val="1"/>
                <w:bCs w:val="1"/>
                <w:color w:val="auto"/>
              </w:rPr>
              <w:t>14</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0.5%</w:t>
            </w:r>
          </w:p>
        </w:tc>
      </w:tr>
      <w:tr>
        <w:trPr>
          <w:trHeight w:val="277"/>
        </w:trPr>
        <w:tc>
          <w:tcPr>
            <w:tcW w:w="6020" w:type="dxa"/>
            <w:vAlign w:val="bottom"/>
          </w:tcPr>
          <w:p>
            <w:pPr>
              <w:ind w:left="40"/>
              <w:spacing w:after="0"/>
              <w:rPr>
                <w:sz w:val="20"/>
                <w:szCs w:val="20"/>
                <w:color w:val="auto"/>
              </w:rPr>
            </w:pPr>
            <w:r>
              <w:rPr>
                <w:rFonts w:ascii="Arial" w:cs="Arial" w:eastAsia="Arial" w:hAnsi="Arial"/>
                <w:sz w:val="18"/>
                <w:szCs w:val="18"/>
                <w:color w:val="auto"/>
              </w:rPr>
              <w:t>Specified items</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312</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As adjusted (non-GAAP)</w:t>
            </w:r>
          </w:p>
        </w:tc>
        <w:tc>
          <w:tcPr>
            <w:tcW w:w="240" w:type="dxa"/>
            <w:vAlign w:val="bottom"/>
          </w:tcPr>
          <w:p>
            <w:pPr>
              <w:spacing w:after="0"/>
              <w:rPr>
                <w:sz w:val="23"/>
                <w:szCs w:val="23"/>
                <w:color w:val="auto"/>
              </w:rPr>
            </w:pPr>
          </w:p>
        </w:tc>
        <w:tc>
          <w:tcPr>
            <w:tcW w:w="10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3,581</w:t>
            </w:r>
          </w:p>
        </w:tc>
        <w:tc>
          <w:tcPr>
            <w:tcW w:w="5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23"/>
                <w:szCs w:val="23"/>
                <w:color w:val="auto"/>
              </w:rPr>
            </w:pPr>
          </w:p>
        </w:tc>
        <w:tc>
          <w:tcPr>
            <w:tcW w:w="7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326</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9.1%</w:t>
            </w:r>
          </w:p>
        </w:tc>
      </w:tr>
      <w:tr>
        <w:trPr>
          <w:trHeight w:val="20"/>
        </w:trPr>
        <w:tc>
          <w:tcPr>
            <w:tcW w:w="6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57"/>
        </w:trPr>
        <w:tc>
          <w:tcPr>
            <w:tcW w:w="6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w:t>
            </w:r>
          </w:p>
        </w:tc>
      </w:tr>
    </w:tbl>
    <w:p>
      <w:pPr>
        <w:sectPr>
          <w:pgSz w:w="11900" w:h="16838" w:orient="portrait"/>
          <w:cols w:equalWidth="0" w:num="1">
            <w:col w:w="11420"/>
          </w:cols>
          <w:pgMar w:left="240" w:top="5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AbbVie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Reported to Non-GAAP Adjusted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 Ended September 30, 2017</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20"/>
                <w:szCs w:val="20"/>
                <w:color w:val="auto"/>
              </w:rPr>
            </w:pPr>
            <w:r>
              <w:rPr>
                <w:rFonts w:ascii="Arial" w:cs="Arial" w:eastAsia="Arial" w:hAnsi="Arial"/>
                <w:sz w:val="18"/>
                <w:szCs w:val="18"/>
                <w:color w:val="auto"/>
              </w:rPr>
              <w:t>1.   Specified items impacted results as follows: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85"/>
        </w:trPr>
        <w:tc>
          <w:tcPr>
            <w:tcW w:w="6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3Q17</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Diluted</w:t>
            </w: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Pre-tax</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After-tax</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EPS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reported (GAAP)</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2,095</w:t>
            </w:r>
          </w:p>
        </w:tc>
        <w:tc>
          <w:tcPr>
            <w:tcW w:w="4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1,631</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1.01</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Adjusted for specified items: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30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268</w:t>
            </w:r>
          </w:p>
        </w:tc>
        <w:tc>
          <w:tcPr>
            <w:tcW w:w="4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40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0.13</w:t>
            </w: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Milestones and other R&amp;D expenses</w:t>
            </w:r>
          </w:p>
        </w:tc>
        <w:tc>
          <w:tcPr>
            <w:tcW w:w="30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4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4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0.25</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Litigation reserves</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adjusted (non-GAAP)</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2,806</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2,273</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1.41</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Milestones and other R&amp;D expenses are associated with milestone payments for previously announced collaborations. Other includes restructuring charges associated with streamlining global operations.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20" w:type="dxa"/>
            <w:vAlign w:val="bottom"/>
          </w:tcPr>
          <w:p>
            <w:pPr>
              <w:spacing w:after="0"/>
              <w:rPr>
                <w:sz w:val="20"/>
                <w:szCs w:val="20"/>
                <w:color w:val="auto"/>
              </w:rPr>
            </w:pPr>
            <w:r>
              <w:rPr>
                <w:rFonts w:ascii="Arial" w:cs="Arial" w:eastAsia="Arial" w:hAnsi="Arial"/>
                <w:sz w:val="18"/>
                <w:szCs w:val="18"/>
                <w:color w:val="auto"/>
              </w:rPr>
              <w:t>2. The impact of the specified items by line item was as follows: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85"/>
        </w:trPr>
        <w:tc>
          <w:tcPr>
            <w:tcW w:w="6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3Q17</w:t>
            </w: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9"/>
        </w:trPr>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Cost of</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Other</w:t>
            </w:r>
          </w:p>
        </w:tc>
      </w:tr>
      <w:tr>
        <w:trPr>
          <w:trHeight w:val="224"/>
        </w:trPr>
        <w:tc>
          <w:tcPr>
            <w:tcW w:w="6020" w:type="dxa"/>
            <w:vAlign w:val="bottom"/>
          </w:tcPr>
          <w:p>
            <w:pPr>
              <w:spacing w:after="0"/>
              <w:rPr>
                <w:sz w:val="19"/>
                <w:szCs w:val="19"/>
                <w:color w:val="auto"/>
              </w:rPr>
            </w:pPr>
          </w:p>
        </w:tc>
        <w:tc>
          <w:tcPr>
            <w:tcW w:w="13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products sold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SG&amp;A</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R&amp;D</w:t>
            </w: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expense, net</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As reported (GAAP)</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1,616</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1,457</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1,228</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338</w:t>
            </w:r>
          </w:p>
        </w:tc>
      </w:tr>
      <w:tr>
        <w:trPr>
          <w:trHeight w:val="257"/>
        </w:trPr>
        <w:tc>
          <w:tcPr>
            <w:tcW w:w="6020" w:type="dxa"/>
            <w:vAlign w:val="bottom"/>
          </w:tcPr>
          <w:p>
            <w:pPr>
              <w:ind w:left="40"/>
              <w:spacing w:after="0"/>
              <w:rPr>
                <w:sz w:val="20"/>
                <w:szCs w:val="20"/>
                <w:color w:val="auto"/>
              </w:rPr>
            </w:pPr>
            <w:r>
              <w:rPr>
                <w:rFonts w:ascii="Arial" w:cs="Arial" w:eastAsia="Arial" w:hAnsi="Arial"/>
                <w:sz w:val="18"/>
                <w:szCs w:val="18"/>
                <w:color w:val="auto"/>
              </w:rPr>
              <w:t>Adjusted for specified items:</w:t>
            </w: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32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Milestones and other R&amp;D expenses</w:t>
            </w:r>
          </w:p>
        </w:tc>
        <w:tc>
          <w:tcPr>
            <w:tcW w:w="2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02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Litigation reserves</w:t>
            </w:r>
          </w:p>
        </w:tc>
        <w:tc>
          <w:tcPr>
            <w:tcW w:w="2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602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As adjusted (non-GAAP)</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1,342</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1,453</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1,196</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r>
      <w:tr>
        <w:trPr>
          <w:trHeight w:val="20"/>
        </w:trPr>
        <w:tc>
          <w:tcPr>
            <w:tcW w:w="6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3. The adjusted tax rate for the third quarter of 2017 was 19.0 percent, as detailed below:</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66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3Q17</w:t>
            </w:r>
          </w:p>
        </w:tc>
        <w:tc>
          <w:tcPr>
            <w:tcW w:w="1440" w:type="dxa"/>
            <w:vAlign w:val="bottom"/>
            <w:tcBorders>
              <w:bottom w:val="single" w:sz="8" w:color="auto"/>
            </w:tcBorders>
          </w:tcPr>
          <w:p>
            <w:pPr>
              <w:spacing w:after="0"/>
              <w:rPr>
                <w:sz w:val="21"/>
                <w:szCs w:val="21"/>
                <w:color w:val="auto"/>
              </w:rPr>
            </w:pPr>
          </w:p>
        </w:tc>
      </w:tr>
      <w:tr>
        <w:trPr>
          <w:trHeight w:val="229"/>
        </w:trPr>
        <w:tc>
          <w:tcPr>
            <w:tcW w:w="6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Pre-tax</w:t>
            </w:r>
          </w:p>
        </w:tc>
        <w:tc>
          <w:tcPr>
            <w:tcW w:w="380" w:type="dxa"/>
            <w:vAlign w:val="bottom"/>
          </w:tcPr>
          <w:p>
            <w:pPr>
              <w:spacing w:after="0"/>
              <w:rPr>
                <w:sz w:val="19"/>
                <w:szCs w:val="19"/>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Income</w:t>
            </w:r>
          </w:p>
        </w:tc>
        <w:tc>
          <w:tcPr>
            <w:tcW w:w="1440" w:type="dxa"/>
            <w:vAlign w:val="bottom"/>
          </w:tcPr>
          <w:p>
            <w:pPr>
              <w:spacing w:after="0"/>
              <w:rPr>
                <w:sz w:val="19"/>
                <w:szCs w:val="19"/>
                <w:color w:val="auto"/>
              </w:rPr>
            </w:pPr>
          </w:p>
        </w:tc>
      </w:tr>
      <w:tr>
        <w:trPr>
          <w:trHeight w:val="224"/>
        </w:trPr>
        <w:tc>
          <w:tcPr>
            <w:tcW w:w="6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income</w:t>
            </w: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taxes</w:t>
            </w:r>
          </w:p>
        </w:tc>
        <w:tc>
          <w:tcPr>
            <w:tcW w:w="1440" w:type="dxa"/>
            <w:vAlign w:val="bottom"/>
            <w:tcBorders>
              <w:bottom w:val="single" w:sz="8" w:color="auto"/>
            </w:tcBorders>
          </w:tcPr>
          <w:p>
            <w:pPr>
              <w:jc w:val="right"/>
              <w:ind w:right="368"/>
              <w:spacing w:after="0"/>
              <w:rPr>
                <w:sz w:val="20"/>
                <w:szCs w:val="20"/>
                <w:color w:val="auto"/>
              </w:rPr>
            </w:pPr>
            <w:r>
              <w:rPr>
                <w:rFonts w:ascii="Arial" w:cs="Arial" w:eastAsia="Arial" w:hAnsi="Arial"/>
                <w:sz w:val="18"/>
                <w:szCs w:val="18"/>
                <w:color w:val="auto"/>
              </w:rPr>
              <w:t>Tax rate</w:t>
            </w:r>
          </w:p>
        </w:tc>
      </w:tr>
      <w:tr>
        <w:trPr>
          <w:trHeight w:val="257"/>
        </w:trPr>
        <w:tc>
          <w:tcPr>
            <w:tcW w:w="664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2,095</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464</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22.1%</w:t>
            </w:r>
          </w:p>
        </w:tc>
      </w:tr>
      <w:tr>
        <w:trPr>
          <w:trHeight w:val="277"/>
        </w:trPr>
        <w:tc>
          <w:tcPr>
            <w:tcW w:w="6640" w:type="dxa"/>
            <w:vAlign w:val="bottom"/>
          </w:tcPr>
          <w:p>
            <w:pPr>
              <w:spacing w:after="0"/>
              <w:rPr>
                <w:sz w:val="20"/>
                <w:szCs w:val="20"/>
                <w:color w:val="auto"/>
              </w:rPr>
            </w:pPr>
            <w:r>
              <w:rPr>
                <w:rFonts w:ascii="Arial" w:cs="Arial" w:eastAsia="Arial" w:hAnsi="Arial"/>
                <w:sz w:val="18"/>
                <w:szCs w:val="18"/>
                <w:color w:val="auto"/>
              </w:rPr>
              <w:t>Specified items</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711</w:t>
            </w: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70"/>
        </w:trPr>
        <w:tc>
          <w:tcPr>
            <w:tcW w:w="664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2,806</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533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w:t>
            </w: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57"/>
        </w:trPr>
        <w:tc>
          <w:tcPr>
            <w:tcW w:w="6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11</w:t>
            </w:r>
          </w:p>
        </w:tc>
      </w:tr>
    </w:tbl>
    <w:p>
      <w:pPr>
        <w:sectPr>
          <w:pgSz w:w="11900" w:h="16838" w:orient="portrait"/>
          <w:cols w:equalWidth="0" w:num="1">
            <w:col w:w="11420"/>
          </w:cols>
          <w:pgMar w:left="240" w:top="5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AbbVie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Reported to Non-GAAP Adjusted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Nine Months Ended September 30, 2018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20"/>
                <w:szCs w:val="20"/>
                <w:color w:val="auto"/>
              </w:rPr>
            </w:pPr>
            <w:r>
              <w:rPr>
                <w:rFonts w:ascii="Arial" w:cs="Arial" w:eastAsia="Arial" w:hAnsi="Arial"/>
                <w:sz w:val="18"/>
                <w:szCs w:val="18"/>
                <w:color w:val="auto"/>
              </w:rPr>
              <w:t>1.   Specified items impacted results as follows: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85"/>
        </w:trPr>
        <w:tc>
          <w:tcPr>
            <w:tcW w:w="6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9M18</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Diluted</w:t>
            </w: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Pre-tax</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After-tax</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EPS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reported (GAAP)</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7,570</w:t>
            </w:r>
          </w:p>
        </w:tc>
        <w:tc>
          <w:tcPr>
            <w:tcW w:w="4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7,513</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4.79</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Adjusted for specified items: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30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974</w:t>
            </w:r>
          </w:p>
        </w:tc>
        <w:tc>
          <w:tcPr>
            <w:tcW w:w="4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801</w:t>
            </w:r>
          </w:p>
        </w:tc>
        <w:tc>
          <w:tcPr>
            <w:tcW w:w="40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0.51</w:t>
            </w: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Milestones and other R&amp;D expenses</w:t>
            </w:r>
          </w:p>
        </w:tc>
        <w:tc>
          <w:tcPr>
            <w:tcW w:w="30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4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40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Acquired IPR&amp;D</w:t>
            </w:r>
          </w:p>
        </w:tc>
        <w:tc>
          <w:tcPr>
            <w:tcW w:w="30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4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40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0.08</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Calico collaboration</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4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4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0.32</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Charitable contributions</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4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4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0.12</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432</w:t>
            </w:r>
          </w:p>
        </w:tc>
        <w:tc>
          <w:tcPr>
            <w:tcW w:w="4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4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0.28</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Litigation reserves</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346</w:t>
            </w:r>
          </w:p>
        </w:tc>
        <w:tc>
          <w:tcPr>
            <w:tcW w:w="4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4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0.18</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Impacts of U.S. tax reform</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(534)</w:t>
            </w: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64"/>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adjusted (non-GAAP)</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10,306</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9,420</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6.01</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Milestones and other R&amp;D expenses are associated with milestone payments for previously announced collaborations. Acquired IPR&amp;D primarily reflects upfront payments related to R&amp;D collaborations and licensing arrangements with third parties. Impacts of U.S. tax reform reflects a net tax benefit related to the timing of the new legislation's phase in on certain subsidiaries. Other primarily includes milestone revenue under a previously announced collaboration and restructuring charges associated with streamlining global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2. The impact of the specified items by line item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9M18</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29"/>
        </w:trPr>
        <w:tc>
          <w:tcPr>
            <w:tcW w:w="3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color w:val="auto"/>
                <w:w w:val="98"/>
              </w:rPr>
              <w:t>Cost of</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7"/>
              </w:rPr>
              <w:t>Other</w:t>
            </w:r>
          </w:p>
        </w:tc>
      </w:tr>
      <w:tr>
        <w:trPr>
          <w:trHeight w:val="203"/>
        </w:trPr>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Net</w:t>
            </w:r>
          </w:p>
        </w:tc>
        <w:tc>
          <w:tcPr>
            <w:tcW w:w="220" w:type="dxa"/>
            <w:vAlign w:val="bottom"/>
          </w:tcPr>
          <w:p>
            <w:pPr>
              <w:spacing w:after="0"/>
              <w:rPr>
                <w:sz w:val="17"/>
                <w:szCs w:val="17"/>
                <w:color w:val="auto"/>
              </w:rPr>
            </w:pPr>
          </w:p>
        </w:tc>
        <w:tc>
          <w:tcPr>
            <w:tcW w:w="9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8"/>
              </w:rPr>
              <w:t>products</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8"/>
              </w:rPr>
              <w:t>Acquired</w:t>
            </w:r>
          </w:p>
        </w:tc>
        <w:tc>
          <w:tcPr>
            <w:tcW w:w="120" w:type="dxa"/>
            <w:vAlign w:val="bottom"/>
          </w:tcPr>
          <w:p>
            <w:pPr>
              <w:spacing w:after="0"/>
              <w:rPr>
                <w:sz w:val="17"/>
                <w:szCs w:val="17"/>
                <w:color w:val="auto"/>
              </w:rPr>
            </w:pPr>
          </w:p>
        </w:tc>
        <w:tc>
          <w:tcPr>
            <w:tcW w:w="92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8"/>
              </w:rPr>
              <w:t>operating</w:t>
            </w:r>
          </w:p>
        </w:tc>
        <w:tc>
          <w:tcPr>
            <w:tcW w:w="240" w:type="dxa"/>
            <w:vAlign w:val="bottom"/>
          </w:tcPr>
          <w:p>
            <w:pPr>
              <w:spacing w:after="0"/>
              <w:rPr>
                <w:sz w:val="17"/>
                <w:szCs w:val="17"/>
                <w:color w:val="auto"/>
              </w:rPr>
            </w:pPr>
          </w:p>
        </w:tc>
        <w:tc>
          <w:tcPr>
            <w:tcW w:w="90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8"/>
              </w:rPr>
              <w:t>expense,</w:t>
            </w:r>
          </w:p>
        </w:tc>
      </w:tr>
      <w:tr>
        <w:trPr>
          <w:trHeight w:val="224"/>
        </w:trPr>
        <w:tc>
          <w:tcPr>
            <w:tcW w:w="3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revenues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6"/>
              </w:rPr>
              <w:t>sold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SG&amp;A</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R&amp;D</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IPR&amp;D</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5"/>
              </w:rPr>
              <w:t>net</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b w:val="1"/>
                <w:bCs w:val="1"/>
                <w:color w:val="auto"/>
              </w:rPr>
              <w:t>As reported (GAAP)</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24,448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5,696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5,470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3,834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124</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500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411</w:t>
            </w:r>
          </w:p>
        </w:tc>
      </w:tr>
      <w:tr>
        <w:trPr>
          <w:trHeight w:val="270"/>
        </w:trPr>
        <w:tc>
          <w:tcPr>
            <w:tcW w:w="3500" w:type="dxa"/>
            <w:vAlign w:val="bottom"/>
          </w:tcPr>
          <w:p>
            <w:pPr>
              <w:ind w:left="40"/>
              <w:spacing w:after="0"/>
              <w:rPr>
                <w:sz w:val="20"/>
                <w:szCs w:val="20"/>
                <w:color w:val="auto"/>
              </w:rPr>
            </w:pPr>
            <w:r>
              <w:rPr>
                <w:rFonts w:ascii="Arial" w:cs="Arial" w:eastAsia="Arial" w:hAnsi="Arial"/>
                <w:sz w:val="18"/>
                <w:szCs w:val="18"/>
                <w:color w:val="auto"/>
              </w:rPr>
              <w:t>Adjusted for specified items:</w:t>
            </w: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350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1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(974)</w:t>
            </w:r>
          </w:p>
        </w:tc>
        <w:tc>
          <w:tcPr>
            <w:tcW w:w="26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ind w:left="180"/>
              <w:spacing w:after="0"/>
              <w:rPr>
                <w:sz w:val="20"/>
                <w:szCs w:val="20"/>
                <w:color w:val="auto"/>
              </w:rPr>
            </w:pPr>
            <w:r>
              <w:rPr>
                <w:rFonts w:ascii="Arial" w:cs="Arial" w:eastAsia="Arial" w:hAnsi="Arial"/>
                <w:sz w:val="18"/>
                <w:szCs w:val="18"/>
                <w:color w:val="auto"/>
              </w:rPr>
              <w:t>Milestones and other R&amp;D expenses</w:t>
            </w:r>
          </w:p>
        </w:tc>
        <w:tc>
          <w:tcPr>
            <w:tcW w:w="1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ind w:left="180"/>
              <w:spacing w:after="0"/>
              <w:rPr>
                <w:sz w:val="20"/>
                <w:szCs w:val="20"/>
                <w:color w:val="auto"/>
              </w:rPr>
            </w:pPr>
            <w:r>
              <w:rPr>
                <w:rFonts w:ascii="Arial" w:cs="Arial" w:eastAsia="Arial" w:hAnsi="Arial"/>
                <w:sz w:val="18"/>
                <w:szCs w:val="18"/>
                <w:color w:val="auto"/>
              </w:rPr>
              <w:t>Acquired IPR&amp;D</w:t>
            </w:r>
          </w:p>
        </w:tc>
        <w:tc>
          <w:tcPr>
            <w:tcW w:w="1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ind w:left="180"/>
              <w:spacing w:after="0"/>
              <w:rPr>
                <w:sz w:val="20"/>
                <w:szCs w:val="20"/>
                <w:color w:val="auto"/>
              </w:rPr>
            </w:pPr>
            <w:r>
              <w:rPr>
                <w:rFonts w:ascii="Arial" w:cs="Arial" w:eastAsia="Arial" w:hAnsi="Arial"/>
                <w:sz w:val="18"/>
                <w:szCs w:val="18"/>
                <w:color w:val="auto"/>
              </w:rPr>
              <w:t>Calico collaboration</w:t>
            </w:r>
          </w:p>
        </w:tc>
        <w:tc>
          <w:tcPr>
            <w:tcW w:w="1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ind w:left="180"/>
              <w:spacing w:after="0"/>
              <w:rPr>
                <w:sz w:val="20"/>
                <w:szCs w:val="20"/>
                <w:color w:val="auto"/>
              </w:rPr>
            </w:pPr>
            <w:r>
              <w:rPr>
                <w:rFonts w:ascii="Arial" w:cs="Arial" w:eastAsia="Arial" w:hAnsi="Arial"/>
                <w:sz w:val="18"/>
                <w:szCs w:val="18"/>
                <w:color w:val="auto"/>
              </w:rPr>
              <w:t>Charitable contributions</w:t>
            </w:r>
          </w:p>
        </w:tc>
        <w:tc>
          <w:tcPr>
            <w:tcW w:w="1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23"/>
                <w:szCs w:val="23"/>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3500" w:type="dxa"/>
            <w:vAlign w:val="bottom"/>
          </w:tcPr>
          <w:p>
            <w:pPr>
              <w:ind w:left="180"/>
              <w:spacing w:after="0"/>
              <w:rPr>
                <w:sz w:val="20"/>
                <w:szCs w:val="20"/>
                <w:color w:val="auto"/>
              </w:rPr>
            </w:pPr>
            <w:r>
              <w:rPr>
                <w:rFonts w:ascii="Arial" w:cs="Arial" w:eastAsia="Arial" w:hAnsi="Arial"/>
                <w:sz w:val="18"/>
                <w:szCs w:val="18"/>
                <w:color w:val="auto"/>
              </w:rPr>
              <w:t>Change in fair value of contingent</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7"/>
        </w:trPr>
        <w:tc>
          <w:tcPr>
            <w:tcW w:w="3500" w:type="dxa"/>
            <w:vAlign w:val="bottom"/>
          </w:tcPr>
          <w:p>
            <w:pPr>
              <w:ind w:left="340"/>
              <w:spacing w:after="0"/>
              <w:rPr>
                <w:sz w:val="20"/>
                <w:szCs w:val="20"/>
                <w:color w:val="auto"/>
              </w:rPr>
            </w:pPr>
            <w:r>
              <w:rPr>
                <w:rFonts w:ascii="Arial" w:cs="Arial" w:eastAsia="Arial" w:hAnsi="Arial"/>
                <w:sz w:val="18"/>
                <w:szCs w:val="18"/>
                <w:color w:val="auto"/>
              </w:rPr>
              <w:t>consideration</w:t>
            </w:r>
          </w:p>
        </w:tc>
        <w:tc>
          <w:tcPr>
            <w:tcW w:w="14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57"/>
        </w:trPr>
        <w:tc>
          <w:tcPr>
            <w:tcW w:w="3500" w:type="dxa"/>
            <w:vAlign w:val="bottom"/>
          </w:tcPr>
          <w:p>
            <w:pPr>
              <w:ind w:left="180"/>
              <w:spacing w:after="0"/>
              <w:rPr>
                <w:sz w:val="20"/>
                <w:szCs w:val="20"/>
                <w:color w:val="auto"/>
              </w:rPr>
            </w:pPr>
            <w:r>
              <w:rPr>
                <w:rFonts w:ascii="Arial" w:cs="Arial" w:eastAsia="Arial" w:hAnsi="Arial"/>
                <w:sz w:val="18"/>
                <w:szCs w:val="18"/>
                <w:color w:val="auto"/>
              </w:rPr>
              <w:t>Litigation reserves</w:t>
            </w:r>
          </w:p>
        </w:tc>
        <w:tc>
          <w:tcPr>
            <w:tcW w:w="14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22"/>
                <w:szCs w:val="22"/>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3"/>
                <w:szCs w:val="23"/>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500" w:type="dxa"/>
            <w:vAlign w:val="bottom"/>
          </w:tcPr>
          <w:p>
            <w:pPr>
              <w:ind w:left="40"/>
              <w:spacing w:after="0"/>
              <w:rPr>
                <w:sz w:val="20"/>
                <w:szCs w:val="20"/>
                <w:color w:val="auto"/>
              </w:rPr>
            </w:pPr>
            <w:r>
              <w:rPr>
                <w:rFonts w:ascii="Arial" w:cs="Arial" w:eastAsia="Arial" w:hAnsi="Arial"/>
                <w:sz w:val="18"/>
                <w:szCs w:val="18"/>
                <w:b w:val="1"/>
                <w:bCs w:val="1"/>
                <w:color w:val="auto"/>
              </w:rPr>
              <w:t>As adjusted (non-GAAP)</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24,428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4,688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4,888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3,724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r>
      <w:tr>
        <w:trPr>
          <w:trHeight w:val="20"/>
        </w:trPr>
        <w:tc>
          <w:tcPr>
            <w:tcW w:w="3500" w:type="dxa"/>
            <w:vAlign w:val="bottom"/>
          </w:tcPr>
          <w:p>
            <w:pPr>
              <w:spacing w:after="0" w:line="20" w:lineRule="exact"/>
              <w:rPr>
                <w:sz w:val="1"/>
                <w:szCs w:val="1"/>
                <w:color w:val="auto"/>
              </w:rPr>
            </w:pPr>
          </w:p>
        </w:tc>
        <w:tc>
          <w:tcPr>
            <w:tcW w:w="3180" w:type="dxa"/>
            <w:vAlign w:val="bottom"/>
            <w:tcBorders>
              <w:bottom w:val="single" w:sz="8" w:color="auto"/>
            </w:tcBorders>
            <w:gridSpan w:val="6"/>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72"/>
        </w:trPr>
        <w:tc>
          <w:tcPr>
            <w:tcW w:w="8080" w:type="dxa"/>
            <w:vAlign w:val="bottom"/>
            <w:gridSpan w:val="10"/>
          </w:tcPr>
          <w:p>
            <w:pPr>
              <w:spacing w:after="0"/>
              <w:rPr>
                <w:sz w:val="20"/>
                <w:szCs w:val="20"/>
                <w:color w:val="auto"/>
              </w:rPr>
            </w:pPr>
            <w:r>
              <w:rPr>
                <w:rFonts w:ascii="Arial" w:cs="Arial" w:eastAsia="Arial" w:hAnsi="Arial"/>
                <w:sz w:val="18"/>
                <w:szCs w:val="18"/>
                <w:color w:val="auto"/>
              </w:rPr>
              <w:t>3. The adjusted tax rate for the first nine months of 2018 was 8.6 percent, as detailed below:</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85"/>
        </w:trPr>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9M18</w:t>
            </w: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9"/>
        </w:trPr>
        <w:tc>
          <w:tcPr>
            <w:tcW w:w="3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Pre-tax</w:t>
            </w: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Income</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3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income</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taxes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w w:val="99"/>
              </w:rPr>
              <w:t>Tax rate</w:t>
            </w:r>
          </w:p>
        </w:tc>
      </w:tr>
      <w:tr>
        <w:trPr>
          <w:trHeight w:val="257"/>
        </w:trPr>
        <w:tc>
          <w:tcPr>
            <w:tcW w:w="3500" w:type="dxa"/>
            <w:vAlign w:val="bottom"/>
          </w:tcPr>
          <w:p>
            <w:pPr>
              <w:ind w:left="40"/>
              <w:spacing w:after="0"/>
              <w:rPr>
                <w:sz w:val="20"/>
                <w:szCs w:val="20"/>
                <w:color w:val="auto"/>
              </w:rPr>
            </w:pPr>
            <w:r>
              <w:rPr>
                <w:rFonts w:ascii="Arial" w:cs="Arial" w:eastAsia="Arial" w:hAnsi="Arial"/>
                <w:sz w:val="18"/>
                <w:szCs w:val="18"/>
                <w:b w:val="1"/>
                <w:bCs w:val="1"/>
                <w:color w:val="auto"/>
              </w:rPr>
              <w:t>As reported (GAAP)</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7,570</w:t>
            </w:r>
          </w:p>
        </w:tc>
        <w:tc>
          <w:tcPr>
            <w:tcW w:w="160" w:type="dxa"/>
            <w:vAlign w:val="bottom"/>
          </w:tcPr>
          <w:p>
            <w:pPr>
              <w:spacing w:after="0"/>
              <w:rPr>
                <w:sz w:val="22"/>
                <w:szCs w:val="22"/>
                <w:color w:val="auto"/>
              </w:rPr>
            </w:pPr>
          </w:p>
        </w:tc>
        <w:tc>
          <w:tcPr>
            <w:tcW w:w="1000" w:type="dxa"/>
            <w:vAlign w:val="bottom"/>
          </w:tcPr>
          <w:p>
            <w:pPr>
              <w:jc w:val="right"/>
              <w:ind w:right="7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920" w:type="dxa"/>
            <w:vAlign w:val="bottom"/>
          </w:tcPr>
          <w:p>
            <w:pPr>
              <w:jc w:val="right"/>
              <w:ind w:right="530"/>
              <w:spacing w:after="0"/>
              <w:rPr>
                <w:sz w:val="20"/>
                <w:szCs w:val="20"/>
                <w:color w:val="auto"/>
              </w:rPr>
            </w:pPr>
            <w:r>
              <w:rPr>
                <w:rFonts w:ascii="Arial" w:cs="Arial" w:eastAsia="Arial" w:hAnsi="Arial"/>
                <w:sz w:val="18"/>
                <w:szCs w:val="18"/>
                <w:b w:val="1"/>
                <w:bCs w:val="1"/>
                <w:color w:val="auto"/>
              </w:rPr>
              <w:t>57</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0.8%</w:t>
            </w:r>
          </w:p>
        </w:tc>
      </w:tr>
      <w:tr>
        <w:trPr>
          <w:trHeight w:val="277"/>
        </w:trPr>
        <w:tc>
          <w:tcPr>
            <w:tcW w:w="3500" w:type="dxa"/>
            <w:vAlign w:val="bottom"/>
          </w:tcPr>
          <w:p>
            <w:pPr>
              <w:ind w:left="40"/>
              <w:spacing w:after="0"/>
              <w:rPr>
                <w:sz w:val="20"/>
                <w:szCs w:val="20"/>
                <w:color w:val="auto"/>
              </w:rPr>
            </w:pPr>
            <w:r>
              <w:rPr>
                <w:rFonts w:ascii="Arial" w:cs="Arial" w:eastAsia="Arial" w:hAnsi="Arial"/>
                <w:sz w:val="18"/>
                <w:szCs w:val="18"/>
                <w:color w:val="auto"/>
              </w:rPr>
              <w:t>Specified items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829</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r>
      <w:tr>
        <w:trPr>
          <w:trHeight w:val="270"/>
        </w:trPr>
        <w:tc>
          <w:tcPr>
            <w:tcW w:w="3500" w:type="dxa"/>
            <w:vAlign w:val="bottom"/>
          </w:tcPr>
          <w:p>
            <w:pPr>
              <w:ind w:left="40"/>
              <w:spacing w:after="0"/>
              <w:rPr>
                <w:sz w:val="20"/>
                <w:szCs w:val="20"/>
                <w:color w:val="auto"/>
              </w:rPr>
            </w:pPr>
            <w:r>
              <w:rPr>
                <w:rFonts w:ascii="Arial" w:cs="Arial" w:eastAsia="Arial" w:hAnsi="Arial"/>
                <w:sz w:val="18"/>
                <w:szCs w:val="18"/>
                <w:b w:val="1"/>
                <w:bCs w:val="1"/>
                <w:color w:val="auto"/>
              </w:rPr>
              <w:t>As adjusted (non-GAAP)</w:t>
            </w: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10,306</w:t>
            </w:r>
          </w:p>
        </w:tc>
        <w:tc>
          <w:tcPr>
            <w:tcW w:w="160" w:type="dxa"/>
            <w:vAlign w:val="bottom"/>
          </w:tcPr>
          <w:p>
            <w:pPr>
              <w:spacing w:after="0"/>
              <w:rPr>
                <w:sz w:val="23"/>
                <w:szCs w:val="23"/>
                <w:color w:val="auto"/>
              </w:rPr>
            </w:pPr>
          </w:p>
        </w:tc>
        <w:tc>
          <w:tcPr>
            <w:tcW w:w="1000" w:type="dxa"/>
            <w:vAlign w:val="bottom"/>
          </w:tcPr>
          <w:p>
            <w:pPr>
              <w:jc w:val="right"/>
              <w:ind w:right="75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886</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8.6%</w:t>
            </w:r>
          </w:p>
        </w:tc>
      </w:tr>
      <w:tr>
        <w:trPr>
          <w:trHeight w:val="20"/>
        </w:trPr>
        <w:tc>
          <w:tcPr>
            <w:tcW w:w="3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39"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420"/>
          </w:cols>
          <w:pgMar w:left="240" w:top="580"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AbbVie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Reported to Non-GAAP Adjusted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Nine Months Ended September 30, 2017</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(In millions,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20"/>
                <w:szCs w:val="20"/>
                <w:color w:val="auto"/>
              </w:rPr>
            </w:pPr>
            <w:r>
              <w:rPr>
                <w:rFonts w:ascii="Arial" w:cs="Arial" w:eastAsia="Arial" w:hAnsi="Arial"/>
                <w:sz w:val="18"/>
                <w:szCs w:val="18"/>
                <w:color w:val="auto"/>
              </w:rPr>
              <w:t>1.   Specified items impacted results as follows: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85"/>
        </w:trPr>
        <w:tc>
          <w:tcPr>
            <w:tcW w:w="6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9M17</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Diluted</w:t>
            </w: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Pre-tax</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After-tax</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EPS</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reported (GAAP)</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6,534</w:t>
            </w:r>
          </w:p>
        </w:tc>
        <w:tc>
          <w:tcPr>
            <w:tcW w:w="4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5,257</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3.27</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Adjusted for specified items: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30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808</w:t>
            </w:r>
          </w:p>
        </w:tc>
        <w:tc>
          <w:tcPr>
            <w:tcW w:w="4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606</w:t>
            </w:r>
          </w:p>
        </w:tc>
        <w:tc>
          <w:tcPr>
            <w:tcW w:w="40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0.37</w:t>
            </w: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Milestones and other R&amp;D expenses</w:t>
            </w:r>
          </w:p>
        </w:tc>
        <w:tc>
          <w:tcPr>
            <w:tcW w:w="30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4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40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Acquired IPR&amp;D</w:t>
            </w:r>
          </w:p>
        </w:tc>
        <w:tc>
          <w:tcPr>
            <w:tcW w:w="30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Acquisition related costs</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4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0.03</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4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546</w:t>
            </w:r>
          </w:p>
        </w:tc>
        <w:tc>
          <w:tcPr>
            <w:tcW w:w="4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0.34</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Litigation reserves</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4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4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64"/>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adjusted (non-GAAP)</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8,161</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6,622</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4.11</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Milestones and other R&amp;D expenses are associated with milestone payments for previously announced collaborations. Acquired IPR&amp;D primarily reflects upfront payments related to R&amp;D collaborations and licensing arrangements with third parties. Acquisition related costs primarily includes the amortization of the acquisition date fair value step-up for inventory related to the acquisition of Pharmacyclics. Other includes restructuring charges associated with streamlining global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2. The impact of the specified items by line item was as follows: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4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9M17</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229"/>
        </w:trPr>
        <w:tc>
          <w:tcPr>
            <w:tcW w:w="4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Cost of</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Acquired</w:t>
            </w:r>
          </w:p>
        </w:tc>
        <w:tc>
          <w:tcPr>
            <w:tcW w:w="340" w:type="dxa"/>
            <w:vAlign w:val="bottom"/>
          </w:tcPr>
          <w:p>
            <w:pPr>
              <w:spacing w:after="0"/>
              <w:rPr>
                <w:sz w:val="19"/>
                <w:szCs w:val="19"/>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Other</w:t>
            </w:r>
          </w:p>
        </w:tc>
      </w:tr>
      <w:tr>
        <w:trPr>
          <w:trHeight w:val="224"/>
        </w:trPr>
        <w:tc>
          <w:tcPr>
            <w:tcW w:w="4600" w:type="dxa"/>
            <w:vAlign w:val="bottom"/>
          </w:tcPr>
          <w:p>
            <w:pPr>
              <w:spacing w:after="0"/>
              <w:rPr>
                <w:sz w:val="19"/>
                <w:szCs w:val="19"/>
                <w:color w:val="auto"/>
              </w:rPr>
            </w:pPr>
          </w:p>
        </w:tc>
        <w:tc>
          <w:tcPr>
            <w:tcW w:w="13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products sold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SG&amp;A</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R&amp;D</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IPR&amp;D</w:t>
            </w: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expense, net</w:t>
            </w:r>
          </w:p>
        </w:tc>
      </w:tr>
      <w:tr>
        <w:trPr>
          <w:trHeight w:val="243"/>
        </w:trPr>
        <w:tc>
          <w:tcPr>
            <w:tcW w:w="460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4,761</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4,339</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3,599</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15</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449</w:t>
            </w:r>
          </w:p>
        </w:tc>
      </w:tr>
      <w:tr>
        <w:trPr>
          <w:trHeight w:val="270"/>
        </w:trPr>
        <w:tc>
          <w:tcPr>
            <w:tcW w:w="4600" w:type="dxa"/>
            <w:vAlign w:val="bottom"/>
          </w:tcPr>
          <w:p>
            <w:pPr>
              <w:spacing w:after="0"/>
              <w:rPr>
                <w:sz w:val="20"/>
                <w:szCs w:val="20"/>
                <w:color w:val="auto"/>
              </w:rPr>
            </w:pPr>
            <w:r>
              <w:rPr>
                <w:rFonts w:ascii="Arial" w:cs="Arial" w:eastAsia="Arial" w:hAnsi="Arial"/>
                <w:sz w:val="18"/>
                <w:szCs w:val="18"/>
                <w:color w:val="auto"/>
              </w:rPr>
              <w:t>Adjusted for specified items:</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4600" w:type="dxa"/>
            <w:vAlign w:val="bottom"/>
          </w:tcPr>
          <w:p>
            <w:pPr>
              <w:ind w:left="14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32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600" w:type="dxa"/>
            <w:vAlign w:val="bottom"/>
          </w:tcPr>
          <w:p>
            <w:pPr>
              <w:ind w:left="140"/>
              <w:spacing w:after="0"/>
              <w:rPr>
                <w:sz w:val="20"/>
                <w:szCs w:val="20"/>
                <w:color w:val="auto"/>
              </w:rPr>
            </w:pPr>
            <w:r>
              <w:rPr>
                <w:rFonts w:ascii="Arial" w:cs="Arial" w:eastAsia="Arial" w:hAnsi="Arial"/>
                <w:sz w:val="18"/>
                <w:szCs w:val="18"/>
                <w:color w:val="auto"/>
              </w:rPr>
              <w:t>Milestones and other R&amp;D expenses</w:t>
            </w:r>
          </w:p>
        </w:tc>
        <w:tc>
          <w:tcPr>
            <w:tcW w:w="2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600" w:type="dxa"/>
            <w:vAlign w:val="bottom"/>
          </w:tcPr>
          <w:p>
            <w:pPr>
              <w:ind w:left="140"/>
              <w:spacing w:after="0"/>
              <w:rPr>
                <w:sz w:val="20"/>
                <w:szCs w:val="20"/>
                <w:color w:val="auto"/>
              </w:rPr>
            </w:pPr>
            <w:r>
              <w:rPr>
                <w:rFonts w:ascii="Arial" w:cs="Arial" w:eastAsia="Arial" w:hAnsi="Arial"/>
                <w:sz w:val="18"/>
                <w:szCs w:val="18"/>
                <w:color w:val="auto"/>
              </w:rPr>
              <w:t>Acquired IPR&amp;D</w:t>
            </w:r>
          </w:p>
        </w:tc>
        <w:tc>
          <w:tcPr>
            <w:tcW w:w="2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600" w:type="dxa"/>
            <w:vAlign w:val="bottom"/>
          </w:tcPr>
          <w:p>
            <w:pPr>
              <w:ind w:left="140"/>
              <w:spacing w:after="0"/>
              <w:rPr>
                <w:sz w:val="20"/>
                <w:szCs w:val="20"/>
                <w:color w:val="auto"/>
              </w:rPr>
            </w:pPr>
            <w:r>
              <w:rPr>
                <w:rFonts w:ascii="Arial" w:cs="Arial" w:eastAsia="Arial" w:hAnsi="Arial"/>
                <w:sz w:val="18"/>
                <w:szCs w:val="18"/>
                <w:color w:val="auto"/>
              </w:rPr>
              <w:t>Acquisition related costs</w:t>
            </w:r>
          </w:p>
        </w:tc>
        <w:tc>
          <w:tcPr>
            <w:tcW w:w="2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460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70"/>
        </w:trPr>
        <w:tc>
          <w:tcPr>
            <w:tcW w:w="4600" w:type="dxa"/>
            <w:vAlign w:val="bottom"/>
          </w:tcPr>
          <w:p>
            <w:pPr>
              <w:ind w:left="140"/>
              <w:spacing w:after="0"/>
              <w:rPr>
                <w:sz w:val="20"/>
                <w:szCs w:val="20"/>
                <w:color w:val="auto"/>
              </w:rPr>
            </w:pPr>
            <w:r>
              <w:rPr>
                <w:rFonts w:ascii="Arial" w:cs="Arial" w:eastAsia="Arial" w:hAnsi="Arial"/>
                <w:sz w:val="18"/>
                <w:szCs w:val="18"/>
                <w:color w:val="auto"/>
              </w:rPr>
              <w:t>Litigation reserves</w:t>
            </w:r>
          </w:p>
        </w:tc>
        <w:tc>
          <w:tcPr>
            <w:tcW w:w="2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3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600" w:type="dxa"/>
            <w:vAlign w:val="bottom"/>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460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3,887</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4,223</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3,526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r>
      <w:tr>
        <w:trPr>
          <w:trHeight w:val="20"/>
        </w:trPr>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3. The adjusted tax rate for the first nine months of 2017 was 18.9 percent, as detailed below:</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66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9M17</w:t>
            </w:r>
          </w:p>
        </w:tc>
        <w:tc>
          <w:tcPr>
            <w:tcW w:w="1440" w:type="dxa"/>
            <w:vAlign w:val="bottom"/>
            <w:tcBorders>
              <w:bottom w:val="single" w:sz="8" w:color="auto"/>
            </w:tcBorders>
          </w:tcPr>
          <w:p>
            <w:pPr>
              <w:spacing w:after="0"/>
              <w:rPr>
                <w:sz w:val="21"/>
                <w:szCs w:val="21"/>
                <w:color w:val="auto"/>
              </w:rPr>
            </w:pPr>
          </w:p>
        </w:tc>
      </w:tr>
      <w:tr>
        <w:trPr>
          <w:trHeight w:val="229"/>
        </w:trPr>
        <w:tc>
          <w:tcPr>
            <w:tcW w:w="6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Pre-tax</w:t>
            </w:r>
          </w:p>
        </w:tc>
        <w:tc>
          <w:tcPr>
            <w:tcW w:w="380" w:type="dxa"/>
            <w:vAlign w:val="bottom"/>
          </w:tcPr>
          <w:p>
            <w:pPr>
              <w:spacing w:after="0"/>
              <w:rPr>
                <w:sz w:val="19"/>
                <w:szCs w:val="19"/>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color w:val="auto"/>
              </w:rPr>
              <w:t>Income</w:t>
            </w:r>
          </w:p>
        </w:tc>
        <w:tc>
          <w:tcPr>
            <w:tcW w:w="1440" w:type="dxa"/>
            <w:vAlign w:val="bottom"/>
          </w:tcPr>
          <w:p>
            <w:pPr>
              <w:spacing w:after="0"/>
              <w:rPr>
                <w:sz w:val="19"/>
                <w:szCs w:val="19"/>
                <w:color w:val="auto"/>
              </w:rPr>
            </w:pPr>
          </w:p>
        </w:tc>
      </w:tr>
      <w:tr>
        <w:trPr>
          <w:trHeight w:val="224"/>
        </w:trPr>
        <w:tc>
          <w:tcPr>
            <w:tcW w:w="6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income</w:t>
            </w: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taxes</w:t>
            </w: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Tax rate</w:t>
            </w:r>
          </w:p>
        </w:tc>
      </w:tr>
      <w:tr>
        <w:trPr>
          <w:trHeight w:val="257"/>
        </w:trPr>
        <w:tc>
          <w:tcPr>
            <w:tcW w:w="664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6,534</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1,277</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19.5%</w:t>
            </w:r>
          </w:p>
        </w:tc>
      </w:tr>
      <w:tr>
        <w:trPr>
          <w:trHeight w:val="277"/>
        </w:trPr>
        <w:tc>
          <w:tcPr>
            <w:tcW w:w="6640" w:type="dxa"/>
            <w:vAlign w:val="bottom"/>
          </w:tcPr>
          <w:p>
            <w:pPr>
              <w:spacing w:after="0"/>
              <w:rPr>
                <w:sz w:val="20"/>
                <w:szCs w:val="20"/>
                <w:color w:val="auto"/>
              </w:rPr>
            </w:pPr>
            <w:r>
              <w:rPr>
                <w:rFonts w:ascii="Arial" w:cs="Arial" w:eastAsia="Arial" w:hAnsi="Arial"/>
                <w:sz w:val="18"/>
                <w:szCs w:val="18"/>
                <w:color w:val="auto"/>
              </w:rPr>
              <w:t>Specified items</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1,627</w:t>
            </w: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262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70"/>
        </w:trPr>
        <w:tc>
          <w:tcPr>
            <w:tcW w:w="664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8,161</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1,539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w:t>
            </w: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39"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13</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a"/>
      <w:numFmt w:val="bullet"/>
      <w:start w:val="1"/>
    </w:lvl>
  </w:abstractNum>
  <w:abstractNum w:abstractNumId="9">
    <w:nsid w:val="1190CDE7"/>
    <w:multiLevelType w:val="hybridMultilevel"/>
    <w:lvl w:ilvl="0">
      <w:lvlJc w:val="left"/>
      <w:lvlText w:val="b"/>
      <w:numFmt w:val="bullet"/>
      <w:start w:val="1"/>
    </w:lvl>
  </w:abstractNum>
  <w:abstractNum w:abstractNumId="10">
    <w:nsid w:val="66EF438D"/>
    <w:multiLevelType w:val="hybridMultilevel"/>
    <w:lvl w:ilvl="0">
      <w:lvlJc w:val="left"/>
      <w:lvlText w:val="a"/>
      <w:numFmt w:val="bullet"/>
      <w:start w:val="1"/>
    </w:lvl>
  </w:abstractNum>
  <w:abstractNum w:abstractNumId="11">
    <w:nsid w:val="140E0F76"/>
    <w:multiLevelType w:val="hybridMultilevel"/>
    <w:lvl w:ilvl="0">
      <w:lvlJc w:val="left"/>
      <w:lvlText w:val="b"/>
      <w:numFmt w:val="bullet"/>
      <w:start w:val="1"/>
    </w:lvl>
  </w:abstractNum>
  <w:abstractNum w:abstractNumId="12">
    <w:nsid w:val="3352255A"/>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2019-12-28T18:36:41Z</dcterms:created>
  <dcterms:modified xsi:type="dcterms:W3CDTF">2019-12-28T18:36:41Z</dcterms:modified>
</cp:coreProperties>
</file>