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1452d4_8k.htm"/>
      <w:bookmarkStart w:id="1" w:name="kstm2621452d4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0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8_edei--DocumentPeriodEndDate_c202"/>
      <w:bookmarkEnd w:id="3"/>
      <w:r>
        <w:rPr>
          <w:rFonts w:ascii="Times New Roman;Times;Serif" w:hAnsi="Times New Roman;Times;Serif"/>
          <w:b w:val="false"/>
          <w:i w:val="false"/>
          <w:caps w:val="false"/>
          <w:smallCaps w:val="false"/>
          <w:sz w:val="20"/>
        </w:rPr>
        <w:t xml:space="preserve">August 4,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ABBVIE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2435"/>
        <w:gridCol w:w="60"/>
        <w:gridCol w:w="1385"/>
        <w:gridCol w:w="60"/>
        <w:gridCol w:w="2375"/>
      </w:tblGrid>
      <w:tr>
        <w:trPr/>
        <w:tc>
          <w:tcPr>
            <w:tcW w:w="2435" w:type="dxa"/>
            <w:tcBorders/>
            <w:vAlign w:val="center"/>
          </w:tcPr>
          <w:p>
            <w:pPr>
              <w:pStyle w:val="TableContents"/>
              <w:bidi w:val="0"/>
              <w:spacing w:before="0" w:after="283"/>
              <w:jc w:val="center"/>
              <w:rPr>
                <w:b/>
              </w:rPr>
            </w:pPr>
            <w:bookmarkStart w:id="5" w:name="xdx_906_edei--EntityIncorporationStateCo"/>
            <w:bookmarkEnd w:id="5"/>
            <w:r>
              <w:rPr>
                <w:b/>
              </w:rPr>
              <w:t>Delaware</w:t>
            </w:r>
          </w:p>
        </w:tc>
        <w:tc>
          <w:tcPr>
            <w:tcW w:w="60" w:type="dxa"/>
            <w:tcBorders/>
            <w:vAlign w:val="center"/>
          </w:tcPr>
          <w:p>
            <w:pPr>
              <w:pStyle w:val="TableContents"/>
              <w:bidi w:val="0"/>
              <w:spacing w:before="0" w:after="283"/>
              <w:jc w:val="center"/>
              <w:rPr/>
            </w:pPr>
            <w:r>
              <w:rPr/>
              <w:t> </w:t>
            </w:r>
          </w:p>
        </w:tc>
        <w:tc>
          <w:tcPr>
            <w:tcW w:w="1385" w:type="dxa"/>
            <w:tcBorders/>
            <w:vAlign w:val="center"/>
          </w:tcPr>
          <w:p>
            <w:pPr>
              <w:pStyle w:val="TableContents"/>
              <w:bidi w:val="0"/>
              <w:spacing w:before="0" w:after="283"/>
              <w:jc w:val="center"/>
              <w:rPr>
                <w:b/>
              </w:rPr>
            </w:pPr>
            <w:bookmarkStart w:id="6" w:name="xdx_90F_edei--EntityFileNumber_c20260804"/>
            <w:bookmarkEnd w:id="6"/>
            <w:r>
              <w:rPr>
                <w:b/>
              </w:rPr>
              <w:t>001-35565</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b/>
              </w:rPr>
            </w:pPr>
            <w:bookmarkStart w:id="7" w:name="xdx_907_edei--EntityTaxIdentificationNum"/>
            <w:bookmarkEnd w:id="7"/>
            <w:r>
              <w:rPr>
                <w:b/>
              </w:rPr>
              <w:t>32-0375147</w:t>
            </w:r>
          </w:p>
        </w:tc>
      </w:tr>
      <w:tr>
        <w:trPr/>
        <w:tc>
          <w:tcPr>
            <w:tcW w:w="2435" w:type="dxa"/>
            <w:tcBorders/>
            <w:vAlign w:val="center"/>
          </w:tcPr>
          <w:p>
            <w:pPr>
              <w:pStyle w:val="TableContents"/>
              <w:bidi w:val="0"/>
              <w:spacing w:before="0" w:after="283"/>
              <w:jc w:val="center"/>
              <w:rPr>
                <w:b/>
              </w:rPr>
            </w:pPr>
            <w:r>
              <w:rPr>
                <w:b/>
              </w:rPr>
              <w:t>(State of Incorporation)</w:t>
            </w:r>
          </w:p>
        </w:tc>
        <w:tc>
          <w:tcPr>
            <w:tcW w:w="60" w:type="dxa"/>
            <w:tcBorders/>
            <w:vAlign w:val="center"/>
          </w:tcPr>
          <w:p>
            <w:pPr>
              <w:pStyle w:val="TableContents"/>
              <w:bidi w:val="0"/>
              <w:spacing w:before="0" w:after="283"/>
              <w:jc w:val="center"/>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b/>
              </w:rPr>
            </w:pPr>
            <w:r>
              <w:rPr>
                <w:b/>
              </w:rPr>
              <w:t xml:space="preserve">(IRS Employer </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1 North Waukegan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CityOrTown_c2"/>
      <w:bookmarkEnd w:id="9"/>
      <w:r>
        <w:rPr>
          <w:rFonts w:ascii="Times New Roman;Times;Serif" w:hAnsi="Times New Roman;Times;Serif"/>
          <w:b/>
          <w:i w:val="false"/>
          <w:caps w:val="false"/>
          <w:smallCaps w:val="false"/>
          <w:sz w:val="20"/>
        </w:rPr>
        <w:t xml:space="preserve">North Chicago, </w:t>
      </w:r>
      <w:bookmarkStart w:id="10" w:name="xdx_901_edei--EntityAddressStateOrProvin"/>
      <w:bookmarkEnd w:id="10"/>
      <w:r>
        <w:rPr>
          <w:rFonts w:ascii="Times New Roman;Times;Serif" w:hAnsi="Times New Roman;Times;Serif"/>
          <w:b/>
          <w:i w:val="false"/>
          <w:caps w:val="false"/>
          <w:smallCaps w:val="false"/>
          <w:sz w:val="20"/>
        </w:rPr>
        <w:t xml:space="preserve">Illinois </w:t>
      </w:r>
      <w:bookmarkStart w:id="11" w:name="xdx_900_edei--EntityAddressPostalZipCode"/>
      <w:bookmarkEnd w:id="11"/>
      <w:r>
        <w:rPr>
          <w:rFonts w:ascii="Times New Roman;Times;Serif" w:hAnsi="Times New Roman;Times;Serif"/>
          <w:b/>
          <w:i w:val="false"/>
          <w:caps w:val="false"/>
          <w:smallCaps w:val="false"/>
          <w:sz w:val="20"/>
        </w:rPr>
        <w:t>60064-6400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A_edei--CityAreaCode_c20260804__20"/>
      <w:bookmarkEnd w:id="12"/>
      <w:r>
        <w:rPr>
          <w:rFonts w:ascii="Times New Roman;Times;Serif" w:hAnsi="Times New Roman;Times;Serif"/>
          <w:b/>
          <w:i w:val="false"/>
          <w:caps w:val="false"/>
          <w:smallCaps w:val="false"/>
          <w:sz w:val="20"/>
        </w:rPr>
        <w:t xml:space="preserve">847) </w:t>
      </w:r>
      <w:bookmarkStart w:id="13" w:name="xdx_903_edei--LocalPhoneNumber_c20260804"/>
      <w:bookmarkEnd w:id="13"/>
      <w:r>
        <w:rPr>
          <w:rFonts w:ascii="Times New Roman;Times;Serif" w:hAnsi="Times New Roman;Times;Serif"/>
          <w:b/>
          <w:i w:val="false"/>
          <w:caps w:val="false"/>
          <w:smallCaps w:val="false"/>
          <w:sz w:val="20"/>
        </w:rPr>
        <w:t>932-7900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0_edei--WrittenCommunications_c202"/>
            <w:bookmarkEnd w:id="14"/>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0_edei--SolicitingMaterial_c202608"/>
            <w:bookmarkEnd w:id="15"/>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1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D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350" w:type="dxa"/>
        <w:jc w:val="left"/>
        <w:tblInd w:w="0" w:type="dxa"/>
        <w:tblLayout w:type="fixed"/>
        <w:tblCellMar>
          <w:top w:w="0" w:type="dxa"/>
          <w:left w:w="0" w:type="dxa"/>
          <w:bottom w:w="28" w:type="dxa"/>
          <w:right w:w="0" w:type="dxa"/>
        </w:tblCellMar>
      </w:tblPr>
      <w:tblGrid>
        <w:gridCol w:w="2390"/>
        <w:gridCol w:w="60"/>
        <w:gridCol w:w="1475"/>
        <w:gridCol w:w="60"/>
        <w:gridCol w:w="3365"/>
      </w:tblGrid>
      <w:tr>
        <w:trPr/>
        <w:tc>
          <w:tcPr>
            <w:tcW w:w="2390" w:type="dxa"/>
            <w:tcBorders>
              <w:bottom w:val="single" w:sz="8" w:space="0" w:color="000000"/>
            </w:tcBorders>
            <w:vAlign w:val="center"/>
          </w:tcPr>
          <w:p>
            <w:pPr>
              <w:pStyle w:val="TableContents"/>
              <w:bidi w:val="0"/>
              <w:spacing w:before="0" w:after="283"/>
              <w:jc w:val="center"/>
              <w:rPr>
                <w:b/>
                <w:sz w:val="18"/>
              </w:rPr>
            </w:pPr>
            <w:r>
              <w:rPr>
                <w:b/>
                <w:sz w:val="18"/>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b/>
                <w:sz w:val="18"/>
              </w:rPr>
            </w:pPr>
            <w:r>
              <w:rPr>
                <w:b/>
                <w:sz w:val="18"/>
              </w:rPr>
              <w:t>Trading Symbol(s)</w:t>
            </w:r>
          </w:p>
        </w:tc>
        <w:tc>
          <w:tcPr>
            <w:tcW w:w="60" w:type="dxa"/>
            <w:tcBorders/>
            <w:tcMar>
              <w:bottom w:w="0" w:type="dxa"/>
            </w:tcMar>
            <w:vAlign w:val="center"/>
          </w:tcPr>
          <w:p>
            <w:pPr>
              <w:pStyle w:val="TableContents"/>
              <w:bidi w:val="0"/>
              <w:spacing w:before="0" w:after="283"/>
              <w:jc w:val="center"/>
              <w:rPr/>
            </w:pPr>
            <w:r>
              <w:rPr/>
              <w:t> </w:t>
            </w:r>
          </w:p>
        </w:tc>
        <w:tc>
          <w:tcPr>
            <w:tcW w:w="3365" w:type="dxa"/>
            <w:tcBorders>
              <w:bottom w:val="single" w:sz="8" w:space="0" w:color="000000"/>
            </w:tcBorders>
            <w:vAlign w:val="center"/>
          </w:tcPr>
          <w:p>
            <w:pPr>
              <w:pStyle w:val="TableContents"/>
              <w:bidi w:val="0"/>
              <w:spacing w:before="0" w:after="283"/>
              <w:jc w:val="center"/>
              <w:rPr>
                <w:b/>
                <w:sz w:val="18"/>
              </w:rPr>
            </w:pPr>
            <w:r>
              <w:rPr>
                <w:b/>
                <w:sz w:val="18"/>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18"/>
              </w:rPr>
            </w:pPr>
            <w:bookmarkStart w:id="19" w:name="xdx_904_edei--Security12bTitle_c20260804"/>
            <w:bookmarkEnd w:id="19"/>
            <w:r>
              <w:rPr>
                <w:sz w:val="18"/>
              </w:rPr>
              <w:t>Common Stock, $0.01 Par Value</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sz w:val="18"/>
              </w:rPr>
            </w:pPr>
            <w:bookmarkStart w:id="20" w:name="xdx_908_edei--TradingSymbol_c20260804__2"/>
            <w:bookmarkEnd w:id="20"/>
            <w:r>
              <w:rPr>
                <w:sz w:val="18"/>
              </w:rPr>
              <w:t>ABBV</w:t>
            </w:r>
          </w:p>
        </w:tc>
        <w:tc>
          <w:tcPr>
            <w:tcW w:w="60" w:type="dxa"/>
            <w:tcBorders/>
            <w:tcMar>
              <w:bottom w:w="0" w:type="dxa"/>
            </w:tcMar>
            <w:vAlign w:val="center"/>
          </w:tcPr>
          <w:p>
            <w:pPr>
              <w:pStyle w:val="TableContents"/>
              <w:bidi w:val="0"/>
              <w:spacing w:before="0" w:after="283"/>
              <w:jc w:val="center"/>
              <w:rPr/>
            </w:pPr>
            <w:r>
              <w:rPr/>
              <w:t> </w:t>
            </w:r>
          </w:p>
        </w:tc>
        <w:tc>
          <w:tcPr>
            <w:tcW w:w="3365" w:type="dxa"/>
            <w:tcBorders/>
            <w:tcMar>
              <w:bottom w:w="0" w:type="dxa"/>
            </w:tcMar>
            <w:vAlign w:val="center"/>
          </w:tcPr>
          <w:p>
            <w:pPr>
              <w:pStyle w:val="TableContents"/>
              <w:bidi w:val="0"/>
              <w:spacing w:before="0" w:after="283"/>
              <w:jc w:val="center"/>
              <w:rPr>
                <w:sz w:val="18"/>
              </w:rPr>
            </w:pPr>
            <w:bookmarkStart w:id="21" w:name="xdx_901_edei--SecurityExchangeName_c2026"/>
            <w:bookmarkEnd w:id="21"/>
            <w:r>
              <w:rPr>
                <w:sz w:val="18"/>
              </w:rPr>
              <w:t>New York Stock Exchange</w:t>
            </w:r>
          </w:p>
        </w:tc>
      </w:tr>
      <w:tr>
        <w:trPr/>
        <w:tc>
          <w:tcPr>
            <w:tcW w:w="23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47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365" w:type="dxa"/>
            <w:tcBorders/>
            <w:tcMar>
              <w:bottom w:w="0" w:type="dxa"/>
            </w:tcMar>
            <w:vAlign w:val="center"/>
          </w:tcPr>
          <w:p>
            <w:pPr>
              <w:pStyle w:val="TableContents"/>
              <w:bidi w:val="0"/>
              <w:spacing w:before="0" w:after="283"/>
              <w:jc w:val="center"/>
              <w:rPr/>
            </w:pPr>
            <w:r>
              <w:rPr/>
              <w:t>NYSE Texas</w:t>
            </w:r>
          </w:p>
        </w:tc>
      </w:tr>
      <w:tr>
        <w:trPr/>
        <w:tc>
          <w:tcPr>
            <w:tcW w:w="2390" w:type="dxa"/>
            <w:tcBorders/>
            <w:tcMar>
              <w:bottom w:w="0" w:type="dxa"/>
            </w:tcMar>
            <w:vAlign w:val="center"/>
          </w:tcPr>
          <w:p>
            <w:pPr>
              <w:pStyle w:val="TableContents"/>
              <w:bidi w:val="0"/>
              <w:spacing w:before="0" w:after="283"/>
              <w:jc w:val="center"/>
              <w:rPr>
                <w:sz w:val="18"/>
              </w:rPr>
            </w:pPr>
            <w:bookmarkStart w:id="22" w:name="xdx_904_edei--Security12bTitle_c20260804"/>
            <w:bookmarkEnd w:id="22"/>
            <w:r>
              <w:rPr>
                <w:sz w:val="18"/>
              </w:rPr>
              <w:t>0.750% Senior Notes due 2027</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sz w:val="18"/>
              </w:rPr>
            </w:pPr>
            <w:bookmarkStart w:id="23" w:name="xdx_906_edei--TradingSymbol_c20260804__2"/>
            <w:bookmarkEnd w:id="23"/>
            <w:r>
              <w:rPr>
                <w:sz w:val="18"/>
              </w:rPr>
              <w:t>ABBV27</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center"/>
              <w:rPr>
                <w:sz w:val="18"/>
              </w:rPr>
            </w:pPr>
            <w:bookmarkStart w:id="24" w:name="xdx_909_edei--SecurityExchangeName_c2026"/>
            <w:bookmarkEnd w:id="24"/>
            <w:r>
              <w:rPr>
                <w:sz w:val="18"/>
              </w:rPr>
              <w:t>New York Stock Exchange</w:t>
            </w:r>
          </w:p>
        </w:tc>
      </w:tr>
      <w:tr>
        <w:trPr/>
        <w:tc>
          <w:tcPr>
            <w:tcW w:w="2390" w:type="dxa"/>
            <w:tcBorders/>
            <w:tcMar>
              <w:bottom w:w="0" w:type="dxa"/>
            </w:tcMar>
            <w:vAlign w:val="center"/>
          </w:tcPr>
          <w:p>
            <w:pPr>
              <w:pStyle w:val="TableContents"/>
              <w:bidi w:val="0"/>
              <w:spacing w:before="0" w:after="283"/>
              <w:jc w:val="center"/>
              <w:rPr>
                <w:sz w:val="18"/>
              </w:rPr>
            </w:pPr>
            <w:bookmarkStart w:id="25" w:name="xdx_909_edei--Security12bTitle_c20260804"/>
            <w:bookmarkEnd w:id="25"/>
            <w:r>
              <w:rPr>
                <w:sz w:val="18"/>
              </w:rPr>
              <w:t>2.125% Senior Notes due 2028</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sz w:val="18"/>
              </w:rPr>
            </w:pPr>
            <w:bookmarkStart w:id="26" w:name="xdx_908_edei--TradingSymbol_c20260804__2"/>
            <w:bookmarkEnd w:id="26"/>
            <w:r>
              <w:rPr>
                <w:sz w:val="18"/>
              </w:rPr>
              <w:t>ABBV28</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center"/>
              <w:rPr>
                <w:sz w:val="18"/>
              </w:rPr>
            </w:pPr>
            <w:bookmarkStart w:id="27" w:name="xdx_90C_edei--SecurityExchangeName_c2026"/>
            <w:bookmarkEnd w:id="27"/>
            <w:r>
              <w:rPr>
                <w:sz w:val="18"/>
              </w:rPr>
              <w:t>New York Stock Exchange</w:t>
            </w:r>
          </w:p>
        </w:tc>
      </w:tr>
      <w:tr>
        <w:trPr/>
        <w:tc>
          <w:tcPr>
            <w:tcW w:w="2390" w:type="dxa"/>
            <w:tcBorders/>
            <w:tcMar>
              <w:bottom w:w="0" w:type="dxa"/>
            </w:tcMar>
            <w:vAlign w:val="center"/>
          </w:tcPr>
          <w:p>
            <w:pPr>
              <w:pStyle w:val="TableContents"/>
              <w:bidi w:val="0"/>
              <w:spacing w:before="0" w:after="283"/>
              <w:jc w:val="center"/>
              <w:rPr>
                <w:sz w:val="18"/>
              </w:rPr>
            </w:pPr>
            <w:bookmarkStart w:id="28" w:name="xdx_902_edei--Security12bTitle_c20260804"/>
            <w:bookmarkEnd w:id="28"/>
            <w:r>
              <w:rPr>
                <w:sz w:val="18"/>
              </w:rPr>
              <w:t>2.625% Senior Notes due 2028</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sz w:val="18"/>
              </w:rPr>
            </w:pPr>
            <w:bookmarkStart w:id="29" w:name="xdx_904_edei--TradingSymbol_c20260804__2"/>
            <w:bookmarkEnd w:id="29"/>
            <w:r>
              <w:rPr>
                <w:sz w:val="18"/>
              </w:rPr>
              <w:t>ABBV28B</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center"/>
              <w:rPr>
                <w:sz w:val="18"/>
              </w:rPr>
            </w:pPr>
            <w:bookmarkStart w:id="30" w:name="xdx_90E_edei--SecurityExchangeName_c2026"/>
            <w:bookmarkEnd w:id="30"/>
            <w:r>
              <w:rPr>
                <w:sz w:val="18"/>
              </w:rPr>
              <w:t>New York Stock Exchange</w:t>
            </w:r>
          </w:p>
        </w:tc>
      </w:tr>
      <w:tr>
        <w:trPr/>
        <w:tc>
          <w:tcPr>
            <w:tcW w:w="2390" w:type="dxa"/>
            <w:tcBorders/>
            <w:tcMar>
              <w:bottom w:w="0" w:type="dxa"/>
            </w:tcMar>
            <w:vAlign w:val="center"/>
          </w:tcPr>
          <w:p>
            <w:pPr>
              <w:pStyle w:val="TableContents"/>
              <w:bidi w:val="0"/>
              <w:spacing w:before="0" w:after="283"/>
              <w:jc w:val="center"/>
              <w:rPr>
                <w:sz w:val="18"/>
              </w:rPr>
            </w:pPr>
            <w:bookmarkStart w:id="31" w:name="xdx_909_edei--Security12bTitle_c20260804"/>
            <w:bookmarkEnd w:id="31"/>
            <w:r>
              <w:rPr>
                <w:sz w:val="18"/>
              </w:rPr>
              <w:t>2.125% Senior Notes due 2029</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sz w:val="18"/>
              </w:rPr>
            </w:pPr>
            <w:bookmarkStart w:id="32" w:name="xdx_907_edei--TradingSymbol_c20260804__2"/>
            <w:bookmarkEnd w:id="32"/>
            <w:r>
              <w:rPr>
                <w:sz w:val="18"/>
              </w:rPr>
              <w:t>ABBV29</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center"/>
              <w:rPr>
                <w:sz w:val="18"/>
              </w:rPr>
            </w:pPr>
            <w:bookmarkStart w:id="33" w:name="xdx_90E_edei--SecurityExchangeName_c2026"/>
            <w:bookmarkEnd w:id="33"/>
            <w:r>
              <w:rPr>
                <w:sz w:val="18"/>
              </w:rPr>
              <w:t>New York Stock Exchange</w:t>
            </w:r>
          </w:p>
        </w:tc>
      </w:tr>
      <w:tr>
        <w:trPr/>
        <w:tc>
          <w:tcPr>
            <w:tcW w:w="2390" w:type="dxa"/>
            <w:tcBorders/>
            <w:tcMar>
              <w:bottom w:w="0" w:type="dxa"/>
            </w:tcMar>
            <w:vAlign w:val="center"/>
          </w:tcPr>
          <w:p>
            <w:pPr>
              <w:pStyle w:val="TableContents"/>
              <w:bidi w:val="0"/>
              <w:spacing w:before="0" w:after="283"/>
              <w:jc w:val="center"/>
              <w:rPr>
                <w:sz w:val="18"/>
              </w:rPr>
            </w:pPr>
            <w:bookmarkStart w:id="34" w:name="xdx_901_edei--Security12bTitle_c20260804"/>
            <w:bookmarkEnd w:id="34"/>
            <w:r>
              <w:rPr>
                <w:sz w:val="18"/>
              </w:rPr>
              <w:t>1.250% Senior Notes due 2031</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283"/>
              <w:jc w:val="center"/>
              <w:rPr>
                <w:sz w:val="18"/>
              </w:rPr>
            </w:pPr>
            <w:bookmarkStart w:id="35" w:name="xdx_903_edei--TradingSymbol_c20260804__2"/>
            <w:bookmarkEnd w:id="35"/>
            <w:r>
              <w:rPr>
                <w:sz w:val="18"/>
              </w:rPr>
              <w:t>ABBV31</w:t>
            </w:r>
          </w:p>
        </w:tc>
        <w:tc>
          <w:tcPr>
            <w:tcW w:w="60" w:type="dxa"/>
            <w:tcBorders/>
            <w:tcMar>
              <w:bottom w:w="0" w:type="dxa"/>
            </w:tcMar>
            <w:vAlign w:val="center"/>
          </w:tcPr>
          <w:p>
            <w:pPr>
              <w:pStyle w:val="TableContents"/>
              <w:bidi w:val="0"/>
              <w:spacing w:before="0" w:after="283"/>
              <w:jc w:val="left"/>
              <w:rPr/>
            </w:pPr>
            <w:r>
              <w:rPr/>
              <w:t> </w:t>
            </w:r>
          </w:p>
        </w:tc>
        <w:tc>
          <w:tcPr>
            <w:tcW w:w="3365" w:type="dxa"/>
            <w:tcBorders/>
            <w:tcMar>
              <w:bottom w:w="0" w:type="dxa"/>
            </w:tcMar>
            <w:vAlign w:val="center"/>
          </w:tcPr>
          <w:p>
            <w:pPr>
              <w:pStyle w:val="TableContents"/>
              <w:bidi w:val="0"/>
              <w:spacing w:before="0" w:after="283"/>
              <w:jc w:val="center"/>
              <w:rPr>
                <w:sz w:val="18"/>
              </w:rPr>
            </w:pPr>
            <w:bookmarkStart w:id="36" w:name="xdx_905_edei--SecurityExchangeName_c2026"/>
            <w:bookmarkEnd w:id="36"/>
            <w:r>
              <w:rPr>
                <w:sz w:val="18"/>
              </w:rPr>
              <w:t>New York Stock Exchange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AbbVie Inc. (“</w:t>
      </w:r>
      <w:r>
        <w:rPr>
          <w:rFonts w:ascii="Times New Roman;Times;Serif" w:hAnsi="Times New Roman;Times;Serif"/>
          <w:b w:val="false"/>
          <w:i w:val="false"/>
          <w:caps w:val="false"/>
          <w:smallCaps w:val="false"/>
          <w:sz w:val="20"/>
          <w:u w:val="single"/>
        </w:rPr>
        <w:t>AbbVie</w:t>
      </w:r>
      <w:r>
        <w:rPr>
          <w:rFonts w:ascii="Times New Roman;Times;Serif" w:hAnsi="Times New Roman;Times;Serif"/>
          <w:b w:val="false"/>
          <w:i w:val="false"/>
          <w:caps w:val="false"/>
          <w:smallCaps w:val="false"/>
          <w:sz w:val="20"/>
        </w:rPr>
        <w:t>”) entered into an underwriting agreement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with Morgan Stanley &amp; Co. LLC, BofA Securities, Inc., J.P. Morgan Securities LLC and SG Americas Securities, LLC, acting for themselves and as representatives of the several underwriters named in Schedule II therein (collectively, the “</w:t>
      </w:r>
      <w:r>
        <w:rPr>
          <w:rFonts w:ascii="Times New Roman;Times;Serif" w:hAnsi="Times New Roman;Times;Serif"/>
          <w:b w:val="false"/>
          <w:i w:val="false"/>
          <w:caps w:val="false"/>
          <w:smallCaps w:val="false"/>
          <w:sz w:val="20"/>
          <w:u w:val="single"/>
        </w:rPr>
        <w:t>Underwriters</w:t>
      </w:r>
      <w:r>
        <w:rPr>
          <w:rFonts w:ascii="Times New Roman;Times;Serif" w:hAnsi="Times New Roman;Times;Serif"/>
          <w:b w:val="false"/>
          <w:i w:val="false"/>
          <w:caps w:val="false"/>
          <w:smallCaps w:val="false"/>
          <w:sz w:val="20"/>
        </w:rPr>
        <w:t>”), pursuant to which AbbVie agreed to issue and sell to the Underwriters $500,000,000 aggregate principal amount of its senior floating rate notes due 2028 (the “</w:t>
      </w:r>
      <w:r>
        <w:rPr>
          <w:rFonts w:ascii="Times New Roman;Times;Serif" w:hAnsi="Times New Roman;Times;Serif"/>
          <w:b w:val="false"/>
          <w:i w:val="false"/>
          <w:caps w:val="false"/>
          <w:smallCaps w:val="false"/>
          <w:sz w:val="20"/>
          <w:u w:val="single"/>
        </w:rPr>
        <w:t>Floating Rate Notes</w:t>
      </w:r>
      <w:r>
        <w:rPr>
          <w:rFonts w:ascii="Times New Roman;Times;Serif" w:hAnsi="Times New Roman;Times;Serif"/>
          <w:b w:val="false"/>
          <w:i w:val="false"/>
          <w:caps w:val="false"/>
          <w:smallCaps w:val="false"/>
          <w:sz w:val="20"/>
        </w:rPr>
        <w:t>”), $1,000,000,000 aggregate principal amount of its 4.500% senior notes due 2028 (the “</w:t>
      </w:r>
      <w:r>
        <w:rPr>
          <w:rFonts w:ascii="Times New Roman;Times;Serif" w:hAnsi="Times New Roman;Times;Serif"/>
          <w:b w:val="false"/>
          <w:i w:val="false"/>
          <w:caps w:val="false"/>
          <w:smallCaps w:val="false"/>
          <w:sz w:val="20"/>
          <w:u w:val="single"/>
        </w:rPr>
        <w:t>2028 Notes</w:t>
      </w:r>
      <w:r>
        <w:rPr>
          <w:rFonts w:ascii="Times New Roman;Times;Serif" w:hAnsi="Times New Roman;Times;Serif"/>
          <w:b w:val="false"/>
          <w:i w:val="false"/>
          <w:caps w:val="false"/>
          <w:smallCaps w:val="false"/>
          <w:sz w:val="20"/>
        </w:rPr>
        <w:t>”), $1,250,000,000 aggregate principal amount of its 4.650% senior notes due 2030 (the “</w:t>
      </w:r>
      <w:r>
        <w:rPr>
          <w:rFonts w:ascii="Times New Roman;Times;Serif" w:hAnsi="Times New Roman;Times;Serif"/>
          <w:b w:val="false"/>
          <w:i w:val="false"/>
          <w:caps w:val="false"/>
          <w:smallCaps w:val="false"/>
          <w:sz w:val="20"/>
          <w:u w:val="single"/>
        </w:rPr>
        <w:t>2030 Notes</w:t>
      </w:r>
      <w:r>
        <w:rPr>
          <w:rFonts w:ascii="Times New Roman;Times;Serif" w:hAnsi="Times New Roman;Times;Serif"/>
          <w:b w:val="false"/>
          <w:i w:val="false"/>
          <w:caps w:val="false"/>
          <w:smallCaps w:val="false"/>
          <w:sz w:val="20"/>
        </w:rPr>
        <w:t>”), $1,500,000,000 aggregate principal amount of its 4.875% senior notes due 2031 (the “</w:t>
      </w:r>
      <w:r>
        <w:rPr>
          <w:rFonts w:ascii="Times New Roman;Times;Serif" w:hAnsi="Times New Roman;Times;Serif"/>
          <w:b w:val="false"/>
          <w:i w:val="false"/>
          <w:caps w:val="false"/>
          <w:smallCaps w:val="false"/>
          <w:sz w:val="20"/>
          <w:u w:val="single"/>
        </w:rPr>
        <w:t>2031 Notes</w:t>
      </w:r>
      <w:r>
        <w:rPr>
          <w:rFonts w:ascii="Times New Roman;Times;Serif" w:hAnsi="Times New Roman;Times;Serif"/>
          <w:b w:val="false"/>
          <w:i w:val="false"/>
          <w:caps w:val="false"/>
          <w:smallCaps w:val="false"/>
          <w:sz w:val="20"/>
        </w:rPr>
        <w:t>”), $1,250,000,000 aggregate principal amount of its 5.050% senior notes due 2033 (the “</w:t>
      </w:r>
      <w:r>
        <w:rPr>
          <w:rFonts w:ascii="Times New Roman;Times;Serif" w:hAnsi="Times New Roman;Times;Serif"/>
          <w:b w:val="false"/>
          <w:i w:val="false"/>
          <w:caps w:val="false"/>
          <w:smallCaps w:val="false"/>
          <w:sz w:val="20"/>
          <w:u w:val="single"/>
        </w:rPr>
        <w:t>2033 Notes</w:t>
      </w:r>
      <w:r>
        <w:rPr>
          <w:rFonts w:ascii="Times New Roman;Times;Serif" w:hAnsi="Times New Roman;Times;Serif"/>
          <w:b w:val="false"/>
          <w:i w:val="false"/>
          <w:caps w:val="false"/>
          <w:smallCaps w:val="false"/>
          <w:sz w:val="20"/>
        </w:rPr>
        <w:t>”), $1,500,000,000 aggregate principal amount of its 5.300% senior notes due 2036 (the “</w:t>
      </w:r>
      <w:r>
        <w:rPr>
          <w:rFonts w:ascii="Times New Roman;Times;Serif" w:hAnsi="Times New Roman;Times;Serif"/>
          <w:b w:val="false"/>
          <w:i w:val="false"/>
          <w:caps w:val="false"/>
          <w:smallCaps w:val="false"/>
          <w:sz w:val="20"/>
          <w:u w:val="single"/>
        </w:rPr>
        <w:t>2036 Notes</w:t>
      </w:r>
      <w:r>
        <w:rPr>
          <w:rFonts w:ascii="Times New Roman;Times;Serif" w:hAnsi="Times New Roman;Times;Serif"/>
          <w:b w:val="false"/>
          <w:i w:val="false"/>
          <w:caps w:val="false"/>
          <w:smallCaps w:val="false"/>
          <w:sz w:val="20"/>
        </w:rPr>
        <w:t>”), $1,000,000,000 aggregate principal amount of its 5.450% senior notes due 2038 (the “</w:t>
      </w:r>
      <w:r>
        <w:rPr>
          <w:rFonts w:ascii="Times New Roman;Times;Serif" w:hAnsi="Times New Roman;Times;Serif"/>
          <w:b w:val="false"/>
          <w:i w:val="false"/>
          <w:caps w:val="false"/>
          <w:smallCaps w:val="false"/>
          <w:sz w:val="20"/>
          <w:u w:val="single"/>
        </w:rPr>
        <w:t>2038 Notes</w:t>
      </w:r>
      <w:r>
        <w:rPr>
          <w:rFonts w:ascii="Times New Roman;Times;Serif" w:hAnsi="Times New Roman;Times;Serif"/>
          <w:b w:val="false"/>
          <w:i w:val="false"/>
          <w:caps w:val="false"/>
          <w:smallCaps w:val="false"/>
          <w:sz w:val="20"/>
        </w:rPr>
        <w:t>”), $1,500,000,000 aggregate principal amount of its 6.000% senior notes due 2056 (the “</w:t>
      </w:r>
      <w:r>
        <w:rPr>
          <w:rFonts w:ascii="Times New Roman;Times;Serif" w:hAnsi="Times New Roman;Times;Serif"/>
          <w:b w:val="false"/>
          <w:i w:val="false"/>
          <w:caps w:val="false"/>
          <w:smallCaps w:val="false"/>
          <w:sz w:val="20"/>
          <w:u w:val="single"/>
        </w:rPr>
        <w:t>2056 Notes</w:t>
      </w:r>
      <w:r>
        <w:rPr>
          <w:rFonts w:ascii="Times New Roman;Times;Serif" w:hAnsi="Times New Roman;Times;Serif"/>
          <w:b w:val="false"/>
          <w:i w:val="false"/>
          <w:caps w:val="false"/>
          <w:smallCaps w:val="false"/>
          <w:sz w:val="20"/>
        </w:rPr>
        <w:t>”) and $500,000,000 aggregate principal amount of its 6.100% senior notes due 2066 (the “</w:t>
      </w:r>
      <w:r>
        <w:rPr>
          <w:rFonts w:ascii="Times New Roman;Times;Serif" w:hAnsi="Times New Roman;Times;Serif"/>
          <w:b w:val="false"/>
          <w:i w:val="false"/>
          <w:caps w:val="false"/>
          <w:smallCaps w:val="false"/>
          <w:sz w:val="20"/>
          <w:u w:val="single"/>
        </w:rPr>
        <w:t>2066 Notes</w:t>
      </w:r>
      <w:r>
        <w:rPr>
          <w:rFonts w:ascii="Times New Roman;Times;Serif" w:hAnsi="Times New Roman;Times;Serif"/>
          <w:b w:val="false"/>
          <w:i w:val="false"/>
          <w:caps w:val="false"/>
          <w:smallCaps w:val="false"/>
          <w:sz w:val="20"/>
        </w:rPr>
        <w:t>” and, together with the Floating Rate Notes, the 2028 Notes, the 2030 Notes, the 2031 Notes, the 2033 Notes, the 2036 Notes, the 2038 Notes and the 2056 Notes, the “</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to the public was 100% of the principal amount for the Floating Rate Notes, 99.970% of the principal amount for the 2028 Notes, 99.862% of the principal amount for the 2030 Notes, 99.977% of the principal amount for the 2031 Notes, 99.889% of the principal amount for the 2033 Notes, 99.832% of the principal amount for the 2036 Notes, 99.810% of the principal amount for the 2038 Notes, 99.441% of the principal amount for the 2056 Notes and 99.843% of the principal amount for the 2066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each series of Notes has been registered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pursuant to AbbVie’s registration statement on Form S-3ASR (File No. 333-284980)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dated as of February 14, 2025. The terms of the Notes are further described in AbbVie’s preliminary prospectus supplement dated August 4, 2026, as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August 4, 2026, and the final prospectus supplement, dated August 4, 2026, to be filed with the SEC on or prior to August 6, 2026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The closing of the sale of the Notes is expected to occur on August 18, 2026, subject to customary closing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sale of the Notes, after deducting the underwriting discounts and estimated offering expenses, are expected to be approximately $9.93 billion. AbbVie intends to use these net proceeds (i) to fund a portion of its cash payment obligations in connection with its acquisition of Apogee Therapeutics, Inc. (“</w:t>
      </w:r>
      <w:r>
        <w:rPr>
          <w:rFonts w:ascii="Times New Roman;Times;Serif" w:hAnsi="Times New Roman;Times;Serif"/>
          <w:b w:val="false"/>
          <w:i w:val="false"/>
          <w:caps w:val="false"/>
          <w:smallCaps w:val="false"/>
          <w:sz w:val="20"/>
          <w:u w:val="single"/>
        </w:rPr>
        <w:t>Apogee</w:t>
      </w:r>
      <w:r>
        <w:rPr>
          <w:rFonts w:ascii="Times New Roman;Times;Serif" w:hAnsi="Times New Roman;Times;Serif"/>
          <w:b w:val="false"/>
          <w:i w:val="false"/>
          <w:caps w:val="false"/>
          <w:smallCaps w:val="false"/>
          <w:sz w:val="20"/>
        </w:rPr>
        <w:t>”) and to pay fees, expenses and other amounts in connection therewith and (ii) for other general corporate purposes, which may include the repayment or repurchase of outstanding debt. The net proceeds from the issuance of the Notes will reduce commitments under AbbVie’s $10.0 billion 364-Day delayed draw term loan facility entered into in connection with the acquisition of Apogee.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includes customary representations, warranties and covenants by AbbVie. It also provides for customary indemnification by each of AbbVie and the respective Underwriters against certain liabilities arising out of or in connection with the sale of the Notes and for customary contribution provisions in respect of those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described under the caption “</w:t>
      </w:r>
      <w:r>
        <w:rPr>
          <w:rFonts w:ascii="Times New Roman;Times;Serif" w:hAnsi="Times New Roman;Times;Serif"/>
          <w:b w:val="false"/>
          <w:i/>
          <w:caps w:val="false"/>
          <w:smallCaps w:val="false"/>
          <w:sz w:val="20"/>
        </w:rPr>
        <w:t>Underwriting—Other Relationships</w:t>
      </w:r>
      <w:r>
        <w:rPr>
          <w:rFonts w:ascii="Times New Roman;Times;Serif" w:hAnsi="Times New Roman;Times;Serif"/>
          <w:b w:val="false"/>
          <w:i w:val="false"/>
          <w:caps w:val="false"/>
          <w:smallCaps w:val="false"/>
          <w:sz w:val="20"/>
        </w:rPr>
        <w:t>” in the Prospectus Supplement, some of the underwriters in respect of the Underwriting Agreement and/or their affiliates have in the past performed, and may in the future from time to time perform, investment banking, financial advisory, lending and/or commercial banking services, or other services, for AbbVie and its subsidiaries, for which they have received, and may in the future receive, customary compensation and expense reimbursement.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the Prospectus Supplement for additional information regarding the offering of the Notes and the terms and conditions of the Notes. The foregoing summary of the Notes does not purport to be complete and is qualified in its entirety by reference to the full text of the Underwriting Agreement, which is attached as Exhibit 1.1 hereto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 The following exhibits are provided as part of this Form 8-K: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0"/>
        <w:gridCol w:w="9855"/>
      </w:tblGrid>
      <w:tr>
        <w:trPr/>
        <w:tc>
          <w:tcPr>
            <w:tcW w:w="350" w:type="dxa"/>
            <w:tcBorders/>
            <w:vAlign w:val="center"/>
          </w:tcPr>
          <w:p>
            <w:pPr>
              <w:pStyle w:val="TableContents"/>
              <w:bidi w:val="0"/>
              <w:spacing w:before="0" w:after="283"/>
              <w:jc w:val="both"/>
              <w:rPr/>
            </w:pPr>
            <w:hyperlink w:anchor="tm2621452d4_ex1-1.htm">
              <w:r>
                <w:rPr>
                  <w:rStyle w:val="InternetLink"/>
                  <w:rFonts w:ascii="Times New Roman;Times;Serif" w:hAnsi="Times New Roman;Times;Serif"/>
                  <w:sz w:val="20"/>
                </w:rPr>
                <w:t>1.1</w:t>
              </w:r>
            </w:hyperlink>
          </w:p>
        </w:tc>
        <w:tc>
          <w:tcPr>
            <w:tcW w:w="9855" w:type="dxa"/>
            <w:tcBorders/>
            <w:vAlign w:val="center"/>
          </w:tcPr>
          <w:p>
            <w:pPr>
              <w:pStyle w:val="TableContents"/>
              <w:bidi w:val="0"/>
              <w:spacing w:before="0" w:after="283"/>
              <w:jc w:val="both"/>
              <w:rPr/>
            </w:pPr>
            <w:hyperlink w:anchor="tm2621452d4_ex1-1.htm">
              <w:r>
                <w:rPr>
                  <w:rStyle w:val="InternetLink"/>
                  <w:rFonts w:ascii="Times New Roman;Times;Serif" w:hAnsi="Times New Roman;Times;Serif"/>
                  <w:sz w:val="20"/>
                </w:rPr>
                <w:t>Underwriting Agreement, dated August 4, 2026, by and among AbbVie Inc., Morgan Stanley &amp; Co. LLC, BofA Securities, Inc., J.P. Morgan Securities LLC and SG Americas Securities, LLC (acting for themselves and as representatives of the several underwriters named therein).</w:t>
              </w:r>
            </w:hyperlink>
          </w:p>
        </w:tc>
      </w:tr>
      <w:tr>
        <w:trPr/>
        <w:tc>
          <w:tcPr>
            <w:tcW w:w="350" w:type="dxa"/>
            <w:tcBorders/>
            <w:vAlign w:val="center"/>
          </w:tcPr>
          <w:p>
            <w:pPr>
              <w:pStyle w:val="TableContents"/>
              <w:bidi w:val="0"/>
              <w:spacing w:before="0" w:after="283"/>
              <w:jc w:val="both"/>
              <w:rPr/>
            </w:pPr>
            <w:r>
              <w:rPr/>
              <w:t> </w:t>
            </w:r>
          </w:p>
        </w:tc>
        <w:tc>
          <w:tcPr>
            <w:tcW w:w="9855" w:type="dxa"/>
            <w:tcBorders/>
            <w:vAlign w:val="center"/>
          </w:tcPr>
          <w:p>
            <w:pPr>
              <w:pStyle w:val="TableContents"/>
              <w:bidi w:val="0"/>
              <w:spacing w:before="0" w:after="283"/>
              <w:jc w:val="both"/>
              <w:rPr/>
            </w:pPr>
            <w:r>
              <w:rPr/>
              <w:t> </w:t>
            </w:r>
          </w:p>
        </w:tc>
      </w:tr>
      <w:tr>
        <w:trPr/>
        <w:tc>
          <w:tcPr>
            <w:tcW w:w="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9855" w:type="dxa"/>
            <w:tcBorders/>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statements in this Current Report on Form 8-K and the documents incorporated by reference into this Current Report on Form 8-K are, or may be considered, forward-looking statements for purposes of the Private Securities Litigation Reform Act of 1995 (“</w:t>
      </w:r>
      <w:r>
        <w:rPr>
          <w:rFonts w:ascii="Times New Roman;Times;Serif" w:hAnsi="Times New Roman;Times;Serif"/>
          <w:b w:val="false"/>
          <w:i w:val="false"/>
          <w:caps w:val="false"/>
          <w:smallCaps w:val="false"/>
          <w:sz w:val="20"/>
          <w:u w:val="single"/>
        </w:rPr>
        <w:t>PSLRA</w:t>
      </w:r>
      <w:r>
        <w:rPr>
          <w:rFonts w:ascii="Times New Roman;Times;Serif" w:hAnsi="Times New Roman;Times;Serif"/>
          <w:b w:val="false"/>
          <w:i w:val="false"/>
          <w:caps w:val="false"/>
          <w:smallCaps w:val="false"/>
          <w:sz w:val="20"/>
        </w:rPr>
        <w:t>”). The words “believe,” “expect,” “anticipate,” “project” and similar expressions and uses of future or conditional verbs generally identify “forward looking statements,” which speak only as of the date the statements were made. The matters discussed in these forward-looking statements are subject to risks, uncertainties and other factors that could cause actual results to differ materially from those expressed or implied in the forward-looking statements. Where, in any forward looking statement, an expectation or belief as to future results or events is expressed or implied,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but are not limited to, the matters described under Item 1A, “Risk Factors,” and Item 7, “Management’s Discussion and Analysis of Financial Condition and Results of Operations,” in AbbVie’s Annual Report on Form 10-K for the year ended December 31, 2025, which has been filed with the SEC. AbbVie notes these factors for investors as permitted by the PSLRA. AbbVie does not undertake, and specifically declines, any obligation to update the forward-looking statements included in this Current Report on Form 8-K to reflect events or circumstances after the date hereof, unless AbbVie is required by applicable securities law to do so.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6105" w:type="dxa"/>
        <w:jc w:val="left"/>
        <w:tblInd w:w="0" w:type="dxa"/>
        <w:tblLayout w:type="fixed"/>
        <w:tblCellMar>
          <w:top w:w="0" w:type="dxa"/>
          <w:left w:w="0" w:type="dxa"/>
          <w:bottom w:w="0" w:type="dxa"/>
          <w:right w:w="0" w:type="dxa"/>
        </w:tblCellMar>
      </w:tblPr>
      <w:tblGrid>
        <w:gridCol w:w="1760"/>
        <w:gridCol w:w="320"/>
        <w:gridCol w:w="4025"/>
      </w:tblGrid>
      <w:tr>
        <w:trPr/>
        <w:tc>
          <w:tcPr>
            <w:tcW w:w="176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ABBVIE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rFonts w:ascii="Times New Roman;Times;Serif" w:hAnsi="Times New Roman;Times;Serif"/>
                <w:sz w:val="20"/>
              </w:rPr>
              <w:t xml:space="preserve">Date: </w:t>
            </w:r>
            <w:r>
              <w:rPr>
                <w:sz w:val="20"/>
              </w:rPr>
              <w:t>August 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w:t>
            </w:r>
            <w:r>
              <w:rPr>
                <w:rFonts w:ascii="Times New Roman;Times;Serif" w:hAnsi="Times New Roman;Times;Serif"/>
                <w:sz w:val="20"/>
              </w:rPr>
              <w:t>Scott T. Reents</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T. Reents</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7" w:name="tm2621452d4_ex1-1.htm"/>
      <w:bookmarkStart w:id="38" w:name="kstm2621452d4_ex11"/>
      <w:bookmarkEnd w:id="37"/>
      <w:bookmarkEnd w:id="38"/>
      <w:r>
        <w:rPr>
          <w:b/>
        </w:rPr>
        <w:t>Exhibit 1.1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Senior Floating Rate Notes due 2028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$1,000,000,000 4.500% Senior Notes due 2028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4.650% Senior Notes due 2030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4.875% Senior Notes due 2031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5.050% Senior Notes due 2033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5.300% Senior Notes due 2036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$1,000,000,000 5.450% Senior Notes due 2038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6.000% Senior Notes due 2056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6.100% Senior Notes due 2066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Bryant Park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 Park Avenue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named in Schedule II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proposes to issue and sell to Morgan Stanley &amp; Co. LLC, BofA Securities, Inc., J.P. Morgan Securities LLC and SG Americas Securities, LLC (together,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xml:space="preserve">”) and the other several underwriters named in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(together with the Representatives,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pursuant to this Underwriting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the principal amount of its debt securities identified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to be issued pursuant to the indenture dated as of November 8, 2012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between the Company and U.S. Bank Trust Company, National Association (successor to U.S. Bank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supplemented by Supplemental Indenture No. 13, to be dated as of August 18, 2026, between the Company and the Trustee (the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and the Base Indenture as supplemented by the Supplemental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a registration statement, including a prospectus, (the file number of which is set forth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on Form S-3, relating to securities (the “</w:t>
      </w:r>
      <w:r>
        <w:rPr>
          <w:rFonts w:ascii="Times New Roman;Times;Serif" w:hAnsi="Times New Roman;Times;Serif"/>
          <w:b/>
          <w:i w:val="false"/>
          <w:caps w:val="false"/>
          <w:smallCaps w:val="false"/>
          <w:sz w:val="20"/>
        </w:rPr>
        <w:t>Shelf Securities</w:t>
      </w:r>
      <w:r>
        <w:rPr>
          <w:rFonts w:ascii="Times New Roman;Times;Serif" w:hAnsi="Times New Roman;Times;Serif"/>
          <w:b w:val="false"/>
          <w:i w:val="false"/>
          <w:caps w:val="false"/>
          <w:smallCaps w:val="false"/>
          <w:sz w:val="20"/>
        </w:rPr>
        <w:t>”), including the Securities,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including all exhibits thereto (but excluding Form T-1), is hereinafter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and the related prospectus covering the Shelf Securities dated February 14, 2025 is hereinafter referred to as the “</w:t>
      </w:r>
      <w:r>
        <w:rPr>
          <w:rFonts w:ascii="Times New Roman;Times;Serif" w:hAnsi="Times New Roman;Times;Serif"/>
          <w:b/>
          <w:i w:val="false"/>
          <w:caps w:val="false"/>
          <w:smallCaps w:val="false"/>
          <w:sz w:val="20"/>
        </w:rPr>
        <w:t>Basic Prospectus</w:t>
      </w:r>
      <w:r>
        <w:rPr>
          <w:rFonts w:ascii="Times New Roman;Times;Serif" w:hAnsi="Times New Roman;Times;Serif"/>
          <w:b w:val="false"/>
          <w:i w:val="false"/>
          <w:caps w:val="false"/>
          <w:smallCaps w:val="false"/>
          <w:sz w:val="20"/>
        </w:rPr>
        <w:t>.” The Basic Prospectus, as supplemented by the prospectus supplement specifically relating to the Securities in the form first used to confirm sales of the Securities (or in the form first made available to the Underwriters by the Company to meet requests of purchasers pursuant to Rule 173 under the Securities Act) is hereinafter referred to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and the term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means any preliminary form of the Prospectus. For purposes of this Agreement,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 and relating to the offering of the Securities,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xml:space="preserve">” means the documents and pricing information set forth opposite the caption “Time of Sale Prospectus”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and “</w:t>
      </w:r>
      <w:r>
        <w:rPr>
          <w:rFonts w:ascii="Times New Roman;Times;Serif" w:hAnsi="Times New Roman;Times;Serif"/>
          <w:b/>
          <w:i w:val="false"/>
          <w:caps w:val="false"/>
          <w:smallCaps w:val="false"/>
          <w:sz w:val="20"/>
        </w:rPr>
        <w:t>broadly available road show</w:t>
      </w:r>
      <w:r>
        <w:rPr>
          <w:rFonts w:ascii="Times New Roman;Times;Serif" w:hAnsi="Times New Roman;Times;Serif"/>
          <w:b w:val="false"/>
          <w:i w:val="false"/>
          <w:caps w:val="false"/>
          <w:smallCaps w:val="false"/>
          <w:sz w:val="20"/>
        </w:rPr>
        <w:t>” means a “bona fide electronic road show” as defined in Rule 433(h)(5) under the Securities Act that has been made available without restriction to any person. As used herein, the terms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Basic Prospectus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include the documents, if any, incorporated by reference therein as of the date hereof. The terms “</w:t>
      </w:r>
      <w:r>
        <w:rPr>
          <w:rFonts w:ascii="Times New Roman;Times;Serif" w:hAnsi="Times New Roman;Times;Serif"/>
          <w:b/>
          <w:i w:val="false"/>
          <w:caps w:val="false"/>
          <w:smallCaps w:val="false"/>
          <w:sz w:val="20"/>
        </w:rPr>
        <w:t>supplement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amend</w:t>
      </w:r>
      <w:r>
        <w:rPr>
          <w:rFonts w:ascii="Times New Roman;Times;Serif" w:hAnsi="Times New Roman;Times;Serif"/>
          <w:b w:val="false"/>
          <w:i w:val="false"/>
          <w:caps w:val="false"/>
          <w:smallCaps w:val="false"/>
          <w:sz w:val="20"/>
        </w:rPr>
        <w:t>” as used herein with respect to the Registration Statement, the Basic Prospectus, the Time of Sale Prospectus, any preliminary prospectus or the Prospectus shall include all documents subsequently filed by the Company with the Commission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that are deemed to be incorporated by reference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understands that the Underwriters propose, subject to the provisions hereof and the selling restrictions disclosed in the Prospectus, to make a public offering of the Securities as soon as the Representatives deem advisable after this Agreement has been executed and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Representations and Warranties of the Company</w:t>
      </w:r>
      <w:r>
        <w:rPr>
          <w:rFonts w:ascii="Times New Roman;Times;Serif" w:hAnsi="Times New Roman;Times;Serif"/>
          <w:b w:val="false"/>
          <w:i w:val="false"/>
          <w:caps w:val="false"/>
          <w:smallCaps w:val="false"/>
          <w:sz w:val="20"/>
        </w:rPr>
        <w:t>. The Company represents and warrants to, and agrees with, each of the Representatives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Stop Order; Status as a Well-Known Seasoned Issuer</w:t>
      </w:r>
      <w:r>
        <w:rPr>
          <w:rFonts w:ascii="Times New Roman;Times;Serif" w:hAnsi="Times New Roman;Times;Serif"/>
          <w:b w:val="false"/>
          <w:i w:val="false"/>
          <w:caps w:val="false"/>
          <w:smallCaps w:val="false"/>
          <w:sz w:val="20"/>
        </w:rPr>
        <w:t>. The Registration Statement has become effective; no stop order suspending the effectiveness of the Registration Statement is in effect, and no proceedings for such purpose or pursuant to Section 8A under the Securities Act are pending before or, to the knowledge of the Company, threatened by the Commission. If the Registration Statement is an automatic shelf registration statement as defined in Rule 405 under the Securities Act,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Registration Statement, Prospectus and Disclosure at Time of Sale</w:t>
      </w:r>
      <w:r>
        <w:rPr>
          <w:rFonts w:ascii="Times New Roman;Times;Serif" w:hAnsi="Times New Roman;Times;Serif"/>
          <w:b w:val="false"/>
          <w:i w:val="false"/>
          <w:caps w:val="false"/>
          <w:smallCaps w:val="false"/>
          <w:sz w:val="20"/>
        </w:rPr>
        <w:t xml:space="preserve">. (i)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in order to make the statements therein not misleading, (iii) the Registration Statement as of the date hereof does not contain any untrue statement of a material fact or omit to state a material fact required to be stated therein or necessary in order to make the statements therein not misleading, (iv) the Registration Statement and the Prospectus comply, and as amended or supplemented, if applicable, will comply in all material respects with the Securities Act and the applicable rules and regulations of the Commission thereunder, (v) each broadly available road show, if any, when considered together with the Time of Sale Prospectus, does not contain any untrue statement of a material fact or omit to state a material fact necessary in order to make the statements therein, in the light of the circumstances under which they were made, not misleading, (vi) the Time of Sale Prospectus does not, and at the time of each sale of the Securities in connection with the offering when the Prospectus is not yet available to prospective purchasers and at the Closing Date (as defined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 Time of Sale Prospectus, as then amended or supplemented by the Company, if applicable, will not, contain any untrue statement of a material fact or omit to state a material fact necessary in order to make the statements therein, in the light of the circumstances under which they were made, not misleading, and (vii) the Prospectus does not contain and, as amended or supplemented, if applicable, will not contain any untrue statement of a material fact or omit to state a material fact necessary in order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the Underwriters’ Information (as defined in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below) relating to any Underwriter furnished to the Company in writing by such Underwriter through the Representatives expressly for use therein or (B) that part of the Registration Statement that constitutes the Statement of Eligibility (Form T-1) under the Trust Indenture Act of 1939, as amended (the “</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Ineligible Issuer</w:t>
      </w:r>
      <w:r>
        <w:rPr>
          <w:rFonts w:ascii="Times New Roman;Times;Serif" w:hAnsi="Times New Roman;Times;Serif"/>
          <w:b w:val="false"/>
          <w:i w:val="false"/>
          <w:caps w:val="false"/>
          <w:smallCaps w:val="false"/>
          <w:sz w:val="20"/>
        </w:rPr>
        <w:t xml:space="preserve">. The Company is not an “ineligible issuer” in connection with the offering pursuant to Rules 164, 405 and 433 under the Securities Act. Any free writing prospectus that the Company is required to file pursuant to Rule 433(d) under the Securities Act in connection with the offering of the Securities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as of its date and at all times through the completion of the offering of the Securities complies or will comply in all material respects with the requirements of the Securities Act and the applicable rules and regulations of the Commission thereunder; Except for the free writing prospectuses, if any, identified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forming part of the Time of Sale Prospectus, and electronic road shows, if any, each furnished to you before first use, the Company has not prepared, used or referred to, and will not, without your prior consent, prepare, use or refer to, any free writing prospectus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The documents incorporated or deemed to be incorporated by reference in the Registration Statement and the Prospectus, at the time they were or hereafter are filed with the Commission, complied and will comply in all material respects with the requirements of the Securities Act and the Exchange Act and the rules and regulations of the Commission thereunder, as applicable, and, when read together with the other information in the Prospectus, (a) at the time the Registration Statement became effective, (b) at the Applicable Time and (c) at the Closing Date (as defined below) did not contain an untrue statement of a material fact or omit to state a material fact required to be stated therein or necessary in order to make the statements therein, in light of the circumstances under which they were made, not misleading. As used in this Agreement, “</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means 7:45 P.M. (New York City time) on 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 Material Adverse Change in Company Business</w:t>
      </w:r>
      <w:r>
        <w:rPr>
          <w:rFonts w:ascii="Times New Roman;Times;Serif" w:hAnsi="Times New Roman;Times;Serif"/>
          <w:b w:val="false"/>
          <w:i w:val="false"/>
          <w:caps w:val="false"/>
          <w:smallCaps w:val="false"/>
          <w:sz w:val="20"/>
        </w:rPr>
        <w:t>. Neither the Company nor any of its subsidiaries has sustained since the date of the latest audited financial statements included or incorporated by reference in the Registration Statement, Time of Sale Prospectus and the Prospectus any loss or interference with its business from fire, explosion, flood or other calamity, whether or not covered by insurance, or from any labor dispute or court or governmental action, order or decree, in each case which is material to the Company and its subsidiaries taken as a whole, otherwise than as set forth or contemplated in the Registration Statement, the Time of Sale Prospectus or the Prospectus; and, since the respective dates as of which information is given in the Registration Statement, the Time of Sale Prospectus and the Prospectus, there has not been any material change in the consolidated capital stock or any material increase in the consolidated long-term debt of the Company and its subsidiaries, taken as a whole, or any material adverse change, or any development involving a prospective material adverse change, in or affecting the business, financial position, shareholders’ equity or results of operations of the Company and its subsidiaries, taken as a whole, otherwise than as set forth or contemplated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Good Standing of the Company</w:t>
      </w:r>
      <w:r>
        <w:rPr>
          <w:rFonts w:ascii="Times New Roman;Times;Serif" w:hAnsi="Times New Roman;Times;Serif"/>
          <w:b w:val="false"/>
          <w:i w:val="false"/>
          <w:caps w:val="false"/>
          <w:smallCaps w:val="false"/>
          <w:sz w:val="20"/>
        </w:rPr>
        <w:t>. The Company has been duly incorporated and is validly existing as a corporation in good standing under the laws of the State of Delaware, has the corporate power and authority to own or lease its properties and conduct its business as described in each of the Registration Statement, the Time of Sale Prospectus and the Prospectus, and is duly qualified to transact business and is in good standing in each jurisdiction in which the conduct of its business or the ownership or leasing of its property requires such qualification, except where failure to be so qualified or in good standing would not, in the aggregate, have a material adverse effect upon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Good Standing of Subsidiaries</w:t>
      </w:r>
      <w:r>
        <w:rPr>
          <w:rFonts w:ascii="Times New Roman;Times;Serif" w:hAnsi="Times New Roman;Times;Serif"/>
          <w:b w:val="false"/>
          <w:i w:val="false"/>
          <w:caps w:val="false"/>
          <w:smallCaps w:val="false"/>
          <w:sz w:val="20"/>
        </w:rPr>
        <w:t>. Each of the “significant subsidiaries” of the Company (as such term is defined in Rule 1-02(w) of Regulation S-X promulgated under the Securities Act) has been duly incorporated, organized or formed, is validly existing as a corporation or business entity in good standing under the laws of the jurisdiction of its incorporation, organization or formation, is duly qualified to transact business and is in good standing in each jurisdiction in which the conduct of its business or the ownership or leasing of its property requires such qualification, except where failure to be so qualified or in good standing would not, in the aggregate, have a material adverse effect upon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Authorization of this Agreement</w:t>
      </w:r>
      <w:r>
        <w:rPr>
          <w:rFonts w:ascii="Times New Roman;Times;Serif" w:hAnsi="Times New Roman;Times;Serif"/>
          <w:b w:val="false"/>
          <w:i w:val="false"/>
          <w:caps w:val="false"/>
          <w:smallCaps w:val="false"/>
          <w:sz w:val="20"/>
        </w:rPr>
        <w:t>.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Authorization of the Securities</w:t>
      </w:r>
      <w:r>
        <w:rPr>
          <w:rFonts w:ascii="Times New Roman;Times;Serif" w:hAnsi="Times New Roman;Times;Serif"/>
          <w:b w:val="false"/>
          <w:i w:val="false"/>
          <w:caps w:val="false"/>
          <w:smallCaps w:val="false"/>
          <w:sz w:val="20"/>
        </w:rPr>
        <w:t>. The Securities have been duly authorized and, when executed and authenticated and registered in the name of the holders thereof in the register of holders maintained for such purposes, in each case, in accordance with the provisions of the Indenture, and delivered to and paid for by the Underwriters, in accordance with the terms of this Agreement, will be valid and binding obligations of the Company, enforceable in accordance with their terms, subject to applicable bankruptcy, insolvency, fraudulent transfer, reorganization, moratorium and similar laws relating to or affecting creditors’ rights generally and general principles of equity (collectively,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and will be entitled to the benefits of the Indenture, subject to the Enforceability Exceptions and except as rights to indemnification and contribution may be limited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Authorization of the Indenture</w:t>
      </w:r>
      <w:r>
        <w:rPr>
          <w:rFonts w:ascii="Times New Roman;Times;Serif" w:hAnsi="Times New Roman;Times;Serif"/>
          <w:b w:val="false"/>
          <w:i w:val="false"/>
          <w:caps w:val="false"/>
          <w:smallCaps w:val="false"/>
          <w:sz w:val="20"/>
        </w:rPr>
        <w:t>. The Indenture has been duly authorized and, assuming due execution and delivery by the Trustee, when executed and delivered by the Company, will be a valid and binding agreement of the Company, enforceable in accordance with its terms, subject to the Enforceability Exceptions. The Indenture and the Securities will conform to the descriptions thereof contained in the Time of Sale Prospectus as amended or supplemented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Absence of Defaults and Conflicts</w:t>
      </w:r>
      <w:r>
        <w:rPr>
          <w:rFonts w:ascii="Times New Roman;Times;Serif" w:hAnsi="Times New Roman;Times;Serif"/>
          <w:b w:val="false"/>
          <w:i w:val="false"/>
          <w:caps w:val="false"/>
          <w:smallCaps w:val="false"/>
          <w:sz w:val="20"/>
        </w:rPr>
        <w:t xml:space="preserve">. The issue and sale of the Securities and the compliance by the Company with all of the provisions of the Securities, the Indenture and this Agreement, and the consummation of the transactions herein and therein contemplated, will not (i) conflict with or result in a breach or violation of any of the terms or provisions of, or constitute a default under, or result in the creation or imposition of any lien, charge or encumbrance upon any of the property or assets of the Company or any of its subsidiaries pursuant to the terms of,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incorporation or by-laws, each as amended, of the Company or (iii) result in a violation of any applicable law, statute or any order, rule or regulation of any court or governmental agency or body having jurisdiction over the Company or any of its subsidiaries, or any of their respective properties, in any such case described in the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the effects of which would, individually or in the aggregate, be materially adverse to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Absence of Further Requirements</w:t>
      </w:r>
      <w:r>
        <w:rPr>
          <w:rFonts w:ascii="Times New Roman;Times;Serif" w:hAnsi="Times New Roman;Times;Serif"/>
          <w:b w:val="false"/>
          <w:i w:val="false"/>
          <w:caps w:val="false"/>
          <w:smallCaps w:val="false"/>
          <w:sz w:val="20"/>
        </w:rPr>
        <w:t>. No consent, approval, authorization, order, registration or qualification of or with any such court or governmental agency or body is required for the issue and sale of the Securities or the consummation by the Company of the transactions contemplated by this Agreement, the Securities or the Indenture except such as have already been obtained or may be required by the securities or Blue Sky laws of the various states in connection with the offer and sale of the Securities and except as would not, individually or in the aggregate, be materially adverse to the Company’s ability to consummate the transactions contemplated by this Agreement, the Securities or the Indenture or perform its obligations thereunder, as applicable;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Other than as set forth in the Time of Sale Prospectus, there are no legal or governmental proceedings pending to which the Company or any of its subsidiaries is a party or of which any property of the Company or any of its subsidiaries is the subject (including, without limitation, any proceedings before the United States Food and Drug Administration or comparable Federal, state, local or foreign governmental bodies) that, individually or in the aggregate, would reasonably be expected to have a material adverse effect on the business, financial position, shareholders’ equity or results of operations of the Company and its subsidiaries, taken as a whole; and, to the Company’s knowledge, no such proceedings are threatened or contemplated by governmental authorities or threatened by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eXtensible Business Reporting Language</w:t>
      </w:r>
      <w:r>
        <w:rPr>
          <w:rFonts w:ascii="Times New Roman;Times;Serif" w:hAnsi="Times New Roman;Times;Serif"/>
          <w:b w:val="false"/>
          <w:i w:val="false"/>
          <w:caps w:val="false"/>
          <w:smallCaps w:val="false"/>
          <w:sz w:val="20"/>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Company Financial Statements</w:t>
      </w:r>
      <w:r>
        <w:rPr>
          <w:rFonts w:ascii="Times New Roman;Times;Serif" w:hAnsi="Times New Roman;Times;Serif"/>
          <w:b w:val="false"/>
          <w:i w:val="false"/>
          <w:caps w:val="false"/>
          <w:smallCaps w:val="false"/>
          <w:sz w:val="20"/>
        </w:rPr>
        <w:t>. Except as noted therein, (i) the consolidated financial statements of the Company, and the related notes thereto, contained in the Registration Statement, the Time of Sale Prospectus and the Prospectus present fairly in all material respects the consolidated financial position of the Company and its consolidated subsidiaries as of the dates indicated and the results of their operations and changes in their combined cash flows for the periods specified; (ii) such financial statements have been prepared in conformity with accounting principles generally accepted in the United States applied on a consistent basis; and (iii) the selected financial data of the Company and its subsidiaries contained in the Time of Sale Prospectus present fairly the information shown therein and have been compiled on a basis consistent with that of the financial statements of the Company contained in the Time of Sale Prospectus.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Compliance with the Sarbanes-Oxley Act</w:t>
      </w:r>
      <w:r>
        <w:rPr>
          <w:rFonts w:ascii="Times New Roman;Times;Serif" w:hAnsi="Times New Roman;Times;Serif"/>
          <w:b w:val="false"/>
          <w:i w:val="false"/>
          <w:caps w:val="false"/>
          <w:smallCaps w:val="false"/>
          <w:sz w:val="20"/>
        </w:rPr>
        <w:t>. There is and has been no failure on the part of the Company or any of the Company’s directors or officers, in their capacities as such, to comply in all material respects with any provision of the Sarbanes-Oxley Act of 2002 and the rules and regulations promulgated in connection therewith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including Section 402 related to loans and Sections 302 and 906 related to 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Accounting Controls</w:t>
      </w:r>
      <w:r>
        <w:rPr>
          <w:rFonts w:ascii="Times New Roman;Times;Serif" w:hAnsi="Times New Roman;Times;Serif"/>
          <w:b w:val="false"/>
          <w:i w:val="false"/>
          <w:caps w:val="false"/>
          <w:smallCaps w:val="false"/>
          <w:sz w:val="20"/>
        </w:rPr>
        <w:t>. The Company and its subsidiaries (i) make and keep accurate books and records in all material respects and (ii) maintain internal accounting controls which provide reasonable assurance that (A) transactions are executed in accordance with management’s authorization, (B) transactions are recorded as necessary to permit preparation of their financial statements and to maintain accountability for their assets, (C) access to their assets is permitted only in accordance with management’s authorization and (D) the reported accountability for their assets is compared with existing assets at reasonable intervals and appropriate action is taken with respect to any difference;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has established, maintains and will maintain disclosure controls and procedures (as defined in Rule 13a-15(e) of the Exchange Act) which are designed to ensure that information required to be disclosed by the Company in the reports that it files or submits under the Exchange Act is recorded, processed, summarized and reported in accordance with the Exchange Act and the rules and regulations thereunder. The Company has carried out evaluations, and the Company will carry out evaluations, under the supervision and with the participation of the Company’s management, of the effectiveness of the design and operation of the Company’s disclosure controls and procedures in accordance with Rule 13a-15 of the Exchange Act;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Independent Registered Public Accounting Firm</w:t>
      </w:r>
      <w:r>
        <w:rPr>
          <w:rFonts w:ascii="Times New Roman;Times;Serif" w:hAnsi="Times New Roman;Times;Serif"/>
          <w:b w:val="false"/>
          <w:i w:val="false"/>
          <w:caps w:val="false"/>
          <w:smallCaps w:val="false"/>
          <w:sz w:val="20"/>
        </w:rPr>
        <w:t>. Ernst &amp; Young LLP, which has audited and reported on certain financial statements of the Company and its subsidiaries included or incorporated by reference in the Registration Statement, the Time of Sale Prospectus and the Prospectus and have audited the Company's internal control over financial reporting and management's assessment thereof, is an independent registered public accounting firm with respect to the Company and its subsidiaries as required by the Securities Act and the Exchange Act and the rules and regulations of the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Filing of Prospectus</w:t>
      </w:r>
      <w:r>
        <w:rPr>
          <w:rFonts w:ascii="Times New Roman;Times;Serif" w:hAnsi="Times New Roman;Times;Serif"/>
          <w:b w:val="false"/>
          <w:i w:val="false"/>
          <w:caps w:val="false"/>
          <w:smallCaps w:val="false"/>
          <w:sz w:val="20"/>
        </w:rPr>
        <w:t>.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Pending Proceedings and Examinations</w:t>
      </w:r>
      <w:r>
        <w:rPr>
          <w:rFonts w:ascii="Times New Roman;Times;Serif" w:hAnsi="Times New Roman;Times;Serif"/>
          <w:b w:val="false"/>
          <w:i w:val="false"/>
          <w:caps w:val="false"/>
          <w:smallCaps w:val="false"/>
          <w:sz w:val="20"/>
        </w:rPr>
        <w:t>. The Registration Statement is not the subject of a pending proceeding or examination under Section 8(d) or 8(e) of the Securities Act, and the Company is not the subject of a pending proceeding under Section 8A of the Securities Act in connection with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Anti-Corruption</w:t>
      </w:r>
      <w:r>
        <w:rPr>
          <w:rFonts w:ascii="Times New Roman;Times;Serif" w:hAnsi="Times New Roman;Times;Serif"/>
          <w:b w:val="false"/>
          <w:i w:val="false"/>
          <w:caps w:val="false"/>
          <w:smallCaps w:val="false"/>
          <w:sz w:val="20"/>
        </w:rPr>
        <w:t>. None of the Company, its subsidiaries, affiliates, directors or officers has taken any action in furtherance of an offer, payment, promise to pay, or authorization or approval of the payment or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improperly influence official action or secure an improper advantage or to any person in violation of any applicable anti-corruption laws; the Company and its subsidiaries and affiliates have conducted their businesses in compliance with applicable anti-corruption laws and have instituted and maintained policies and procedures designed to promote and achieve compliance with such laws and with the representations and warranties contained in this paragraph, and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after giving effect to the offering and sale of the Securities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w:t>
      </w:r>
      <w:r>
        <w:rPr>
          <w:rFonts w:ascii="Times New Roman;Times;Serif" w:hAnsi="Times New Roman;Times;Serif"/>
          <w:b/>
          <w:i w:val="false"/>
          <w:caps w:val="false"/>
          <w:smallCaps w:val="false"/>
          <w:sz w:val="20"/>
        </w:rPr>
        <w:t>USA PATRIOT Act</w:t>
      </w:r>
      <w:r>
        <w:rPr>
          <w:rFonts w:ascii="Times New Roman;Times;Serif" w:hAnsi="Times New Roman;Times;Serif"/>
          <w:b w:val="false"/>
          <w:i w:val="false"/>
          <w:caps w:val="false"/>
          <w:smallCaps w:val="false"/>
          <w:sz w:val="20"/>
        </w:rPr>
        <w: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threatened, except for any such action, suit or proceeding, individually or in the aggregate, as would not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None of the Company, its subsidiaries or, to the Company’s knowledge, any of their respective officers or directors is an individual or entity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that is an Embargoed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subsidiary of the Company becomes an Embargoed Person pursuant to </w:t>
      </w:r>
      <w:r>
        <w:rPr>
          <w:rFonts w:ascii="Times New Roman;Times;Serif" w:hAnsi="Times New Roman;Times;Serif"/>
          <w:b w:val="false"/>
          <w:i w:val="false"/>
          <w:caps w:val="false"/>
          <w:smallCaps w:val="false"/>
          <w:sz w:val="20"/>
          <w:u w:val="single"/>
        </w:rPr>
        <w:t>clause (B)(3)</w:t>
      </w:r>
      <w:r>
        <w:rPr>
          <w:rFonts w:ascii="Times New Roman;Times;Serif" w:hAnsi="Times New Roman;Times;Serif"/>
          <w:b w:val="false"/>
          <w:i w:val="false"/>
          <w:caps w:val="false"/>
          <w:smallCaps w:val="false"/>
          <w:sz w:val="20"/>
        </w:rPr>
        <w:t> of the definition thereof as a result of a country or territory becoming subject to any applicable Sanctions program after the Closing Date, such Person shall not be an Embargoed Person so long as the Company is taking reasonable steps to either obtain an appropriate license for transacting business in such country or territory or to cause such Person to no longer reside, be organized or chartered or have a place of business in such country or territory and such Person’s residing, being organized or chartered or having a place of business in such country or territory would not be reasonably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Embargoed Person</w:t>
      </w:r>
      <w:r>
        <w:rPr>
          <w:rFonts w:ascii="Times New Roman;Times;Serif" w:hAnsi="Times New Roman;Times;Serif"/>
          <w:b w:val="false"/>
          <w:i w:val="false"/>
          <w:caps w:val="false"/>
          <w:smallCaps w:val="false"/>
          <w:sz w:val="20"/>
        </w:rPr>
        <w:t>” means (A) any country or territory that is the target of a sanctions program administered by U.S. Department of Treasury’s Office of Foreign Assets Control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(B) any Person that (1) is or is owned or controlled by one or more Persons publicly identified on the most current list of “Specially Designated Nationals and Blocked Persons” published by OFAC, (2) is the target of a sanctions program or sanctions list administered by OFAC, the State Department of the United States, the European Union or His Majesty’s Treasury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or (3) resides, is organized or chartered, or has a place of business in a country or territory that is the subject of a Sanctions program administered by OFAC that prohibits dealing with the government of such country or territory (unless such Person has an appropriate license to transact business in such country or territory or otherwise is permitted to reside, be organized or chartered or maintain a place of business in such country or territory without violating any Sanctions);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permitted by Sanctions, the Company will not, directly or indirectly, use the proceeds of the offering, or lend, contribute or otherwise make available such proceeds to any subsidiary, joint venture partner or other Person: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the offering, whether as underwriter, advisor, investor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caps w:val="false"/>
          <w:smallCaps w:val="false"/>
          <w:sz w:val="20"/>
        </w:rPr>
        <w:t>Cybersecurity; Data Protection</w:t>
      </w:r>
      <w:r>
        <w:rPr>
          <w:rFonts w:ascii="Times New Roman;Times;Serif" w:hAnsi="Times New Roman;Times;Serif"/>
          <w:b w:val="false"/>
          <w:i w:val="false"/>
          <w:caps w:val="false"/>
          <w:smallCaps w:val="false"/>
          <w:sz w:val="20"/>
        </w:rPr>
        <w:t>. Except as otherwise disclosed in the Time of Sale Prospectus and the Prospectus, (i) the Company has not been notified of, and has no knowledge of any security breach or other compromise of or relating to any of the Company’s information technology and computer systems, networks, hardware, software, data (including the data of its customers, employees, suppliers, vendors and any third party data maintained by or on behalf of the Company), equipment or technology (collectively, “</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xml:space="preserve">”), except in the case of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as would not, individually or in the aggregate, result in a material adverse effect on the current or future consolidated financial position, stockholders’ equity or results of operations of the Company; (ii) the Company is presently in compliance with applicable laws or statutes relating to the privacy and security of IT Systems and Data and to the protection of such IT Systems and Data from unauthorized use, access, misappropriation or modification, except as would not, individually or in the aggregate, result in a material adverse effect on the current or future consolidated financial position, stockholders’ equity or results of operations of the Company; and (iii) the Company has implemented backup and disaster recovery technology consistent with industry standards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Except as would not, individually or in the aggregate, have a material adverse effect on the Company and its subsidiaries, taken as a whole, each of the Company and its subsidiaries has (i) filed all tax returns that are required to be filed by it or has requested extensions thereof and (ii) paid all taxes required to be paid by it and any other assessment, fine or penalty levied against it, except for any such tax, assessment, fine or penalty that is currently being contested in good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Agreements to Sell and Purchase</w:t>
      </w:r>
      <w:r>
        <w:rPr>
          <w:rFonts w:ascii="Times New Roman;Times;Serif" w:hAnsi="Times New Roman;Times;Serif"/>
          <w:b w:val="false"/>
          <w:i w:val="false"/>
          <w:caps w:val="false"/>
          <w:smallCaps w:val="false"/>
          <w:sz w:val="20"/>
        </w:rPr>
        <w:t xml:space="preserve">. The Company hereby agrees to sell to the several Underwriters, and each Underwriter, upon the basis of the representations and warranties herein contained, but subject to the terms and conditions hereinafter stated, agrees, severally and not jointly, to purchase from the Company, at purchase prices as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in the respective principal amounts of Securities as set forth opposite its name in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Terms of Offering</w:t>
      </w:r>
      <w:r>
        <w:rPr>
          <w:rFonts w:ascii="Times New Roman;Times;Serif" w:hAnsi="Times New Roman;Times;Serif"/>
          <w:b w:val="false"/>
          <w:i w:val="false"/>
          <w:caps w:val="false"/>
          <w:smallCaps w:val="false"/>
          <w:sz w:val="20"/>
        </w:rPr>
        <w:t>. The Representatives have advised the Company that the Underwriters will, subject to the provisions hereof and the selling restrictions disclosed in the Prospectus, make a public offering of their respective proportions of the Securities purchased by the Underwriters hereunder as soon after the Registration Statement and this Agreement have become effective as in the judgment of the Representatives is advisable. The Company is further advised by you that the Securities are to be offered to the public upon the terms set forth in the Prospectus (including the selling and transfer restrictions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Payment and Delivery</w:t>
      </w:r>
      <w:r>
        <w:rPr>
          <w:rFonts w:ascii="Times New Roman;Times;Serif" w:hAnsi="Times New Roman;Times;Serif"/>
          <w:b w:val="false"/>
          <w:i w:val="false"/>
          <w:caps w:val="false"/>
          <w:smallCaps w:val="false"/>
          <w:sz w:val="20"/>
        </w:rPr>
        <w:t>. Payment for the Securities shall be made to the Company in Federal or other funds immediately available in New York City against delivery of such Securities for the respective accounts of the several Underwriters at 10:00 a.m., New York City time, on August 18, 2026, or at such other time on the same or such other date as shall be designated in writing by the Representatives. The time and date of such payment are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the Securities shall be made against delivery, and the Securities shall be registered in such names and in such denominations as the Representatives shall request in writing not later than one full business day prior to the Closing Date. The Securities shall be delivered to the Representatives on the Closing Date for the respective accounts of the several Underwriters, with any transfer taxes payable in connection with the transfer of the Securities to the Underwriters duly paid, against payment of the purchase price therefor plus accrued interest, if any, to the date of payment 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Conditions to the Underwriters’ Obligations</w:t>
      </w:r>
      <w:r>
        <w:rPr>
          <w:rFonts w:ascii="Times New Roman;Times;Serif" w:hAnsi="Times New Roman;Times;Serif"/>
          <w:b w:val="false"/>
          <w:i w:val="false"/>
          <w:caps w:val="false"/>
          <w:smallCaps w:val="false"/>
          <w:sz w:val="20"/>
        </w:rPr>
        <w:t>. The several obligations of the Underwriters to purchase and pay for the Securities on the Closing Date are subject, in the discretion of the Representatives, to the condition that all representations and warranties and other statements of the Company in this Agreement are, at and as of the Closing Date, true and correct, the condition that each of them shall have performed in all material respects all of their respective obligations hereunder theretofore to be performed and to the following additional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Effectiveness of Registration Statement; Filing of Prospectus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Registration Statement has become effective and at the Closing Date and no stop order suspending the effectiveness of the Registration Statement shall have been issued under the Securities Act or proceedings therefor or pursuant to Section 8A under the Securities Act initiated or, to the knowledge of the Company, threatened by the Commission, and any request on the part of the Commission for additional information shall have been complied with to the reasonable satisfaction of counsel to the Underwriters. The filings required under Rule 424(b) shall have been filed with the Commission in the manner and within the time period required by Rule 424(b) (or a post-effective amendment providing such information shall have been filed and become effective in accordance with the requirements of Rule 430B). The Final Term Sheet (as defined herein) and any other material required to be filed by the Company pursuant to Rule 433(d) under the rules and regulations under the Securities Act shall have been timely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Opinion and Negative Assurance Letters of Counsel for the Underwriters</w:t>
      </w:r>
      <w:r>
        <w:rPr>
          <w:rFonts w:ascii="Times New Roman;Times;Serif" w:hAnsi="Times New Roman;Times;Serif"/>
          <w:b w:val="false"/>
          <w:i w:val="false"/>
          <w:caps w:val="false"/>
          <w:smallCaps w:val="false"/>
          <w:sz w:val="20"/>
        </w:rPr>
        <w:t>. The Underwriters shall have received on the Closing Date an opinion and negative assurance letter of Davis Polk &amp; Wardwell LLP, counsel for the Underwriters, dated the Closing Date, with respect to such matters as may be reasonably requested by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Opinion of the Company’s Internal Counsel</w:t>
      </w:r>
      <w:r>
        <w:rPr>
          <w:rFonts w:ascii="Times New Roman;Times;Serif" w:hAnsi="Times New Roman;Times;Serif"/>
          <w:b w:val="false"/>
          <w:i w:val="false"/>
          <w:caps w:val="false"/>
          <w:smallCaps w:val="false"/>
          <w:sz w:val="20"/>
        </w:rPr>
        <w:t>. The Underwriters shall have received on the Closing Date an opinion letter of Emily A. Weith, Vice President, Corporate Legal, Governance, and Assistant Secretary (or such other person who shall be a senior legal officer of the Company on the Closing Date), dated the Closing Date, in form and substance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Opinion and Negative Assurance Letters of Counsel for the Company</w:t>
      </w:r>
      <w:r>
        <w:rPr>
          <w:rFonts w:ascii="Times New Roman;Times;Serif" w:hAnsi="Times New Roman;Times;Serif"/>
          <w:b w:val="false"/>
          <w:i w:val="false"/>
          <w:caps w:val="false"/>
          <w:smallCaps w:val="false"/>
          <w:sz w:val="20"/>
        </w:rPr>
        <w:t>. The Underwriters shall have received on the Closing Date an opinion letter of Wachtell, Lipton, Rosen &amp; Katz, outside counsel for the Company, dated the Closing Date, in form and substance satisfactory to the Underwriters, and a negative assurance letter, dated the Closing Date, in form and substance satisfactory to the Underwriters;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Accountant’s Comfort Letters</w:t>
      </w:r>
      <w:r>
        <w:rPr>
          <w:rFonts w:ascii="Times New Roman;Times;Serif" w:hAnsi="Times New Roman;Times;Serif"/>
          <w:b w:val="false"/>
          <w:i w:val="false"/>
          <w:caps w:val="false"/>
          <w:smallCaps w:val="false"/>
          <w:sz w:val="20"/>
        </w:rPr>
        <w:t xml:space="preserve">. The Underwriters shall have received on each of the date hereof and the Closing Date a letter, dated the date hereof or the Closing Date, as applicable, in form and substance satisfactory to the Underwriters, from Ernst &amp; Young LLP, independent public accountants with respect to the Company’s consolidated financial statements and certain financial information included or incorporated by reference in the Time of Sale Prospectus and the Prospectus, containing statements and information of the type ordinarily included in accountants’ “comfort letters” to underwriters with respect to the financial statements and certain financial information included or incorporated by reference in the Time of Sale Prospectus and the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letter delivered on the Closing Date shall use a “cut-off date” not earlier than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 Neither the Company nor any of its subsidiaries shall have sustained since the date of the latest financial statements included in the Time of Sale Prospectus any loss or interference with its business from fire, explosion, flood or other calamity, whether or not covered by insurance, or from any labor dispute or court or governmental action, order or decree, otherwise than as set forth or contemplated in the Registration Statement, the Time of Sale Prospectus and the Prospectus, and (ii) since the respective dates as of which information is given in the Registration Statement, the Time of Sale Prospectus and the Prospectus, there shall not have been any change in the consolidated capital stock or any increase in the consolidated long-term debt of the Company and its subsidiaries, taken as a whole, or any change, or any development involving a prospective change, in or affecting the business, financial position, shareholders’ equity or results of operations of the Company and its subsidiaries, taken as a whole, otherwise than as set forth or contemplated in the Registration Statement, the Time of Sale Prospectus and the Prospectus, the effect of which, in any such case described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above, is in the reasonable judgment of the Representatives so material and adverse as to make it impracticable or inadvisable to proceed with the offering or the delivery of the Securities on the terms and in the manner contemplated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Downgrade</w:t>
      </w:r>
      <w:r>
        <w:rPr>
          <w:rFonts w:ascii="Times New Roman;Times;Serif" w:hAnsi="Times New Roman;Times;Serif"/>
          <w:b w:val="false"/>
          <w:i w:val="false"/>
          <w:caps w:val="false"/>
          <w:smallCaps w:val="false"/>
          <w:sz w:val="20"/>
        </w:rPr>
        <w:t>. On or after the date of this Agreement (i) no downgrading shall have occurred, nor shall any notice have been given of any intended or potential downgrading, in the rating accorded the Company (if any) or any of the securities of the Company or any of its subsidiaries by Moody’s Investor Services or Standard &amp; Poor’s Ratings Service and (ii) neither organization shall have publicly announced that it has under surveillance or review, with possible negative implications, its rating of any of the Company’s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Company shall have furnished or caused to be furnished to the Representatives on the Closing Date a certificate of two officers of the Company, satisfactory to the Representatives as to the accuracy of the representations and warranties of the Company herein at and as of the Closing Date, as to the performance by the Company of all of its respective obligations hereunder to be performed at or prior to the Closing Date and as to the matters set forth in </w:t>
      </w:r>
      <w:r>
        <w:rPr>
          <w:rFonts w:ascii="Times New Roman;Times;Serif" w:hAnsi="Times New Roman;Times;Serif"/>
          <w:b w:val="false"/>
          <w:i w:val="false"/>
          <w:caps w:val="false"/>
          <w:smallCaps w:val="false"/>
          <w:sz w:val="20"/>
          <w:u w:val="single"/>
        </w:rPr>
        <w:t>Sections ‎5(f)</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‎5(g)</w:t>
      </w:r>
      <w:r>
        <w:rPr>
          <w:rFonts w:ascii="Times New Roman;Times;Serif" w:hAnsi="Times New Roman;Times;Serif"/>
          <w:b w:val="false"/>
          <w:i w:val="false"/>
          <w:caps w:val="false"/>
          <w:smallCaps w:val="false"/>
          <w:sz w:val="20"/>
        </w:rPr>
        <w:t> above;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Chief Financial Officer’s Certificate</w:t>
      </w:r>
      <w:r>
        <w:rPr>
          <w:rFonts w:ascii="Times New Roman;Times;Serif" w:hAnsi="Times New Roman;Times;Serif"/>
          <w:b w:val="false"/>
          <w:i w:val="false"/>
          <w:caps w:val="false"/>
          <w:smallCaps w:val="false"/>
          <w:sz w:val="20"/>
        </w:rPr>
        <w:t>. On the date hereof and on the Closing Date, the Company shall have furnished to the Representatives a certificate, dated the respective date of delivery thereof, of Scott T. Reents, Chief Financial Officer of the Company, in form and substance satisfactory to the Representatives and covering such matters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Covenants of the Company</w:t>
      </w:r>
      <w:r>
        <w:rPr>
          <w:rFonts w:ascii="Times New Roman;Times;Serif" w:hAnsi="Times New Roman;Times;Serif"/>
          <w:b w:val="false"/>
          <w:i w:val="false"/>
          <w:caps w:val="false"/>
          <w:smallCaps w:val="false"/>
          <w:sz w:val="20"/>
        </w:rPr>
        <w:t>. The Company covenants to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Compliance with Securities Regulations and Commission Requests</w:t>
      </w:r>
      <w:r>
        <w:rPr>
          <w:rFonts w:ascii="Times New Roman;Times;Serif" w:hAnsi="Times New Roman;Times;Serif"/>
          <w:b w:val="false"/>
          <w:i w:val="false"/>
          <w:caps w:val="false"/>
          <w:smallCaps w:val="false"/>
          <w:sz w:val="20"/>
        </w:rPr>
        <w:t>. The Company will comply with the requirements of Rule 430B and will notify the Representatives immediately, and confirm the notice in writing, (i) when any post-effective amendment to the Registration Statement or new registration statement relating to the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relating to the Registration Statement or the Prospectus, (iv) of the issuance by the Commission of any stop order suspending the effectiveness of the Registration Statement or such new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or of any examination pursuant to Section 8(e) of the Securities Act concerning the Registration Statement and (v) if the Company becomes the subject of a proceeding under Section 8A of the Securities Act in connection with the offering of the Securities. The Company will effect the filings required under Rule 424(b), in the manner and within the time period required by Rule 424(b),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Delivery of Prospectus</w:t>
      </w:r>
      <w:r>
        <w:rPr>
          <w:rFonts w:ascii="Times New Roman;Times;Serif" w:hAnsi="Times New Roman;Times;Serif"/>
          <w:b w:val="false"/>
          <w:i w:val="false"/>
          <w:caps w:val="false"/>
          <w:smallCaps w:val="false"/>
          <w:sz w:val="20"/>
        </w:rPr>
        <w:t xml:space="preserve">. To furnish to the Representatives in New York City, without charge, prior to 10:00 a.m. New York City time on the second business day next succeeding the date of this Agreement and during the period mentioned in </w:t>
      </w:r>
      <w:r>
        <w:rPr>
          <w:rFonts w:ascii="Times New Roman;Times;Serif" w:hAnsi="Times New Roman;Times;Serif"/>
          <w:b w:val="false"/>
          <w:i w:val="false"/>
          <w:caps w:val="false"/>
          <w:smallCaps w:val="false"/>
          <w:sz w:val="20"/>
          <w:u w:val="single"/>
        </w:rPr>
        <w:t>Section 6(e)</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6(f)</w:t>
      </w:r>
      <w:r>
        <w:rPr>
          <w:rFonts w:ascii="Times New Roman;Times;Serif" w:hAnsi="Times New Roman;Times;Serif"/>
          <w:b w:val="false"/>
          <w:i w:val="false"/>
          <w:caps w:val="false"/>
          <w:smallCaps w:val="false"/>
          <w:sz w:val="20"/>
        </w:rPr>
        <w:t>, as many copies of the Time of Sale Prospectus, the Prospectus, any documents incorporated by reference therein and any supplements and amendments thereto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Registration Statement</w:t>
      </w:r>
      <w:r>
        <w:rPr>
          <w:rFonts w:ascii="Times New Roman;Times;Serif" w:hAnsi="Times New Roman;Times;Serif"/>
          <w:b w:val="false"/>
          <w:i w:val="false"/>
          <w:caps w:val="false"/>
          <w:smallCaps w:val="false"/>
          <w:sz w:val="20"/>
        </w:rPr>
        <w:t>. Before amending or supplementing the Registration Statement, the Time of Sale Prospectus or the Prospectus during any period when a prospectus relating to the Securities is required to be delivered under the Securities Act, to furnish to the Representatives a copy of each such proposed amendment or supplement and not to file any such proposed amendment or supplement to which the Representatives reasonably object, except as may be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Issuer Free Writing Prospectuses</w:t>
      </w:r>
      <w:r>
        <w:rPr>
          <w:rFonts w:ascii="Times New Roman;Times;Serif" w:hAnsi="Times New Roman;Times;Serif"/>
          <w:b w:val="false"/>
          <w:i w:val="false"/>
          <w:caps w:val="false"/>
          <w:smallCaps w:val="false"/>
          <w:sz w:val="20"/>
        </w:rPr>
        <w:t xml:space="preserve">. To furnish to the Representatives a copy of each proposed free writing prospectus to be prepared by or on behalf of, used by, or referred to by the Company and not to use or refer to any proposed free writing prospectus to which the Representatives reasonably object; </w:t>
      </w:r>
      <w:r>
        <w:rPr>
          <w:rFonts w:ascii="Times New Roman;Times;Serif" w:hAnsi="Times New Roman;Times;Serif"/>
          <w:b w:val="false"/>
          <w:i w:val="false"/>
          <w:caps w:val="false"/>
          <w:smallCaps w:val="false"/>
          <w:sz w:val="20"/>
          <w:shd w:fill="FFFFFF" w:val="clear"/>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Continued Compliance with Securities Laws</w:t>
      </w:r>
      <w:r>
        <w:rPr>
          <w:rFonts w:ascii="Times New Roman;Times;Serif" w:hAnsi="Times New Roman;Times;Serif"/>
          <w:b w:val="false"/>
          <w:i w:val="false"/>
          <w:caps w:val="false"/>
          <w:smallCaps w:val="false"/>
          <w:sz w:val="20"/>
        </w:rPr>
        <w:t xml:space="preserve">.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w:t>
      </w:r>
      <w:r>
        <w:rPr>
          <w:rFonts w:ascii="Times New Roman;Times;Serif" w:hAnsi="Times New Roman;Times;Serif"/>
          <w:b w:val="false"/>
          <w:i w:val="false"/>
          <w:caps w:val="false"/>
          <w:smallCaps w:val="false"/>
          <w:sz w:val="20"/>
          <w:shd w:fill="FFFFFF" w:val="clear"/>
        </w:rPr>
        <w:t xml:space="preserve">any event shall occur or condition exist as a result of which the Time of Sale Prospectus </w:t>
      </w:r>
      <w:r>
        <w:rPr>
          <w:rFonts w:ascii="Times New Roman;Times;Serif" w:hAnsi="Times New Roman;Times;Serif"/>
          <w:b w:val="false"/>
          <w:i w:val="false"/>
          <w:caps w:val="false"/>
          <w:smallCaps w:val="false"/>
          <w:sz w:val="20"/>
        </w:rPr>
        <w:t xml:space="preserve">conflicts </w:t>
      </w:r>
      <w:r>
        <w:rPr>
          <w:rFonts w:ascii="Times New Roman;Times;Serif" w:hAnsi="Times New Roman;Times;Serif"/>
          <w:b w:val="false"/>
          <w:i w:val="false"/>
          <w:caps w:val="false"/>
          <w:smallCaps w:val="false"/>
          <w:sz w:val="20"/>
          <w:shd w:fill="FFFFFF" w:val="clear"/>
        </w:rPr>
        <w:t xml:space="preserve">with the information contained in the Registration Statement then on file, </w:t>
      </w:r>
      <w:r>
        <w:rPr>
          <w:rFonts w:ascii="Times New Roman;Times;Serif" w:hAnsi="Times New Roman;Times;Serif"/>
          <w:b w:val="false"/>
          <w:i w:val="false"/>
          <w:caps w:val="false"/>
          <w:smallCaps w:val="false"/>
          <w:sz w:val="20"/>
        </w:rPr>
        <w:t xml:space="preserve">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w:t>
      </w:r>
      <w:r>
        <w:rPr>
          <w:rFonts w:ascii="Times New Roman;Times;Serif" w:hAnsi="Times New Roman;Times;Serif"/>
          <w:b w:val="false"/>
          <w:i w:val="false"/>
          <w:caps w:val="false"/>
          <w:smallCaps w:val="false"/>
          <w:sz w:val="20"/>
          <w:shd w:fill="FFFFFF" w:val="clear"/>
        </w:rPr>
        <w:t xml:space="preserve">as amended or supplemented, will no longer conflict with the Registration Statement, or so that the Time of Sale Prospectus, </w:t>
      </w:r>
      <w:r>
        <w:rPr>
          <w:rFonts w:ascii="Times New Roman;Times;Serif" w:hAnsi="Times New Roman;Times;Serif"/>
          <w:b w:val="false"/>
          <w:i w:val="false"/>
          <w:caps w:val="false"/>
          <w:smallCaps w:val="false"/>
          <w:sz w:val="20"/>
        </w:rPr>
        <w:t xml:space="preserve">as amended or supplemented, will comply with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such amendments or supplements comply with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Filing of Amendments</w:t>
      </w:r>
      <w:r>
        <w:rPr>
          <w:rFonts w:ascii="Times New Roman;Times;Serif" w:hAnsi="Times New Roman;Times;Serif"/>
          <w:b w:val="false"/>
          <w:i w:val="false"/>
          <w:caps w:val="false"/>
          <w:smallCaps w:val="false"/>
          <w:sz w:val="20"/>
        </w:rPr>
        <w:t xml:space="preserve">. If, during such period after the first date of the public offering of the Securities as in the opinion of counsel for the Underwriters the Prospectus </w:t>
      </w:r>
      <w:r>
        <w:rPr>
          <w:rFonts w:ascii="Times New Roman;Times;Serif" w:hAnsi="Times New Roman;Times;Serif"/>
          <w:b w:val="false"/>
          <w:i w:val="false"/>
          <w:caps w:val="false"/>
          <w:smallCaps w:val="false"/>
          <w:sz w:val="20"/>
          <w:shd w:fill="FFFFFF" w:val="clear"/>
        </w:rPr>
        <w:t xml:space="preserve">(or in lieu thereof the notice referred to in Rule 173(a) of the Securities Act) is required by law to be delivered in connection with sales by an </w:t>
      </w:r>
      <w:r>
        <w:rPr>
          <w:rFonts w:ascii="Times New Roman;Times;Serif" w:hAnsi="Times New Roman;Times;Serif"/>
          <w:b w:val="false"/>
          <w:i w:val="false"/>
          <w:caps w:val="false"/>
          <w:smallCaps w:val="false"/>
          <w:sz w:val="20"/>
        </w:rPr>
        <w:t xml:space="preserve">Underwriter </w:t>
      </w:r>
      <w:r>
        <w:rPr>
          <w:rFonts w:ascii="Times New Roman;Times;Serif" w:hAnsi="Times New Roman;Times;Serif"/>
          <w:b w:val="false"/>
          <w:i w:val="false"/>
          <w:caps w:val="false"/>
          <w:smallCaps w:val="false"/>
          <w:sz w:val="20"/>
          <w:shd w:fill="FFFFFF" w:val="clear"/>
        </w:rPr>
        <w:t>or dealer</w:t>
      </w:r>
      <w:r>
        <w:rPr>
          <w:rFonts w:ascii="Times New Roman;Times;Serif" w:hAnsi="Times New Roman;Times;Serif"/>
          <w:b w:val="false"/>
          <w:i w:val="false"/>
          <w:caps w:val="false"/>
          <w:smallCaps w:val="false"/>
          <w:sz w:val="20"/>
        </w:rPr>
        <w:t xml:space="preserve">, any event shall occur or condition exist as a result of which it is necessary to amend or supplement the Prospectus in order to make the statements therein, in the light of the circumstances when the Prospectus </w:t>
      </w:r>
      <w:r>
        <w:rPr>
          <w:rFonts w:ascii="Times New Roman;Times;Serif" w:hAnsi="Times New Roman;Times;Serif"/>
          <w:b w:val="false"/>
          <w:i w:val="false"/>
          <w:caps w:val="false"/>
          <w:smallCaps w:val="false"/>
          <w:sz w:val="20"/>
          <w:shd w:fill="FFFFFF" w:val="clear"/>
        </w:rPr>
        <w:t xml:space="preserve">(or in lieu thereof the notice referred to in Rule 173(a) of the Securities Act) </w:t>
      </w:r>
      <w:r>
        <w:rPr>
          <w:rFonts w:ascii="Times New Roman;Times;Serif" w:hAnsi="Times New Roman;Times;Serif"/>
          <w:b w:val="false"/>
          <w:i w:val="false"/>
          <w:caps w:val="false"/>
          <w:smallCaps w:val="false"/>
          <w:sz w:val="20"/>
        </w:rPr>
        <w:t xml:space="preserve">is delivered to a purchaser, not misleading, or if, in the opinion of counsel for the Underwriters, it is necessary to amend or supplement the Prospectus to comply with applicable law, forthwith to prepare, file with the Commission and furnish, at its own expense (unless such amendment or supplement shall be made more than six months after the date of this Agreement, in which case at the sole expense of the Underwriters), to the Underwriters </w:t>
      </w:r>
      <w:r>
        <w:rPr>
          <w:rFonts w:ascii="Times New Roman;Times;Serif" w:hAnsi="Times New Roman;Times;Serif"/>
          <w:b w:val="false"/>
          <w:i w:val="false"/>
          <w:caps w:val="false"/>
          <w:smallCaps w:val="false"/>
          <w:sz w:val="20"/>
          <w:shd w:fill="FFFFFF" w:val="clear"/>
        </w:rPr>
        <w:t>and to the dealers (whose names and addresses you will furnish to the Company) to which Securities may have been sold by you on behalf of the Underwriters and to any other dealers upon request</w:t>
      </w:r>
      <w:r>
        <w:rPr>
          <w:rFonts w:ascii="Times New Roman;Times;Serif" w:hAnsi="Times New Roman;Times;Serif"/>
          <w:b w:val="false"/>
          <w:i w:val="false"/>
          <w:caps w:val="false"/>
          <w:smallCaps w:val="false"/>
          <w:sz w:val="20"/>
        </w:rPr>
        <w:t xml:space="preserve">, either amendments or supplements to the Prospectus so that the statements in the Prospectus as so amended or supplemented will not, in the light of the circumstances when the Prospectus </w:t>
      </w:r>
      <w:r>
        <w:rPr>
          <w:rFonts w:ascii="Times New Roman;Times;Serif" w:hAnsi="Times New Roman;Times;Serif"/>
          <w:b w:val="false"/>
          <w:i w:val="false"/>
          <w:caps w:val="false"/>
          <w:smallCaps w:val="false"/>
          <w:sz w:val="20"/>
          <w:shd w:fill="FFFFFF" w:val="clear"/>
        </w:rPr>
        <w:t xml:space="preserve">(or in lieu thereof the notice referred to in Rule 173(a) of the Securities Act) </w:t>
      </w:r>
      <w:r>
        <w:rPr>
          <w:rFonts w:ascii="Times New Roman;Times;Serif" w:hAnsi="Times New Roman;Times;Serif"/>
          <w:b w:val="false"/>
          <w:i w:val="false"/>
          <w:caps w:val="false"/>
          <w:smallCaps w:val="false"/>
          <w:sz w:val="20"/>
        </w:rPr>
        <w:t xml:space="preserve">is delivered to a purchaser, be misleading or so that the Prospectus, as amended or supplemented, will comply with applicable law;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all such amendments or supplements comply with </w:t>
      </w:r>
      <w:r>
        <w:rPr>
          <w:rFonts w:ascii="Times New Roman;Times;Serif" w:hAnsi="Times New Roman;Times;Serif"/>
          <w:b w:val="false"/>
          <w:i w:val="false"/>
          <w:caps w:val="false"/>
          <w:smallCaps w:val="false"/>
          <w:sz w:val="20"/>
          <w:u w:val="single"/>
        </w:rPr>
        <w:t>Section 6(c)</w:t>
      </w:r>
      <w:r>
        <w:rPr>
          <w:rFonts w:ascii="Times New Roman;Times;Serif" w:hAnsi="Times New Roman;Times;Serif"/>
          <w:b w:val="false"/>
          <w:i w:val="false"/>
          <w:caps w:val="false"/>
          <w:smallCaps w:val="false"/>
          <w:sz w:val="20"/>
        </w:rPr>
        <w: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Blue Sky Qualifications</w:t>
      </w:r>
      <w:r>
        <w:rPr>
          <w:rFonts w:ascii="Times New Roman;Times;Serif" w:hAnsi="Times New Roman;Times;Serif"/>
          <w:b w:val="false"/>
          <w:i w:val="false"/>
          <w:caps w:val="false"/>
          <w:smallCaps w:val="false"/>
          <w:sz w:val="20"/>
        </w:rPr>
        <w:t xml:space="preserve">. To endeavor to qualify the Securities for offer and sale under the securities or Blue Sky laws of such jurisdictions as the Representatives shall reasonably request and to continue such qualifications, if any, in effect so long as required for the underwriting of the Securities by the Underwriters;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required to qualify as a foreign corporation or to file a general consent to service of process in any jurisdiction or subject itself to taxation in a jurisdiction in which it is not otherwise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shd w:fill="FFFFFF" w:val="clear"/>
        </w:rPr>
        <w:t>Earnings Statement</w:t>
      </w:r>
      <w:r>
        <w:rPr>
          <w:rFonts w:ascii="Times New Roman;Times;Serif" w:hAnsi="Times New Roman;Times;Serif"/>
          <w:b w:val="false"/>
          <w:i w:val="false"/>
          <w:caps w:val="false"/>
          <w:smallCaps w:val="false"/>
          <w:sz w:val="20"/>
          <w:shd w:fill="FFFFFF" w:val="clear"/>
        </w:rPr>
        <w:t xml:space="preserve">. To make generally available to the Company’s security holders and to you as soon as practicable an earnings statement covering a period of at least twelve months beginning with the first fiscal quarter of the Company occurring after the date of this Agreement which shall satisfy the provisions of </w:t>
      </w:r>
      <w:r>
        <w:rPr>
          <w:rFonts w:ascii="Times New Roman;Times;Serif" w:hAnsi="Times New Roman;Times;Serif"/>
          <w:b w:val="false"/>
          <w:i w:val="false"/>
          <w:caps w:val="false"/>
          <w:smallCaps w:val="false"/>
          <w:sz w:val="20"/>
          <w:u w:val="single"/>
          <w:shd w:fill="FFFFFF" w:val="clear"/>
        </w:rPr>
        <w:t>Section 11(a)</w:t>
      </w:r>
      <w:r>
        <w:rPr>
          <w:rFonts w:ascii="Times New Roman;Times;Serif" w:hAnsi="Times New Roman;Times;Serif"/>
          <w:b w:val="false"/>
          <w:i w:val="false"/>
          <w:caps w:val="false"/>
          <w:smallCaps w:val="false"/>
          <w:sz w:val="20"/>
          <w:shd w:fill="FFFFFF" w:val="clear"/>
        </w:rPr>
        <w:t> of the Securities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Whether or not the transactions contemplated in this Agreement are consummated or this Agreement is terminated, to pay or cause to be paid the following: (i) the fees, disbursements and expenses of the counsel and accountants for the Company in connection with the registration and delivery of the Securities under the Securities Act and all other fees or expenses in connection with the preparation and filing of </w:t>
      </w:r>
      <w:r>
        <w:rPr>
          <w:rFonts w:ascii="Times New Roman;Times;Serif" w:hAnsi="Times New Roman;Times;Serif"/>
          <w:b w:val="false"/>
          <w:i w:val="false"/>
          <w:caps w:val="false"/>
          <w:smallCaps w:val="false"/>
          <w:sz w:val="20"/>
          <w:shd w:fill="FFFFFF" w:val="clear"/>
        </w:rPr>
        <w:t xml:space="preserve">the Registration Statement, any </w:t>
      </w:r>
      <w:r>
        <w:rPr>
          <w:rFonts w:ascii="Times New Roman;Times;Serif" w:hAnsi="Times New Roman;Times;Serif"/>
          <w:b w:val="false"/>
          <w:i w:val="false"/>
          <w:caps w:val="false"/>
          <w:smallCaps w:val="false"/>
          <w:sz w:val="20"/>
        </w:rPr>
        <w:t xml:space="preserve">preliminary </w:t>
      </w:r>
      <w:r>
        <w:rPr>
          <w:rFonts w:ascii="Times New Roman;Times;Serif" w:hAnsi="Times New Roman;Times;Serif"/>
          <w:b w:val="false"/>
          <w:i w:val="false"/>
          <w:caps w:val="false"/>
          <w:smallCaps w:val="false"/>
          <w:sz w:val="20"/>
          <w:shd w:fill="FFFFFF" w:val="clear"/>
        </w:rPr>
        <w:t xml:space="preserve">prospectus, the Time of Sale Prospectus, the Prospectus, any free writing prospectus prepared by or on behalf of, used by, or referred to by the Company and amendments and supplements to any of the foregoing, including the filing fees payable to the Commission relating to the Securities (within the time required by Rule 456(b)(1), if applicable), </w:t>
      </w:r>
      <w:r>
        <w:rPr>
          <w:rFonts w:ascii="Times New Roman;Times;Serif" w:hAnsi="Times New Roman;Times;Serif"/>
          <w:b w:val="false"/>
          <w:i w:val="false"/>
          <w:caps w:val="false"/>
          <w:smallCaps w:val="false"/>
          <w:sz w:val="20"/>
        </w:rPr>
        <w:t xml:space="preserve">amendments and supplements thereto and the mailing and delivering of copies thereof to the Underwriters and dealers along with all necessary issue, transfer, stamp, and other similar taxes in connection therewith and or otherwise in connection with the issuance and sale of the Securities to the Underwriters; (ii) the cost of printing or producing this Agreement, the Indenture, any Blue Sky survey and any other documents in connection with the offering, purchase, sale and delivery of the Securities; (iii) all expenses in connection with the qualification of the Securities for offering and sale under state securities laws as provided in </w:t>
      </w:r>
      <w:r>
        <w:rPr>
          <w:rFonts w:ascii="Times New Roman;Times;Serif" w:hAnsi="Times New Roman;Times;Serif"/>
          <w:b w:val="false"/>
          <w:i w:val="false"/>
          <w:caps w:val="false"/>
          <w:smallCaps w:val="false"/>
          <w:sz w:val="20"/>
          <w:u w:val="single"/>
        </w:rPr>
        <w:t>Section 6(g)</w:t>
      </w:r>
      <w:r>
        <w:rPr>
          <w:rFonts w:ascii="Times New Roman;Times;Serif" w:hAnsi="Times New Roman;Times;Serif"/>
          <w:b w:val="false"/>
          <w:i w:val="false"/>
          <w:caps w:val="false"/>
          <w:smallCaps w:val="false"/>
          <w:sz w:val="20"/>
        </w:rPr>
        <w:t xml:space="preserve"> hereof, including the reasonable fees and disbursements of counsel for the Underwriters in connection with such qualification and in connection with the Blue Sky or legal investment memorandum; (iv) any reasonable fees charged by securities rating services for rating the Securities; (v) the fees and expenses of the Trustee and any agent of the Trustee and the fees and disbursements of counsel for any Trustee in connection with the Indenture and the Securities; and </w:t>
      </w:r>
      <w:r>
        <w:rPr>
          <w:rFonts w:ascii="Times New Roman;Times;Serif" w:hAnsi="Times New Roman;Times;Serif"/>
          <w:b w:val="false"/>
          <w:i w:val="false"/>
          <w:caps w:val="false"/>
          <w:smallCaps w:val="false"/>
          <w:sz w:val="20"/>
          <w:shd w:fill="FFFFFF" w:val="clear"/>
        </w:rPr>
        <w:t xml:space="preserve">(vi) all filing fees and the reasonable fees and disbursements of counsel to the Underwriters incurred in connection with the review and qualification of the offering of the Securities by the Financial Industry Regulatory Authority, </w:t>
      </w:r>
      <w:r>
        <w:rPr>
          <w:rFonts w:ascii="Times New Roman;Times;Serif" w:hAnsi="Times New Roman;Times;Serif"/>
          <w:b w:val="false"/>
          <w:i w:val="false"/>
          <w:caps w:val="false"/>
          <w:smallCaps w:val="false"/>
          <w:sz w:val="20"/>
        </w:rPr>
        <w:t xml:space="preserve">and all other costs and expenses incident to the performance of their obligations hereunder which are not otherwise specifically provided for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It is understood, however, that, except as provided in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‎7</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hereof, the Underwriters will pay all of their own costs and expenses, including the fees of their counsel, transfer taxes on the transfer of any of the Securities by them, and any advertising expenses connected with any offers they may make; each Underwriter agrees to pay the portion of such expenses represented by such Underwriter’s pro rata share (based on the proportion that the principal amount of Securities set forth opposite each Underwriter’s name in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bears to the aggregate principal amount of Securities set forth opposite the names of all Underwriters)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Regulation M</w:t>
      </w:r>
      <w:r>
        <w:rPr>
          <w:rFonts w:ascii="Times New Roman;Times;Serif" w:hAnsi="Times New Roman;Times;Serif"/>
          <w:b w:val="false"/>
          <w:i w:val="false"/>
          <w:caps w:val="false"/>
          <w:smallCaps w:val="false"/>
          <w:sz w:val="20"/>
        </w:rPr>
        <w:t>. Not to take any action prohibited by Regulation M under the Exchange Act in connection with the distribution of the Securities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To use the proceeds from the sale of the Securities in the manner described in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Delivery of Documents</w:t>
      </w:r>
      <w:r>
        <w:rPr>
          <w:rFonts w:ascii="Times New Roman;Times;Serif" w:hAnsi="Times New Roman;Times;Serif"/>
          <w:b w:val="false"/>
          <w:i w:val="false"/>
          <w:caps w:val="false"/>
          <w:smallCaps w:val="false"/>
          <w:sz w:val="20"/>
        </w:rPr>
        <w:t>. During the period of one year hereafter, the Company will furnish to the Underwriters, as soon as available, a copy of each of the reports, notices or communications sent to securityholders, if not available on the Commission’s Electronic Data Gathering, Analysis and Retrieval system;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shd w:fill="FFFFFF" w:val="clear"/>
        </w:rPr>
        <w:t>Compliance with the Securities Act</w:t>
      </w:r>
      <w:r>
        <w:rPr>
          <w:rFonts w:ascii="Times New Roman;Times;Serif" w:hAnsi="Times New Roman;Times;Serif"/>
          <w:b w:val="false"/>
          <w:i w:val="false"/>
          <w:caps w:val="false"/>
          <w:smallCaps w:val="false"/>
          <w:sz w:val="20"/>
          <w:shd w:fill="FFFFFF" w:val="clear"/>
        </w:rPr>
        <w:t>. The Company has not distributed and, prior to the later to occur of (i) the Closing Date and (ii) the completion of the distribution of the Securities, will not distribute any material in connection with the offering and sale of the Securities, other than the Time of Sale Prospectus and the Prospectus or other materials, if any, permitted by the Securities Act, or regulations promulgated pursuant to the Securities Act, and approved by the parties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shd w:fill="FFFFFF" w:val="clear"/>
        </w:rPr>
        <w:t>Preparation of a Final Term Sheet</w:t>
      </w:r>
      <w:r>
        <w:rPr>
          <w:rFonts w:ascii="Times New Roman;Times;Serif" w:hAnsi="Times New Roman;Times;Serif"/>
          <w:b w:val="false"/>
          <w:i w:val="false"/>
          <w:caps w:val="false"/>
          <w:smallCaps w:val="false"/>
          <w:sz w:val="20"/>
          <w:shd w:fill="FFFFFF" w:val="clear"/>
        </w:rPr>
        <w:t>. To prepare a final term sheet relating to the offering of the Securities (a “</w:t>
      </w:r>
      <w:r>
        <w:rPr>
          <w:rFonts w:ascii="Times New Roman;Times;Serif" w:hAnsi="Times New Roman;Times;Serif"/>
          <w:b/>
          <w:i w:val="false"/>
          <w:caps w:val="false"/>
          <w:smallCaps w:val="false"/>
          <w:sz w:val="20"/>
          <w:shd w:fill="FFFFFF" w:val="clear"/>
        </w:rPr>
        <w:t>Final Term Sheet</w:t>
      </w:r>
      <w:r>
        <w:rPr>
          <w:rFonts w:ascii="Times New Roman;Times;Serif" w:hAnsi="Times New Roman;Times;Serif"/>
          <w:b w:val="false"/>
          <w:i w:val="false"/>
          <w:caps w:val="false"/>
          <w:smallCaps w:val="false"/>
          <w:sz w:val="20"/>
          <w:shd w:fill="FFFFFF" w:val="clear"/>
        </w:rPr>
        <w:t xml:space="preserve">”), containing only information that describes the final terms of the Securities or the offering in a form consented to by the </w:t>
      </w:r>
      <w:r>
        <w:rPr>
          <w:rFonts w:ascii="Times New Roman;Times;Serif" w:hAnsi="Times New Roman;Times;Serif"/>
          <w:b w:val="false"/>
          <w:i w:val="false"/>
          <w:caps w:val="false"/>
          <w:smallCaps w:val="false"/>
          <w:sz w:val="20"/>
        </w:rPr>
        <w:t>Underwriters</w:t>
      </w:r>
      <w:r>
        <w:rPr>
          <w:rFonts w:ascii="Times New Roman;Times;Serif" w:hAnsi="Times New Roman;Times;Serif"/>
          <w:b w:val="false"/>
          <w:i w:val="false"/>
          <w:caps w:val="false"/>
          <w:smallCaps w:val="false"/>
          <w:sz w:val="20"/>
          <w:shd w:fill="FFFFFF" w:val="clear"/>
        </w:rPr>
        <w:t>, and to file such final term sheet within the period required by Rule 433(d)(5)(ii) under the Securities Act following the date the final terms have been established for the offering of the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Restriction on Sale of Securities</w:t>
      </w:r>
      <w:r>
        <w:rPr>
          <w:rFonts w:ascii="Times New Roman;Times;Serif" w:hAnsi="Times New Roman;Times;Serif"/>
          <w:b w:val="false"/>
          <w:i w:val="false"/>
          <w:caps w:val="false"/>
          <w:smallCaps w:val="false"/>
          <w:sz w:val="20"/>
        </w:rPr>
        <w:t xml:space="preserve">. The Company also agrees that, without the prior written consent of the Representatives on behalf of the Underwriters, it will not, during the period beginning on the date hereof and continuing to and including the Closing Date, offer, sell, contract to sell or otherwise dispose of any debt securities of the Company or warrants to purchase debt securities of the Company substantially similar to the Securities (other than the sale of the Securities under this Agreement or securities or warrants permitted with the prior written consent of the Representatives identified in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with the authorization to release this lock-up on behalf of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Covenants of the Underwriters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Each Underwriter severally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Indemnity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will indemnify and hold harmless each Underwriter, its directors, officers and employees,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joint or several, to which such Underwriter, director, officer, employee, controlling person or affiliate may become subject under such Securities Act or otherwise, insofar as such losses, claims, damages or liabilities (or actions in respect thereof) arise out of or are based upon an untrue statement or alleged untrue statement of a material fact contained in the Registration Statement, the Time of Sale Prospectus or any amendment or supplement thereto, any free writing prospectus </w:t>
      </w:r>
      <w:r>
        <w:rPr>
          <w:rFonts w:ascii="Times New Roman;Times;Serif" w:hAnsi="Times New Roman;Times;Serif"/>
          <w:b w:val="false"/>
          <w:i w:val="false"/>
          <w:caps w:val="false"/>
          <w:smallCaps w:val="false"/>
          <w:sz w:val="20"/>
          <w:shd w:fill="FFFFFF" w:val="clear"/>
        </w:rPr>
        <w:t xml:space="preserve">as defined in Rule 433(h) under the Securities Act, any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sz w:val="20"/>
          <w:shd w:fill="FFFFFF" w:val="clear"/>
        </w:rPr>
        <w:t>information that the Company has filed, or is required to file, pursuant to Rule 433(d) under the Securities Act, any “road show” as defined in Rule 433(h) under the Securities Act (a “</w:t>
      </w:r>
      <w:r>
        <w:rPr>
          <w:rFonts w:ascii="Times New Roman;Times;Serif" w:hAnsi="Times New Roman;Times;Serif"/>
          <w:b/>
          <w:i w:val="false"/>
          <w:caps w:val="false"/>
          <w:smallCaps w:val="false"/>
          <w:sz w:val="20"/>
          <w:shd w:fill="FFFFFF" w:val="clear"/>
        </w:rPr>
        <w:t>road show</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the Prospectus or any amendment or supplement thereto, or arise out of or are based upon the omission or alleged omission to state therein a material fact necessary in order to make the statements therein in the light of the circumstances under which they were made not misleading, and will reimburse each Underwriter, director, officer, employee, controlling person or affiliate for any legal or other expenses reasonably incurred by such Underwriter, director, officer, employee or controlling person in connection with investigating or defending any such loss, damage, liability, action or claim as such expenses are incurred;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however, that the Company shall not be liable in any such case to the extent that any such loss, harm, damage or liability arises out of or is based upon an untrue statement or alleged untrue statement or omission or alleged omission made in the Prospectus or any free writing prospectus or any amendment or supplement thereto in reliance upon and in conformity with the Underwriters’ Information (as defined in </w:t>
      </w:r>
      <w:r>
        <w:rPr>
          <w:rFonts w:ascii="Times New Roman;Times;Serif" w:hAnsi="Times New Roman;Times;Serif"/>
          <w:b w:val="false"/>
          <w:i w:val="false"/>
          <w:caps w:val="false"/>
          <w:smallCaps w:val="false"/>
          <w:sz w:val="20"/>
          <w:u w:val="single"/>
        </w:rPr>
        <w:t>Section 8(b)</w:t>
      </w:r>
      <w:r>
        <w:rPr>
          <w:rFonts w:ascii="Times New Roman;Times;Serif" w:hAnsi="Times New Roman;Times;Serif"/>
          <w:b w:val="false"/>
          <w:i w:val="false"/>
          <w:caps w:val="false"/>
          <w:smallCaps w:val="false"/>
          <w:sz w:val="20"/>
        </w:rPr>
        <w:t> below) relating to any Underwriter furnished to the Company in writing by such Underwriter through the Representatives expressly for use therein, and provided further, that the foregoing indemnity agreement shall not inure to the benefit of any Underwriter from whom the person asserting any such loss, liability, claim, damage or expense purchased Securities, or any person controlling such Underwriter, if the Company provides a copy of an amendment or supplement to the Prospectus or any free writing prospectus as theretofore provided to such Underwriter by the Company (with notice that such amendment or supplement contains additional or different material information from that previously provided) sufficiently far enough in advance of the time of sale in order to enable such Underwriter to convey such amendment or supplement to the purchaser of the Securities, and such amendment or supplement (x) was not conveyed by or on behalf of such Underwriter to such person at or prior to the entry into the contract of sale of the Securities by such person, and (y) would have cured the defect giving rise to such loss, liability, claim, damage or expense.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will, severally and not jointly, indemnify and hold harmless the Company and its respective directors, officers and employees and each person, if any, who controls the Company within the meaning of either Section 15 of the Securities Act or Section 20 of the Exchange Act against any losses, claims, damages or liabilities to which the Company or any of its respective directors, officers, employees or controlling persons may become subject, under the Securities Act or otherwise, insofar as such losses, claims, damages or liability (or actions in respect thereof) arise out of or are based upon an untrue statement or alleged untrue statement of a material fact contained in any Registration Statement, the Time of Sale Prospectus, any preliminary prospectus, free writing prospectus, road show or the Prospectus, or any amendment or supplement thereto, or arise out of or are based upon the omission or alleged omission to state therein a material fact necessary in order to make the statements therein not misleading, in each case to the extent, but only to the extent, that such untrue statement or alleged untrue statement, or omission or alleged omission was made in any Registration Statement, the Time of Sale Prospectus, any preliminary prospectus, free writing prospectus or the Prospectus, or any such amendment or supplement, in reliance upon and conformity with written information furnished to the Company by such Underwriter through the Representatives expressly for use therein; and each Underwriter will reimburse the Company, or any director, officer, employee or controlling person of the Company, for any legal or other expenses reasonably incurred by the Company, or any such director, officer, employee or controlling person in connection with investigating, or defending any such loss, damage, liability, action or claim as such expenses are incurred, but only with reference to the Underwriters’ Information (defined below) relating to such Underwriter furnished to the Company in writing by such Underwriter through you expressly for use in the Registration Statement, the Time of Sale Prospectus, any free writing prospectus or the Prospectus or any amendment or supplement thereto. The Company hereby acknowledges that the only such information are the statements set forth in the first and second paragraphs under the sub-heading “Stabilization and Short Positions,” in each case under the caption “Underwriting” in the Time of Sale Prospectus and the Prospectus (collectively, the “</w:t>
      </w:r>
      <w:r>
        <w:rPr>
          <w:rFonts w:ascii="Times New Roman;Times;Serif" w:hAnsi="Times New Roman;Times;Serif"/>
          <w:b/>
          <w:i w:val="false"/>
          <w:caps w:val="false"/>
          <w:smallCaps w:val="false"/>
          <w:sz w:val="20"/>
        </w:rPr>
        <w:t>Underwriters’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under </w:t>
      </w:r>
      <w:r>
        <w:rPr>
          <w:rFonts w:ascii="Times New Roman;Times;Serif" w:hAnsi="Times New Roman;Times;Serif"/>
          <w:b w:val="false"/>
          <w:i w:val="false"/>
          <w:caps w:val="false"/>
          <w:smallCaps w:val="false"/>
          <w:sz w:val="20"/>
          <w:u w:val="single"/>
        </w:rPr>
        <w:t>Sections ‎8(a)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‎8(b)</w:t>
      </w:r>
      <w:r>
        <w:rPr>
          <w:rFonts w:ascii="Times New Roman;Times;Serif" w:hAnsi="Times New Roman;Times;Serif"/>
          <w:b w:val="false"/>
          <w:i w:val="false"/>
          <w:caps w:val="false"/>
          <w:smallCaps w:val="false"/>
          <w:sz w:val="20"/>
        </w:rPr>
        <w:t>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except to the extent such omission materially prejudices the indemnifying party. In case any such action shall be brought against any indemnified party,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the indemnification provided for in </w:t>
      </w:r>
      <w:r>
        <w:rPr>
          <w:rFonts w:ascii="Times New Roman;Times;Serif" w:hAnsi="Times New Roman;Times;Serif"/>
          <w:b w:val="false"/>
          <w:i w:val="false"/>
          <w:caps w:val="false"/>
          <w:smallCaps w:val="false"/>
          <w:sz w:val="20"/>
          <w:u w:val="single"/>
        </w:rPr>
        <w:t>Sections ‎8(a)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‎8(b)</w:t>
      </w:r>
      <w:r>
        <w:rPr>
          <w:rFonts w:ascii="Times New Roman;Times;Serif" w:hAnsi="Times New Roman;Times;Serif"/>
          <w:b w:val="false"/>
          <w:i w:val="false"/>
          <w:caps w:val="false"/>
          <w:smallCaps w:val="false"/>
          <w:sz w:val="20"/>
        </w:rPr>
        <w:t xml:space="preserve"> is unavailable to an indemnified party or insufficient in respect of any losses, claims, damages or liabilities referred to therein (or actions in respect thereof),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Securities or (ii) if the allocation provided by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is not permitted by applicable law or if the indemnified party failed to give notice required under </w:t>
      </w:r>
      <w:r>
        <w:rPr>
          <w:rFonts w:ascii="Times New Roman;Times;Serif" w:hAnsi="Times New Roman;Times;Serif"/>
          <w:b w:val="false"/>
          <w:i w:val="false"/>
          <w:caps w:val="false"/>
          <w:smallCaps w:val="false"/>
          <w:sz w:val="20"/>
          <w:u w:val="single"/>
        </w:rPr>
        <w:t>Section ‎8(c)</w:t>
      </w:r>
      <w:r>
        <w:rPr>
          <w:rFonts w:ascii="Times New Roman;Times;Serif" w:hAnsi="Times New Roman;Times;Serif"/>
          <w:b w:val="false"/>
          <w:i w:val="false"/>
          <w:caps w:val="false"/>
          <w:smallCaps w:val="false"/>
          <w:sz w:val="20"/>
        </w:rPr>
        <w:t xml:space="preserve"> above, in such proportion as is appropriate to reflect not only the relative benefits referred to in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above but also the relative fault of the Company on the one hand and of the Underwriters on the second hand in connection with the statements or omissions that resulted in such losses, claims, damages or liabilities (or actions in respect thereof), as well as any other relevant equitable considerations. The relative benefits received by the Company on the one hand and the Underwriters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Underwriters bear to the aggregate offering price of the Securities. The relative fault of the Company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are several in proportion to the respective principal amount of Securities they have purchased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Company and the Underwriters agree that it would not be just or equitable if contribution pursuant to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were determined by pro rata allocation (even if the Underwriters were treated as one entity for such purpose) or by any other method of allocation that does not take account of the equitable considerations referred to in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The amount paid or payable by an indemnified party as a result of the losses, claims, damages and liabilities referred to in </w:t>
      </w:r>
      <w:r>
        <w:rPr>
          <w:rFonts w:ascii="Times New Roman;Times;Serif" w:hAnsi="Times New Roman;Times;Serif"/>
          <w:b w:val="false"/>
          <w:i w:val="false"/>
          <w:caps w:val="false"/>
          <w:smallCaps w:val="false"/>
          <w:sz w:val="20"/>
          <w:u w:val="single"/>
        </w:rPr>
        <w:t>Section ‎8(d)</w:t>
      </w:r>
      <w:r>
        <w:rPr>
          <w:rFonts w:ascii="Times New Roman;Times;Serif" w:hAnsi="Times New Roman;Times;Serif"/>
          <w:b w:val="false"/>
          <w:i w:val="false"/>
          <w:caps w:val="false"/>
          <w:smallCaps w:val="false"/>
          <w:sz w:val="20"/>
        </w:rPr>
        <w:t xml:space="preserve"> shall be deemed to include, subject to the limitations set forth above, any legal or other expenses reasonably incurred by such indemnified party in connection with investigating or defending any such action or claim. Notwithstanding the provisions of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are not exclusive and shall not limit any rights or remedies which may otherwise be available to any indemnified party at law or in equity.</w:t>
      </w:r>
    </w:p>
    <w:p>
      <w:pPr>
        <w:pStyle w:val="TextBody"/>
        <w:bidi w:val="0"/>
        <w:spacing w:before="0" w:after="0"/>
        <w:ind w:left="720" w:right="0" w:firstLine="108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080"/>
        <w:jc w:val="both"/>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indemnifying party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final judgment.  Notwithstanding the foregoing sentence, if at any time an indemnified party shall have requested an indemnifying party to reimburse the indemnified party for fees and expenses of counsel as contemplated by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or disputed in good faith the indemnified party’s entitlement to such reimbursement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any statements as to or any findings of fault, culpability or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indemnity and contribution provisions contained in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xml:space="preserve">. The Underwriters may terminate this Agreement by notice given by Representatives to the Company, if after the execution and delivery of this Agreement and prior to the Closing Date there shall have occurred (i) a suspension of trading of the Company’s common shares by the Commission or the New York Stock Exchange; (ii) a suspension or material limitation in trading in securities generally on the New York Stock Exchange; (iii) a general moratorium on commercial banking activities in New York declared by either Federal or New York State authorities; (iv) a material disruption in commercial banking or securities settlement, payment or clearance services in the United States; or (v) the outbreak or escalation of hostilities or the occurrence of any other calamity or crisis or any material adverse change in financial markets, if the effect of any such event specified in this </w:t>
      </w:r>
      <w:r>
        <w:rPr>
          <w:rFonts w:ascii="Times New Roman;Times;Serif" w:hAnsi="Times New Roman;Times;Serif"/>
          <w:b w:val="false"/>
          <w:i w:val="false"/>
          <w:caps w:val="false"/>
          <w:smallCaps w:val="false"/>
          <w:sz w:val="20"/>
          <w:u w:val="single"/>
        </w:rPr>
        <w:t>clause (v)</w:t>
      </w:r>
      <w:r>
        <w:rPr>
          <w:rFonts w:ascii="Times New Roman;Times;Serif" w:hAnsi="Times New Roman;Times;Serif"/>
          <w:b w:val="false"/>
          <w:i w:val="false"/>
          <w:caps w:val="false"/>
          <w:smallCaps w:val="false"/>
          <w:sz w:val="20"/>
        </w:rPr>
        <w:t> makes it, in the Representatives’ judgment, impracticable or inadvisable to proceed with the offer, sale or delivery of the Securities on the terms and in the manner contemplated in the Time of Sale Prospectus or the Prospectus.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Effectiveness; Defaulting Underwriters</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on the Closing Date, any one or more of the Underwriters shall fail or refuse to purchase the Securities that it has or they have agreed to purchase hereunder on such date, and the aggregate principal amount of the Securities which such defaulting Underwriter or Underwriters agreed but failed or refused to purchase is not more than one-tenth of the aggregate principal amount of the Securities to be purchased on such date, the other Underwriters shall be obligated severally in the proportions that the principal amount of the Securities set forth opposite their respective names in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bears to the aggregate principal amount of the Securities set forth opposite the names of all such non-defaulting Underwriters, or in such other proportions as the Representatives may specify, to purchase the portion of such Underwriters’ Securities which such defaulting Underwriter or Underwriters agreed but failed or refused to purchase on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the principal amount of the Securities that any Underwriter has agreed to purchase pursuant to this Agreement be increased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by an amount in excess of one-ninth of such principal amount of the Securities without the written consent of such Underwriter. If, on the Closing Date any Underwriter or Underwriters shall fail or refuse to purchase Securities and the aggregate principal amount of the Securities with respect to which such default occurs is more than one-tenth of the aggregate principal amount of the Securities to be purchased on such date, and arrangements satisfactory to the Representatives, the Company, for the purchase of such Securities are not made within 36 hours after such default, this Agreement shall terminate without liability on the part of any non-defaulting Underwriter and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Any action taken under this paragraph shall not relieve any defaulting Underwriter from liability in respect of any default of such Underwriter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but the Company shall then be under no further liability to any Underwriter with respect to this Agreement except as provided in </w:t>
      </w:r>
      <w:r>
        <w:rPr>
          <w:rFonts w:ascii="Times New Roman;Times;Serif" w:hAnsi="Times New Roman;Times;Serif"/>
          <w:b w:val="false"/>
          <w:i w:val="false"/>
          <w:caps w:val="false"/>
          <w:smallCaps w:val="false"/>
          <w:sz w:val="20"/>
          <w:u w:val="single"/>
        </w:rPr>
        <w:t>Section 6(i)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together with any contemporaneous written agreements and any prior written agreements (to the extent not superseded by this Agreement) that relate to the offering of the Securities, represents the entire agreement between the Company and the Underwriters with respect to the preparation of any preliminary prospectus, the Time of Sale Prospectus, the Prospectus, the conduct of the offering, and the purchase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(including any electronic signature complying with the U.S. federal ESIGN Act of 2000, Uniform Electronic Transactions Act or other applicable law, e.g., www. Docusign.com) in “</w:t>
      </w:r>
      <w:r>
        <w:rPr>
          <w:rFonts w:ascii="Times New Roman;Times;Serif" w:hAnsi="Times New Roman;Times;Serif"/>
          <w:b/>
          <w:i w:val="false"/>
          <w:caps w:val="false"/>
          <w:smallCaps w:val="false"/>
          <w:sz w:val="20"/>
        </w:rPr>
        <w:t>portable document format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.pdf</w:t>
      </w:r>
      <w:r>
        <w:rPr>
          <w:rFonts w:ascii="Times New Roman;Times;Serif" w:hAnsi="Times New Roman;Times;Serif"/>
          <w:b w:val="false"/>
          <w:i w:val="false"/>
          <w:caps w:val="false"/>
          <w:smallCaps w:val="false"/>
          <w:sz w:val="20"/>
        </w:rPr>
        <w:t>”) form, or by any other electronic means intended to preserve the original graphic and pictorial appearance of a document, will have the same effect as physical delivery of the paper document bearing the original signature.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This Agreement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of the sections of this Agreement have been inserted for convenience of reference only and shall not be deemed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communications hereunder shall be in writing and effective only upon receipt and if to the Underwriters shall be delivered, mailed or sent to the Representatives in care of Morgan Stanley &amp; Co. LLC, 1585 Broadway,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10036, Attention: Investment Banking Division, Fax: 212-507-8999; BofA Securities, Inc., 114 West 47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NY8-114-07-01, New York, New York 10036, Attention: High Grade Debt Capital Markets Transaction Management/Legal, Fax: 212-901-7881; J.P. Morgan Securities LLC, 270 Park Avenue, New York, New York 10017, Attention: Investment Grade Syndicate Desk, Fax: 212-834-6081; SG Americas Securities, LLC, 245 Park Avenue, New York, New York 10167, Attention: High Grade Syndicate Desk, Email: list.us-glfi-syn-cap@sgcib.com; and if to the Company, shall be delivered, mailed or sent to AbbVie Inc., 1 North Waukegan Road, North Chicago, Illinois 60064, 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320"/>
        <w:gridCol w:w="3695"/>
      </w:tblGrid>
      <w:tr>
        <w:trPr/>
        <w:tc>
          <w:tcPr>
            <w:tcW w:w="75"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ABBVIE INC.</w:t>
            </w:r>
          </w:p>
        </w:tc>
      </w:tr>
      <w:tr>
        <w:trPr/>
        <w:tc>
          <w:tcPr>
            <w:tcW w:w="75"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95" w:type="dxa"/>
            <w:tcBorders>
              <w:bottom w:val="single" w:sz="8" w:space="0" w:color="000000"/>
            </w:tcBorders>
            <w:tcMar>
              <w:bottom w:w="28" w:type="dxa"/>
            </w:tcMar>
            <w:vAlign w:val="center"/>
          </w:tcPr>
          <w:p>
            <w:pPr>
              <w:pStyle w:val="TableContents"/>
              <w:bidi w:val="0"/>
              <w:spacing w:before="0" w:after="283"/>
              <w:jc w:val="left"/>
              <w:rPr/>
            </w:pPr>
            <w:r>
              <w:rPr/>
              <w:t>/s/ Stefan Geldemeyer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Stefan Geldemeyer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 and Corporate Treasurer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the Underwriting Agreement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severally on behalf of themselves and the several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named in Schedule II hereto.</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320"/>
        <w:gridCol w:w="2075"/>
      </w:tblGrid>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Morgan Stanley &amp; Co. LLC</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5" w:type="dxa"/>
            <w:tcBorders>
              <w:bottom w:val="single" w:sz="8" w:space="0" w:color="000000"/>
            </w:tcBorders>
            <w:tcMar>
              <w:bottom w:w="28" w:type="dxa"/>
            </w:tcMar>
            <w:vAlign w:val="center"/>
          </w:tcPr>
          <w:p>
            <w:pPr>
              <w:pStyle w:val="TableContents"/>
              <w:bidi w:val="0"/>
              <w:spacing w:before="0" w:after="283"/>
              <w:jc w:val="left"/>
              <w:rPr/>
            </w:pPr>
            <w:r>
              <w:rPr/>
              <w:t>/s/ Thomas Hadley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Thomas Hadley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pPr>
            <w:r>
              <w:rPr/>
              <w:t>BofA Securities, Inc.</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5" w:type="dxa"/>
            <w:tcBorders>
              <w:bottom w:val="single" w:sz="8" w:space="0" w:color="000000"/>
            </w:tcBorders>
            <w:tcMar>
              <w:bottom w:w="28" w:type="dxa"/>
            </w:tcMar>
            <w:vAlign w:val="center"/>
          </w:tcPr>
          <w:p>
            <w:pPr>
              <w:pStyle w:val="TableContents"/>
              <w:bidi w:val="0"/>
              <w:spacing w:before="0" w:after="283"/>
              <w:jc w:val="left"/>
              <w:rPr/>
            </w:pPr>
            <w:r>
              <w:rPr/>
              <w:t>/s/ Kevin Wehler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Kevin Wehler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Managing Director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J.P. Morgan Securities LLC</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5" w:type="dxa"/>
            <w:tcBorders>
              <w:bottom w:val="single" w:sz="8" w:space="0" w:color="000000"/>
            </w:tcBorders>
            <w:tcMar>
              <w:bottom w:w="28" w:type="dxa"/>
            </w:tcMar>
            <w:vAlign w:val="center"/>
          </w:tcPr>
          <w:p>
            <w:pPr>
              <w:pStyle w:val="TableContents"/>
              <w:bidi w:val="0"/>
              <w:spacing w:before="0" w:after="283"/>
              <w:jc w:val="left"/>
              <w:rPr/>
            </w:pPr>
            <w:r>
              <w:rPr/>
              <w:t>/s/ Saee Athalye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Saee Athalye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Vice President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SG Americas Securities, LLC</w:t>
            </w:r>
          </w:p>
        </w:tc>
      </w:tr>
      <w:tr>
        <w:trPr/>
        <w:tc>
          <w:tcPr>
            <w:tcW w:w="75" w:type="dxa"/>
            <w:tcBorders/>
            <w:vAlign w:val="center"/>
          </w:tcPr>
          <w:p>
            <w:pPr>
              <w:pStyle w:val="TableContents"/>
              <w:bidi w:val="0"/>
              <w:spacing w:before="0" w:after="283"/>
              <w:jc w:val="left"/>
              <w:rPr/>
            </w:pPr>
            <w:r>
              <w:rPr/>
              <w:t> </w:t>
            </w:r>
          </w:p>
        </w:tc>
        <w:tc>
          <w:tcPr>
            <w:tcW w:w="239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5" w:type="dxa"/>
            <w:tcBorders>
              <w:bottom w:val="single" w:sz="8" w:space="0" w:color="000000"/>
            </w:tcBorders>
            <w:tcMar>
              <w:bottom w:w="28" w:type="dxa"/>
            </w:tcMar>
            <w:vAlign w:val="center"/>
          </w:tcPr>
          <w:p>
            <w:pPr>
              <w:pStyle w:val="TableContents"/>
              <w:bidi w:val="0"/>
              <w:spacing w:before="0" w:after="283"/>
              <w:jc w:val="left"/>
              <w:rPr/>
            </w:pPr>
            <w:r>
              <w:rPr/>
              <w:t>/s/ Sabina R. Ceddia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Sabina R. Ceddia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caps w:val="false"/>
          <w:smallCaps w:val="false"/>
          <w:sz w:val="20"/>
        </w:rPr>
        <w:t>Signature page to the Underwriting Agreement</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53"/>
        <w:gridCol w:w="7052"/>
      </w:tblGrid>
      <w:tr>
        <w:trPr/>
        <w:tc>
          <w:tcPr>
            <w:tcW w:w="3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Representatives:</w:t>
            </w:r>
          </w:p>
        </w:tc>
        <w:tc>
          <w:tcPr>
            <w:tcW w:w="7052" w:type="dxa"/>
            <w:tcBorders/>
            <w:vAlign w:val="center"/>
          </w:tcPr>
          <w:p>
            <w:pPr>
              <w:pStyle w:val="TableContents"/>
              <w:bidi w:val="0"/>
              <w:spacing w:before="0" w:after="283"/>
              <w:ind w:left="720" w:right="0" w:hanging="288"/>
              <w:jc w:val="left"/>
              <w:rPr/>
            </w:pPr>
            <w:r>
              <w:rPr/>
              <w:t> </w:t>
            </w:r>
          </w:p>
        </w:tc>
      </w:tr>
      <w:tr>
        <w:trPr/>
        <w:tc>
          <w:tcPr>
            <w:tcW w:w="3153"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Representatives to release lock-up under </w:t>
            </w:r>
            <w:r>
              <w:rPr>
                <w:rFonts w:ascii="Times New Roman;Times;Serif" w:hAnsi="Times New Roman;Times;Serif"/>
                <w:b w:val="false"/>
                <w:i w:val="false"/>
                <w:caps w:val="false"/>
                <w:smallCaps w:val="false"/>
                <w:sz w:val="20"/>
                <w:u w:val="single"/>
              </w:rPr>
              <w:t>Section 6(o)</w:t>
            </w:r>
            <w:r>
              <w:rPr>
                <w:rFonts w:ascii="Times New Roman;Times;Serif" w:hAnsi="Times New Roman;Times;Serif"/>
                <w:b w:val="false"/>
                <w:i w:val="false"/>
                <w:caps w:val="false"/>
                <w:smallCaps w:val="false"/>
                <w:sz w:val="20"/>
              </w:rPr>
              <w:t>:</w:t>
            </w:r>
          </w:p>
        </w:tc>
        <w:tc>
          <w:tcPr>
            <w:tcW w:w="705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720" w:right="0" w:hanging="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 </w:t>
            </w:r>
          </w:p>
        </w:tc>
      </w:tr>
      <w:tr>
        <w:trPr/>
        <w:tc>
          <w:tcPr>
            <w:tcW w:w="3153" w:type="dxa"/>
            <w:tcBorders/>
            <w:vAlign w:val="center"/>
          </w:tcPr>
          <w:p>
            <w:pPr>
              <w:pStyle w:val="TableContents"/>
              <w:bidi w:val="0"/>
              <w:spacing w:before="0" w:after="0"/>
              <w:jc w:val="left"/>
              <w:rPr>
                <w:caps w:val="false"/>
                <w:smallCaps w:val="false"/>
              </w:rPr>
            </w:pPr>
            <w:r>
              <w:rPr>
                <w:caps w:val="false"/>
                <w:smallCaps w:val="false"/>
              </w:rPr>
              <w:t> </w:t>
            </w:r>
          </w:p>
        </w:tc>
        <w:tc>
          <w:tcPr>
            <w:tcW w:w="7052"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0"/>
              <w:ind w:left="720" w:right="0" w:hanging="2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Representatives authorized to appoint counsel under </w:t>
            </w:r>
            <w:r>
              <w:rPr>
                <w:rFonts w:ascii="Times New Roman;Times;Serif" w:hAnsi="Times New Roman;Times;Serif"/>
                <w:b w:val="false"/>
                <w:i w:val="false"/>
                <w:caps w:val="false"/>
                <w:smallCaps w:val="false"/>
                <w:sz w:val="20"/>
                <w:u w:val="single"/>
              </w:rPr>
              <w:t>Section 8(c)</w:t>
            </w:r>
            <w:r>
              <w:rPr>
                <w:rFonts w:ascii="Times New Roman;Times;Serif" w:hAnsi="Times New Roman;Times;Serif"/>
                <w:b w:val="false"/>
                <w:i w:val="false"/>
                <w:caps w:val="false"/>
                <w:smallCaps w:val="false"/>
                <w:sz w:val="20"/>
              </w:rPr>
              <w:t>:</w:t>
            </w:r>
          </w:p>
          <w:p>
            <w:pPr>
              <w:pStyle w:val="TableContents"/>
              <w:bidi w:val="0"/>
              <w:spacing w:before="0" w:after="0"/>
              <w:ind w:left="720" w:right="0" w:hanging="288"/>
              <w:jc w:val="left"/>
              <w:rPr>
                <w:caps w:val="false"/>
                <w:smallCaps w:val="false"/>
              </w:rPr>
            </w:pPr>
            <w:r>
              <w:rPr>
                <w:caps w:val="false"/>
                <w:smallCaps w:val="false"/>
              </w:rPr>
              <w:t> </w:t>
            </w:r>
          </w:p>
        </w:tc>
        <w:tc>
          <w:tcPr>
            <w:tcW w:w="705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 </w:t>
            </w:r>
          </w:p>
        </w:tc>
      </w:tr>
      <w:tr>
        <w:trPr/>
        <w:tc>
          <w:tcPr>
            <w:tcW w:w="3153" w:type="dxa"/>
            <w:tcBorders/>
            <w:vAlign w:val="center"/>
          </w:tcPr>
          <w:p>
            <w:pPr>
              <w:pStyle w:val="TableContents"/>
              <w:bidi w:val="0"/>
              <w:spacing w:before="0" w:after="283"/>
              <w:jc w:val="left"/>
              <w:rPr/>
            </w:pPr>
            <w:r>
              <w:rPr/>
              <w:t> </w:t>
            </w:r>
          </w:p>
        </w:tc>
        <w:tc>
          <w:tcPr>
            <w:tcW w:w="7052"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w:t>
            </w:r>
          </w:p>
        </w:tc>
        <w:tc>
          <w:tcPr>
            <w:tcW w:w="70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dated as of November 8, 2012, as supplemented by Supplemental Indenture No. 13 to be dated August 18, 2026 in each case between the Company and the Trustee</w:t>
            </w:r>
          </w:p>
        </w:tc>
      </w:tr>
      <w:tr>
        <w:trPr/>
        <w:tc>
          <w:tcPr>
            <w:tcW w:w="3153" w:type="dxa"/>
            <w:tcBorders/>
            <w:vAlign w:val="center"/>
          </w:tcPr>
          <w:p>
            <w:pPr>
              <w:pStyle w:val="TableContents"/>
              <w:bidi w:val="0"/>
              <w:spacing w:before="0" w:after="283"/>
              <w:jc w:val="left"/>
              <w:rPr/>
            </w:pPr>
            <w:r>
              <w:rPr/>
              <w:t> </w:t>
            </w:r>
          </w:p>
        </w:tc>
        <w:tc>
          <w:tcPr>
            <w:tcW w:w="7052"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c>
          <w:tcPr>
            <w:tcW w:w="70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 Bank Trust Company, National Association</w:t>
            </w:r>
          </w:p>
        </w:tc>
      </w:tr>
      <w:tr>
        <w:trPr/>
        <w:tc>
          <w:tcPr>
            <w:tcW w:w="3153" w:type="dxa"/>
            <w:tcBorders/>
            <w:vAlign w:val="center"/>
          </w:tcPr>
          <w:p>
            <w:pPr>
              <w:pStyle w:val="TableContents"/>
              <w:bidi w:val="0"/>
              <w:spacing w:before="0" w:after="283"/>
              <w:jc w:val="left"/>
              <w:rPr/>
            </w:pPr>
            <w:r>
              <w:rPr/>
              <w:t> </w:t>
            </w:r>
          </w:p>
        </w:tc>
        <w:tc>
          <w:tcPr>
            <w:tcW w:w="7052"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Statement File No.:</w:t>
            </w:r>
          </w:p>
        </w:tc>
        <w:tc>
          <w:tcPr>
            <w:tcW w:w="70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333-284980</w:t>
            </w:r>
          </w:p>
        </w:tc>
      </w:tr>
      <w:tr>
        <w:trPr/>
        <w:tc>
          <w:tcPr>
            <w:tcW w:w="3153" w:type="dxa"/>
            <w:tcBorders/>
            <w:vAlign w:val="center"/>
          </w:tcPr>
          <w:p>
            <w:pPr>
              <w:pStyle w:val="TableContents"/>
              <w:bidi w:val="0"/>
              <w:spacing w:before="0" w:after="283"/>
              <w:jc w:val="left"/>
              <w:rPr/>
            </w:pPr>
            <w:r>
              <w:rPr/>
              <w:t> </w:t>
            </w:r>
          </w:p>
        </w:tc>
        <w:tc>
          <w:tcPr>
            <w:tcW w:w="7052"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of Sale Prospectus:</w:t>
            </w:r>
          </w:p>
        </w:tc>
        <w:tc>
          <w:tcPr>
            <w:tcW w:w="7052" w:type="dxa"/>
            <w:tcBorders/>
            <w:vAlign w:val="center"/>
          </w:tcPr>
          <w:p>
            <w:pPr>
              <w:pStyle w:val="TableContents"/>
              <w:bidi w:val="0"/>
              <w:spacing w:before="0" w:after="0"/>
              <w:ind w:left="335" w:right="0" w:hanging="3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Basic Prospectus dated February 14, 2025 relating to the Shelf Securities</w:t>
            </w:r>
          </w:p>
        </w:tc>
      </w:tr>
      <w:tr>
        <w:trPr/>
        <w:tc>
          <w:tcPr>
            <w:tcW w:w="3153" w:type="dxa"/>
            <w:tcBorders/>
            <w:vAlign w:val="center"/>
          </w:tcPr>
          <w:p>
            <w:pPr>
              <w:pStyle w:val="TableContents"/>
              <w:bidi w:val="0"/>
              <w:spacing w:before="0" w:after="283"/>
              <w:jc w:val="left"/>
              <w:rPr/>
            </w:pPr>
            <w:r>
              <w:rPr/>
              <w:t> </w:t>
            </w:r>
          </w:p>
        </w:tc>
        <w:tc>
          <w:tcPr>
            <w:tcW w:w="7052"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pPr>
            <w:r>
              <w:rPr/>
              <w:t> </w:t>
            </w:r>
          </w:p>
        </w:tc>
        <w:tc>
          <w:tcPr>
            <w:tcW w:w="7052" w:type="dxa"/>
            <w:tcBorders/>
            <w:vAlign w:val="center"/>
          </w:tcPr>
          <w:p>
            <w:pPr>
              <w:pStyle w:val="TableContents"/>
              <w:bidi w:val="0"/>
              <w:jc w:val="left"/>
              <w:rPr/>
            </w:pPr>
            <w:r>
              <w:rPr/>
              <w:t> </w:t>
            </w:r>
          </w:p>
          <w:p>
            <w:pPr>
              <w:pStyle w:val="TableContents"/>
              <w:bidi w:val="0"/>
              <w:spacing w:before="0" w:after="0"/>
              <w:ind w:left="335" w:right="0" w:hanging="33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preliminary prospectus supplement dated August 4, 2026 relating to the Securities</w:t>
            </w:r>
          </w:p>
        </w:tc>
      </w:tr>
      <w:tr>
        <w:trPr/>
        <w:tc>
          <w:tcPr>
            <w:tcW w:w="3153" w:type="dxa"/>
            <w:tcBorders/>
            <w:vAlign w:val="center"/>
          </w:tcPr>
          <w:p>
            <w:pPr>
              <w:pStyle w:val="TableContents"/>
              <w:bidi w:val="0"/>
              <w:spacing w:before="0" w:after="283"/>
              <w:jc w:val="left"/>
              <w:rPr/>
            </w:pPr>
            <w:r>
              <w:rPr/>
              <w:t> </w:t>
            </w:r>
          </w:p>
        </w:tc>
        <w:tc>
          <w:tcPr>
            <w:tcW w:w="7052"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ind w:left="335" w:right="0" w:hanging="335"/>
              <w:jc w:val="left"/>
              <w:rPr/>
            </w:pPr>
            <w:r>
              <w:rPr/>
              <w:t> </w:t>
            </w:r>
          </w:p>
        </w:tc>
        <w:tc>
          <w:tcPr>
            <w:tcW w:w="705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Free writing prospectus dated August 4, 2026 containing a description of certain terms filed by the Company under Rule 433(d) of the Securities Act</w:t>
            </w:r>
          </w:p>
        </w:tc>
      </w:tr>
      <w:tr>
        <w:trPr/>
        <w:tc>
          <w:tcPr>
            <w:tcW w:w="3153" w:type="dxa"/>
            <w:tcBorders/>
            <w:vAlign w:val="center"/>
          </w:tcPr>
          <w:p>
            <w:pPr>
              <w:pStyle w:val="TableContents"/>
              <w:bidi w:val="0"/>
              <w:spacing w:before="0" w:after="283"/>
              <w:jc w:val="left"/>
              <w:rPr/>
            </w:pPr>
            <w:r>
              <w:rPr/>
              <w:t> </w:t>
            </w:r>
          </w:p>
        </w:tc>
        <w:tc>
          <w:tcPr>
            <w:tcW w:w="7052"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to be Purchased:</w:t>
            </w:r>
          </w:p>
        </w:tc>
        <w:tc>
          <w:tcPr>
            <w:tcW w:w="705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Floating Rate Notes due 2028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 Senior Notes due 2028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4.650% Senior Notes due 2030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 Senior Notes due 2031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 Senior Notes due 2033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 Senior Notes due 2036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 Senior Notes due 2038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 Senior Notes due 2056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 Senior Notes due 2066</w:t>
            </w:r>
          </w:p>
        </w:tc>
      </w:tr>
      <w:tr>
        <w:trPr/>
        <w:tc>
          <w:tcPr>
            <w:tcW w:w="3153" w:type="dxa"/>
            <w:tcBorders/>
            <w:vAlign w:val="center"/>
          </w:tcPr>
          <w:p>
            <w:pPr>
              <w:pStyle w:val="TableContents"/>
              <w:bidi w:val="0"/>
              <w:spacing w:before="0" w:after="283"/>
              <w:jc w:val="left"/>
              <w:rPr/>
            </w:pPr>
            <w:r>
              <w:rPr/>
              <w:t> </w:t>
            </w:r>
          </w:p>
        </w:tc>
        <w:tc>
          <w:tcPr>
            <w:tcW w:w="7052" w:type="dxa"/>
            <w:tcBorders/>
            <w:vAlign w:val="center"/>
          </w:tcPr>
          <w:p>
            <w:pPr>
              <w:pStyle w:val="TableContents"/>
              <w:bidi w:val="0"/>
              <w:spacing w:before="0" w:after="283"/>
              <w:jc w:val="left"/>
              <w:rPr/>
            </w:pPr>
            <w:r>
              <w:rPr/>
              <w:t> </w:t>
            </w:r>
          </w:p>
        </w:tc>
      </w:tr>
      <w:tr>
        <w:trPr/>
        <w:tc>
          <w:tcPr>
            <w:tcW w:w="3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Principal Amount:</w:t>
            </w:r>
          </w:p>
        </w:tc>
        <w:tc>
          <w:tcPr>
            <w:tcW w:w="705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Senior Floating Rate Notes due 2028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$1,000,000,000 4.500% Senior Notes due 2028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4.650% Senior Notes due 2030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4.875% Senior Notes due 2031</w:t>
            </w:r>
          </w:p>
        </w:tc>
      </w:tr>
    </w:tbl>
    <w:p>
      <w:pPr>
        <w:pStyle w:val="TextBody"/>
        <w:bidi w:val="0"/>
        <w:spacing w:before="0" w:after="283"/>
        <w:jc w:val="left"/>
        <w:rPr/>
      </w:pPr>
      <w:r>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S-1-1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43"/>
        <w:gridCol w:w="8962"/>
      </w:tblGrid>
      <w:tr>
        <w:trPr/>
        <w:tc>
          <w:tcPr>
            <w:tcW w:w="1243"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$1,250,000,000 5.050% Senior Notes due 2033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5.300% Senior Notes due 2036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$1,000,000,000 5.450% Senior Notes due 2038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 6.000% Senior Notes due 2056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$500,000,000 6.100% Senior Notes due 2066 </w:t>
            </w:r>
          </w:p>
        </w:tc>
      </w:tr>
      <w:tr>
        <w:trPr/>
        <w:tc>
          <w:tcPr>
            <w:tcW w:w="1243"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283"/>
              <w:jc w:val="left"/>
              <w:rPr/>
            </w:pPr>
            <w:r>
              <w:rPr/>
              <w:t> </w:t>
            </w:r>
          </w:p>
        </w:tc>
      </w:tr>
      <w:tr>
        <w:trPr/>
        <w:tc>
          <w:tcPr>
            <w:tcW w:w="1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Price:</w:t>
            </w:r>
          </w:p>
        </w:tc>
        <w:tc>
          <w:tcPr>
            <w:tcW w:w="896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99.850% of the principal amount of the Senior Floating Rate Notes due 2028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99.820% of the principal amount of the 4.500% Senior Notes due 2028</w:t>
              <w:br/>
              <w:t>99.612% of the principal amount of the 4.650% Senior Notes due 2030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99.627% of the principal amount of the 4.875% Senior Notes due 2031</w:t>
              <w:br/>
              <w:t>99.514% of the principal amount of the 5.050% Senior Notes due 2033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99.382% of the principal amount of the 5.300% Senior Notes due 2036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99.335% of the principal amount of the 5.450% Senior Notes due 2038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98.691% of the principal amount of the 6.000% Senior Notes due 2056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99.093% of the principal amount of the 6.100% Senior Notes due 2066</w:t>
            </w:r>
          </w:p>
        </w:tc>
      </w:tr>
      <w:tr>
        <w:trPr/>
        <w:tc>
          <w:tcPr>
            <w:tcW w:w="1243"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283"/>
              <w:jc w:val="left"/>
              <w:rPr/>
            </w:pPr>
            <w:r>
              <w:rPr/>
              <w:t> </w:t>
            </w:r>
          </w:p>
        </w:tc>
      </w:tr>
      <w:tr>
        <w:trPr/>
        <w:tc>
          <w:tcPr>
            <w:tcW w:w="1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Maturity:</w:t>
            </w:r>
          </w:p>
        </w:tc>
        <w:tc>
          <w:tcPr>
            <w:tcW w:w="896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Floating Rate Notes due 2028: August 18, 2028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 Senior Notes due 2028: August 18, 2028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4.650% Senior Notes due 2030: March 15, 2030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 Senior Notes due 2031: September 15, 2031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 Senior Notes due 2033: September 15, 2033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 Senior Notes due 2036: September 15, 2036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 Senior Notes due 2038: September 15, 2038</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 Senior Notes due 2056: September 15, 2056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 Senior Notes due 2066: September 15, 2066</w:t>
            </w:r>
          </w:p>
        </w:tc>
      </w:tr>
      <w:tr>
        <w:trPr/>
        <w:tc>
          <w:tcPr>
            <w:tcW w:w="1243" w:type="dxa"/>
            <w:tcBorders/>
            <w:vAlign w:val="center"/>
          </w:tcPr>
          <w:p>
            <w:pPr>
              <w:pStyle w:val="TableContents"/>
              <w:bidi w:val="0"/>
              <w:spacing w:before="0" w:after="283"/>
              <w:jc w:val="left"/>
              <w:rPr/>
            </w:pPr>
            <w:r>
              <w:rPr/>
              <w:t> </w:t>
            </w:r>
          </w:p>
        </w:tc>
        <w:tc>
          <w:tcPr>
            <w:tcW w:w="8962" w:type="dxa"/>
            <w:tcBorders/>
            <w:vAlign w:val="center"/>
          </w:tcPr>
          <w:p>
            <w:pPr>
              <w:pStyle w:val="TableContents"/>
              <w:bidi w:val="0"/>
              <w:spacing w:before="0" w:after="283"/>
              <w:jc w:val="left"/>
              <w:rPr/>
            </w:pPr>
            <w:r>
              <w:rPr/>
              <w:t> </w:t>
            </w:r>
          </w:p>
        </w:tc>
      </w:tr>
      <w:tr>
        <w:trPr/>
        <w:tc>
          <w:tcPr>
            <w:tcW w:w="1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w:t>
            </w:r>
          </w:p>
        </w:tc>
        <w:tc>
          <w:tcPr>
            <w:tcW w:w="896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Floating Rate Notes due 2028: Compounded SOFR + 42 bps, accruing from and including August 18,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 Senior Notes due 2028: 4.500% per annum, accruing from August 18,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4.650% Senior Notes due 2030: 4.650% per annum, accruing from August 18, 2026</w:t>
            </w:r>
          </w:p>
        </w:tc>
      </w:tr>
    </w:tbl>
    <w:p>
      <w:pPr>
        <w:pStyle w:val="TextBody"/>
        <w:bidi w:val="0"/>
        <w:spacing w:before="0" w:after="283"/>
        <w:jc w:val="left"/>
        <w:rPr/>
      </w:pPr>
      <w:r>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S-1-2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6"/>
        <w:gridCol w:w="7749"/>
      </w:tblGrid>
      <w:tr>
        <w:trPr/>
        <w:tc>
          <w:tcPr>
            <w:tcW w:w="2456" w:type="dxa"/>
            <w:tcBorders/>
            <w:vAlign w:val="center"/>
          </w:tcPr>
          <w:p>
            <w:pPr>
              <w:pStyle w:val="TableContents"/>
              <w:bidi w:val="0"/>
              <w:spacing w:before="0" w:after="283"/>
              <w:jc w:val="left"/>
              <w:rPr/>
            </w:pPr>
            <w:r>
              <w:rPr/>
              <w:t> </w:t>
            </w:r>
          </w:p>
        </w:tc>
        <w:tc>
          <w:tcPr>
            <w:tcW w:w="774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 Senior Notes due 2031: 4.875% per annum, accruing from August 18,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 Senior Notes due 2033: 5.050% per annum, accruing from August 18,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 Senior Notes due 2036: 5.300% per annum, accruing from August 18,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 Senior Notes due 2038: 5.450% per annum, accruing from August 18,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 Senior Notes due 2056: 6.000% per annum, accruing from August 18,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 Senior Notes due 2066: 6.100% per annum, accruing from August 18, 2026 </w:t>
            </w:r>
          </w:p>
        </w:tc>
      </w:tr>
      <w:tr>
        <w:trPr/>
        <w:tc>
          <w:tcPr>
            <w:tcW w:w="2456" w:type="dxa"/>
            <w:tcBorders/>
            <w:vAlign w:val="center"/>
          </w:tcPr>
          <w:p>
            <w:pPr>
              <w:pStyle w:val="TableContents"/>
              <w:bidi w:val="0"/>
              <w:spacing w:before="0" w:after="283"/>
              <w:jc w:val="left"/>
              <w:rPr/>
            </w:pPr>
            <w:r>
              <w:rPr/>
              <w:t> </w:t>
            </w:r>
          </w:p>
        </w:tc>
        <w:tc>
          <w:tcPr>
            <w:tcW w:w="7749" w:type="dxa"/>
            <w:tcBorders/>
            <w:vAlign w:val="center"/>
          </w:tcPr>
          <w:p>
            <w:pPr>
              <w:pStyle w:val="TableContents"/>
              <w:bidi w:val="0"/>
              <w:spacing w:before="0" w:after="283"/>
              <w:jc w:val="left"/>
              <w:rPr/>
            </w:pPr>
            <w:r>
              <w:rPr/>
              <w:t> </w:t>
            </w:r>
          </w:p>
        </w:tc>
      </w:tr>
      <w:tr>
        <w:trPr/>
        <w:tc>
          <w:tcPr>
            <w:tcW w:w="24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 Dates:</w:t>
            </w:r>
          </w:p>
        </w:tc>
        <w:tc>
          <w:tcPr>
            <w:tcW w:w="774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Floating Rate Notes due 2028: February 18, May 18, August 18 and November 18, commencing November 18, 2026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 Senior Notes due 2028: February 18 and August 18, commencing February 18, 2027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4.650% Senior Notes due 2030: March 15 and September 15, commencing March 15, 2027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 Senior Notes due 2031: March 15 and September 15, commencing March 15, 2027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 Senior Notes due 2033: March 15 and September 15, commencing March 15, 2027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 Senior Notes due 2036: March 15 and September 15, commencing March 15, 2027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5.450% Senior Notes due 2038: March 15 and September 15, commencing March 15, 2027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 Senior Notes due 2056: March 15 and September 15, commencing March 15, 2027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 Senior Notes due 2066: March 15 and September 15, commencing March 15, 2027 </w:t>
            </w:r>
          </w:p>
        </w:tc>
      </w:tr>
      <w:tr>
        <w:trPr/>
        <w:tc>
          <w:tcPr>
            <w:tcW w:w="2456" w:type="dxa"/>
            <w:tcBorders/>
            <w:vAlign w:val="center"/>
          </w:tcPr>
          <w:p>
            <w:pPr>
              <w:pStyle w:val="TableContents"/>
              <w:bidi w:val="0"/>
              <w:spacing w:before="0" w:after="283"/>
              <w:jc w:val="left"/>
              <w:rPr/>
            </w:pPr>
            <w:r>
              <w:rPr/>
              <w:t> </w:t>
            </w:r>
          </w:p>
        </w:tc>
        <w:tc>
          <w:tcPr>
            <w:tcW w:w="7749" w:type="dxa"/>
            <w:tcBorders/>
            <w:vAlign w:val="center"/>
          </w:tcPr>
          <w:p>
            <w:pPr>
              <w:pStyle w:val="TableContents"/>
              <w:bidi w:val="0"/>
              <w:spacing w:before="0" w:after="283"/>
              <w:jc w:val="left"/>
              <w:rPr/>
            </w:pPr>
            <w:r>
              <w:rPr/>
              <w:t> </w:t>
            </w:r>
          </w:p>
        </w:tc>
      </w:tr>
      <w:tr>
        <w:trPr/>
        <w:tc>
          <w:tcPr>
            <w:tcW w:w="24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Date and Time:</w:t>
            </w:r>
          </w:p>
        </w:tc>
        <w:tc>
          <w:tcPr>
            <w:tcW w:w="7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18, 2026, 10:00 a.m.</w:t>
            </w:r>
          </w:p>
        </w:tc>
      </w:tr>
      <w:tr>
        <w:trPr/>
        <w:tc>
          <w:tcPr>
            <w:tcW w:w="2456" w:type="dxa"/>
            <w:tcBorders/>
            <w:vAlign w:val="center"/>
          </w:tcPr>
          <w:p>
            <w:pPr>
              <w:pStyle w:val="TableContents"/>
              <w:bidi w:val="0"/>
              <w:spacing w:before="0" w:after="283"/>
              <w:jc w:val="left"/>
              <w:rPr/>
            </w:pPr>
            <w:r>
              <w:rPr/>
              <w:t> </w:t>
            </w:r>
          </w:p>
        </w:tc>
        <w:tc>
          <w:tcPr>
            <w:tcW w:w="7749" w:type="dxa"/>
            <w:tcBorders/>
            <w:vAlign w:val="center"/>
          </w:tcPr>
          <w:p>
            <w:pPr>
              <w:pStyle w:val="TableContents"/>
              <w:bidi w:val="0"/>
              <w:spacing w:before="0" w:after="283"/>
              <w:jc w:val="left"/>
              <w:rPr/>
            </w:pPr>
            <w:r>
              <w:rPr/>
              <w:t> </w:t>
            </w:r>
          </w:p>
        </w:tc>
      </w:tr>
      <w:tr>
        <w:trPr/>
        <w:tc>
          <w:tcPr>
            <w:tcW w:w="24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Closing Location:</w:t>
            </w:r>
          </w:p>
        </w:tc>
        <w:tc>
          <w:tcPr>
            <w:tcW w:w="77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Davis Polk &amp; Wardwell LLP</w:t>
              <w:br/>
              <w:t>450 Lexington Avenue</w:t>
              <w:br/>
              <w:t>New York, New York 10017</w:t>
            </w:r>
          </w:p>
        </w:tc>
      </w:tr>
      <w:tr>
        <w:trPr/>
        <w:tc>
          <w:tcPr>
            <w:tcW w:w="2456" w:type="dxa"/>
            <w:tcBorders/>
            <w:vAlign w:val="center"/>
          </w:tcPr>
          <w:p>
            <w:pPr>
              <w:pStyle w:val="TableContents"/>
              <w:bidi w:val="0"/>
              <w:spacing w:before="0" w:after="283"/>
              <w:jc w:val="left"/>
              <w:rPr/>
            </w:pPr>
            <w:r>
              <w:rPr/>
              <w:t> </w:t>
            </w:r>
          </w:p>
        </w:tc>
        <w:tc>
          <w:tcPr>
            <w:tcW w:w="7749" w:type="dxa"/>
            <w:tcBorders/>
            <w:vAlign w:val="center"/>
          </w:tcPr>
          <w:p>
            <w:pPr>
              <w:pStyle w:val="TableContents"/>
              <w:bidi w:val="0"/>
              <w:spacing w:before="0" w:after="283"/>
              <w:jc w:val="left"/>
              <w:rPr/>
            </w:pPr>
            <w:r>
              <w:rPr/>
              <w:t> </w:t>
            </w:r>
          </w:p>
        </w:tc>
      </w:tr>
      <w:tr>
        <w:trPr/>
        <w:tc>
          <w:tcPr>
            <w:tcW w:w="24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to Underwriters:</w:t>
            </w:r>
          </w:p>
        </w:tc>
        <w:tc>
          <w:tcPr>
            <w:tcW w:w="774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 Broadway, 29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Investment Banking Division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212-507-8999;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West 47th Street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NY8-114-07-01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10036</w:t>
            </w:r>
          </w:p>
        </w:tc>
      </w:tr>
    </w:tbl>
    <w:p>
      <w:pPr>
        <w:pStyle w:val="TextBody"/>
        <w:bidi w:val="0"/>
        <w:spacing w:before="0" w:after="283"/>
        <w:jc w:val="left"/>
        <w:rPr/>
      </w:pPr>
      <w:r>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S-1-3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670" w:type="dxa"/>
        <w:jc w:val="left"/>
        <w:tblInd w:w="0" w:type="dxa"/>
        <w:tblLayout w:type="fixed"/>
        <w:tblCellMar>
          <w:top w:w="0" w:type="dxa"/>
          <w:left w:w="0" w:type="dxa"/>
          <w:bottom w:w="0" w:type="dxa"/>
          <w:right w:w="0" w:type="dxa"/>
        </w:tblCellMar>
      </w:tblPr>
      <w:tblGrid>
        <w:gridCol w:w="3020"/>
        <w:gridCol w:w="3650"/>
      </w:tblGrid>
      <w:tr>
        <w:trPr/>
        <w:tc>
          <w:tcPr>
            <w:tcW w:w="30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High Grade Debt Capital Markets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Management/Legal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212-901-7881;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 Park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Investment Grade Syndicate Desk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212-834-6081;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 Americas Securities, LLC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 Park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10167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High Grade Syndicate Desk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list.us-glfi-syn-cap@sgcib.com </w:t>
            </w:r>
          </w:p>
        </w:tc>
      </w:tr>
      <w:tr>
        <w:trPr/>
        <w:tc>
          <w:tcPr>
            <w:tcW w:w="302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to the Company:</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AbbVie Inc.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North Waukegan Road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Chicago, Illinois 60064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tc>
      </w:tr>
    </w:tbl>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S-1-4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tbl>
      <w:tblPr>
        <w:tblW w:w="10490" w:type="dxa"/>
        <w:jc w:val="left"/>
        <w:tblInd w:w="0" w:type="dxa"/>
        <w:tblLayout w:type="fixed"/>
        <w:tblCellMar>
          <w:top w:w="0" w:type="dxa"/>
          <w:left w:w="0" w:type="dxa"/>
          <w:bottom w:w="28" w:type="dxa"/>
          <w:right w:w="0" w:type="dxa"/>
        </w:tblCellMar>
      </w:tblPr>
      <w:tblGrid>
        <w:gridCol w:w="1010"/>
        <w:gridCol w:w="60"/>
        <w:gridCol w:w="95"/>
        <w:gridCol w:w="755"/>
        <w:gridCol w:w="60"/>
        <w:gridCol w:w="60"/>
        <w:gridCol w:w="95"/>
        <w:gridCol w:w="860"/>
        <w:gridCol w:w="60"/>
        <w:gridCol w:w="60"/>
        <w:gridCol w:w="95"/>
        <w:gridCol w:w="860"/>
        <w:gridCol w:w="60"/>
        <w:gridCol w:w="60"/>
        <w:gridCol w:w="95"/>
        <w:gridCol w:w="860"/>
        <w:gridCol w:w="60"/>
        <w:gridCol w:w="60"/>
        <w:gridCol w:w="95"/>
        <w:gridCol w:w="860"/>
        <w:gridCol w:w="60"/>
        <w:gridCol w:w="60"/>
        <w:gridCol w:w="95"/>
        <w:gridCol w:w="860"/>
        <w:gridCol w:w="60"/>
        <w:gridCol w:w="60"/>
        <w:gridCol w:w="95"/>
        <w:gridCol w:w="860"/>
        <w:gridCol w:w="60"/>
        <w:gridCol w:w="60"/>
        <w:gridCol w:w="95"/>
        <w:gridCol w:w="860"/>
        <w:gridCol w:w="60"/>
        <w:gridCol w:w="60"/>
        <w:gridCol w:w="95"/>
        <w:gridCol w:w="755"/>
        <w:gridCol w:w="75"/>
      </w:tblGrid>
      <w:tr>
        <w:trPr/>
        <w:tc>
          <w:tcPr>
            <w:tcW w:w="10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Principal</w:t>
              <w:br/>
              <w:t>Amount of</w:t>
              <w:br/>
              <w:t>2028 Floating</w:t>
              <w:br/>
              <w:t>Rate Notes to</w:t>
              <w:br/>
              <w:t>be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Principal</w:t>
              <w:br/>
              <w:t>Amount of</w:t>
              <w:br/>
              <w:t>2028 Notes to</w:t>
              <w:br/>
              <w:t>be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Principal</w:t>
              <w:br/>
              <w:t>Amount of</w:t>
              <w:br/>
              <w:t>2030 Notes to</w:t>
              <w:br/>
              <w:t>be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Principal</w:t>
              <w:br/>
              <w:t>Amount of</w:t>
              <w:br/>
              <w:t>2031 Notes to</w:t>
              <w:br/>
              <w:t>be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4"/>
              </w:rPr>
              <w:t>Principal</w:t>
              <w:br/>
              <w:t>Amount of</w:t>
              <w:br/>
              <w:t>2033 Notes to</w:t>
              <w:br/>
              <w:t>be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4"/>
              </w:rPr>
              <w:t>Principal</w:t>
              <w:br/>
              <w:t>Amount of</w:t>
              <w:br/>
              <w:t>2036 Notes to</w:t>
              <w:br/>
              <w:t>be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4"/>
              </w:rPr>
              <w:t>Principal</w:t>
              <w:br/>
              <w:t>Amount of</w:t>
              <w:br/>
              <w:t>2038 Notes to</w:t>
              <w:br/>
              <w:t>be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5" w:type="dxa"/>
            <w:gridSpan w:val="2"/>
            <w:tcBorders>
              <w:bottom w:val="single" w:sz="8" w:space="0" w:color="000000"/>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14"/>
              </w:rPr>
              <w:t>Principal</w:t>
              <w:br/>
              <w:t>Amount of</w:t>
              <w:br/>
              <w:t>2056 Notes to</w:t>
              <w:br/>
              <w:t>be Purchased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14"/>
              </w:rPr>
            </w:pPr>
            <w:r>
              <w:rPr>
                <w:rFonts w:ascii="Times New Roman;Times;Serif" w:hAnsi="Times New Roman;Times;Serif"/>
                <w:b/>
                <w:i w:val="false"/>
                <w:caps w:val="false"/>
                <w:smallCaps w:val="false"/>
                <w:sz w:val="14"/>
              </w:rPr>
              <w:t>Principal</w:t>
              <w:br/>
              <w:t>Amount of</w:t>
              <w:br/>
              <w:t>2066 Notes to</w:t>
              <w:br/>
              <w:t>be Purchased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Morgan Stanley &amp; Co.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BofA Securities, Inc.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J.P. Morgan Securities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187,500,000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225,000,000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75,000,000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SG Americas Securities,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Barclays Capital Inc.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BNP Paribas Securities Corp.</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HSBC Securities (USA) Inc.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Citigroup Global Markets Inc.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Deutsche Bank Securities Inc.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Mizuho Securities USA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Wells Fargo Securities,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67,500,000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54,000,000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81,000,000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27,000,000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MUFG Securities Americas Inc.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U.S. Bancorp Investments, Inc.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Lloyds Securities Inc.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Santander US Capital Markets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TD Securities (USA)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24,500,000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19,600,000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29,400,000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9,800,000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Siebert Williams Shank &amp; Co.,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 Seelaus &amp; Co.,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Blaylock Van,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Independence Point Securities LLC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Penserra Securities LLC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CastleOak Securities, L.P.</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2,000,000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3,000,000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Total</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1,250,000,000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1,000,000,000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86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1,500,000,000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w:t>
            </w:r>
          </w:p>
        </w:tc>
        <w:tc>
          <w:tcPr>
            <w:tcW w:w="75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500,000,000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75"/>
        <w:gridCol w:w="545"/>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S-2-1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15204</Words>
  <Characters>80566</Characters>
  <CharactersWithSpaces>96740</CharactersWithSpaces>
  <Paragraphs>1658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