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001-35565</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AbbVie Inc.</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Address: 1 North Waukegan Road</w:t>
      </w:r>
    </w:p>
    <w:p>
      <w:pPr>
        <w:spacing w:after="0" w:line="44"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North Chicago ILLINOIS 60064</w:t>
      </w:r>
    </w:p>
    <w:p>
      <w:pPr>
        <w:spacing w:after="0" w:line="44" w:lineRule="exact"/>
        <w:rPr>
          <w:sz w:val="24"/>
          <w:szCs w:val="24"/>
          <w:color w:val="auto"/>
        </w:rPr>
      </w:pPr>
    </w:p>
    <w:tbl>
      <w:tblPr>
        <w:tblLayout w:type="fixed"/>
        <w:tblInd w:w="206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22"/>
                <w:szCs w:val="22"/>
                <w:color w:val="auto"/>
              </w:rPr>
              <w:t>Telephone number:</w:t>
            </w:r>
          </w:p>
        </w:tc>
        <w:tc>
          <w:tcPr>
            <w:tcW w:w="2720" w:type="dxa"/>
            <w:vAlign w:val="bottom"/>
          </w:tcPr>
          <w:p>
            <w:pPr>
              <w:jc w:val="right"/>
              <w:spacing w:after="0"/>
              <w:rPr>
                <w:sz w:val="20"/>
                <w:szCs w:val="20"/>
                <w:color w:val="auto"/>
              </w:rPr>
            </w:pPr>
            <w:r>
              <w:rPr>
                <w:rFonts w:ascii="Arial" w:cs="Arial" w:eastAsia="Arial" w:hAnsi="Arial"/>
                <w:sz w:val="22"/>
                <w:szCs w:val="22"/>
                <w:color w:val="auto"/>
              </w:rPr>
              <w:t>847-932-7900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0.375% Senior Notes due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2019-10-18</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29, 2019, pursuant to the provisions of Rule 12d2-2 (a). [ X ] 17 CFR 240.12d2-2(a)(1) That the entire class of this security was called for redemption, maturity or retirement on October 18, 2019; appropriate notice thereof was given; funds sufficient for the payment of all such securities were deposited with an agency authorized to make such payment; and such funds were made available to security holders on October 18, 2019. The Exchange also notifies the Securities and Exchange Commission that as a result of the above indicated conditions this security was suspended from trading on October 18, 2019.</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5565" TargetMode="External"/><Relationship Id="rId10"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2019-12-04T22:30:27Z</dcterms:created>
  <dcterms:modified xsi:type="dcterms:W3CDTF">2019-12-04T22:30:27Z</dcterms:modified>
</cp:coreProperties>
</file>