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Alpern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AbbVie Inc.</w:t>
              </w:r>
            </w:hyperlink>
            <w:r>
              <w:rPr/>
              <w:t xml:space="preserve"> [ </w:t>
            </w:r>
            <w:r>
              <w:rPr>
                <w:rFonts w:ascii="Times;serif" w:hAnsi="Times;serif"/>
                <w:color w:val="0000FF"/>
                <w:sz w:val="24"/>
                <w:shd w:fill="FFFFFF" w:val="clear"/>
              </w:rPr>
              <w:t>ABBV</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171.52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9,541</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stock equivalent unit accounts under grantor trusts established by the director at Abbott Laboratories and AbbVie. The stock equivalent units in the Abbott account will be paid, in cash, generally at age 65 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Robert J.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448074" TargetMode="External"/><Relationship Id="rId4" Type="http://schemas.openxmlformats.org/officeDocument/2006/relationships/hyperlink" Target="http://www.sec.gov/cgi-bin/browse-edgar?action=getcompany&amp;CIK=000155115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3574</Characters>
  <CharactersWithSpaces>4174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